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Default Extension="png" ContentType="image/png"/>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4.xml" ContentType="application/vnd.openxmlformats-officedocument.wordprocessingml.header+xml"/>
  <Override PartName="/word/footer15.xml" ContentType="application/vnd.openxmlformats-officedocument.wordprocessingml.footer+xml"/>
  <Override PartName="/word/header5.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80013pt;width:484.95pt;height:.1pt;mso-position-horizontal-relative:page;mso-position-vertical-relative:page;z-index:0" coordorigin="1104,982" coordsize="9699,2">
            <v:shape style="position:absolute;left:1104;top:982;width:9699;height:2" coordorigin="1104,982" coordsize="9699,0" path="m1104,982l10802,982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6"/>
          <w:szCs w:val="26"/>
        </w:rPr>
      </w:pPr>
    </w:p>
    <w:p>
      <w:pPr>
        <w:spacing w:line="620" w:lineRule="exact" w:before="0"/>
        <w:ind w:left="2081" w:right="2081" w:firstLine="0"/>
        <w:jc w:val="center"/>
        <w:rPr>
          <w:rFonts w:ascii="楷体" w:hAnsi="楷体" w:cs="楷体" w:eastAsia="楷体" w:hint="default"/>
          <w:sz w:val="52"/>
          <w:szCs w:val="52"/>
        </w:rPr>
      </w:pPr>
      <w:r>
        <w:rPr>
          <w:rFonts w:ascii="楷体" w:hAnsi="楷体" w:cs="楷体" w:eastAsia="楷体" w:hint="default"/>
          <w:b/>
          <w:bCs/>
          <w:sz w:val="52"/>
          <w:szCs w:val="52"/>
        </w:rPr>
        <w:t>新开普电子股份有限公司</w:t>
      </w:r>
      <w:r>
        <w:rPr>
          <w:rFonts w:ascii="楷体" w:hAnsi="楷体" w:cs="楷体" w:eastAsia="楷体" w:hint="default"/>
          <w:sz w:val="52"/>
          <w:szCs w:val="52"/>
        </w:rPr>
      </w:r>
    </w:p>
    <w:p>
      <w:pPr>
        <w:spacing w:line="240" w:lineRule="auto" w:before="6"/>
        <w:rPr>
          <w:rFonts w:ascii="楷体" w:hAnsi="楷体" w:cs="楷体" w:eastAsia="楷体" w:hint="default"/>
          <w:b/>
          <w:bCs/>
          <w:sz w:val="36"/>
          <w:szCs w:val="36"/>
        </w:rPr>
      </w:pPr>
    </w:p>
    <w:p>
      <w:pPr>
        <w:spacing w:before="0"/>
        <w:ind w:left="2081" w:right="2081" w:firstLine="0"/>
        <w:jc w:val="center"/>
        <w:rPr>
          <w:rFonts w:ascii="Times New Roman" w:hAnsi="Times New Roman" w:cs="Times New Roman" w:eastAsia="Times New Roman" w:hint="default"/>
          <w:sz w:val="30"/>
          <w:szCs w:val="30"/>
        </w:rPr>
      </w:pPr>
      <w:r>
        <w:rPr>
          <w:rFonts w:ascii="Times New Roman"/>
          <w:sz w:val="30"/>
        </w:rPr>
        <w:t>Newcapec Electronics Co.,</w:t>
      </w:r>
      <w:r>
        <w:rPr>
          <w:rFonts w:ascii="Times New Roman"/>
          <w:spacing w:val="-27"/>
          <w:sz w:val="30"/>
        </w:rPr>
        <w:t> </w:t>
      </w:r>
      <w:r>
        <w:rPr>
          <w:rFonts w:ascii="Times New Roman"/>
          <w:sz w:val="30"/>
        </w:rPr>
        <w:t>Ltd.</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p>
      <w:pPr>
        <w:spacing w:line="1874" w:lineRule="exact"/>
        <w:ind w:left="361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6"/>
          <w:sz w:val="20"/>
          <w:szCs w:val="20"/>
        </w:rPr>
        <w:drawing>
          <wp:inline distT="0" distB="0" distL="0" distR="0">
            <wp:extent cx="1739152" cy="119014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739152" cy="1190148"/>
                    </a:xfrm>
                    <a:prstGeom prst="rect">
                      <a:avLst/>
                    </a:prstGeom>
                  </pic:spPr>
                </pic:pic>
              </a:graphicData>
            </a:graphic>
          </wp:inline>
        </w:drawing>
      </w:r>
      <w:r>
        <w:rPr>
          <w:rFonts w:ascii="Times New Roman" w:hAnsi="Times New Roman" w:cs="Times New Roman" w:eastAsia="Times New Roman" w:hint="default"/>
          <w:position w:val="-36"/>
          <w:sz w:val="20"/>
          <w:szCs w:val="20"/>
        </w:rPr>
      </w:r>
    </w:p>
    <w:p>
      <w:pPr>
        <w:spacing w:line="240" w:lineRule="auto" w:before="6"/>
        <w:rPr>
          <w:rFonts w:ascii="Times New Roman" w:hAnsi="Times New Roman" w:cs="Times New Roman" w:eastAsia="Times New Roman" w:hint="default"/>
          <w:sz w:val="29"/>
          <w:szCs w:val="29"/>
        </w:rPr>
      </w:pPr>
    </w:p>
    <w:p>
      <w:pPr>
        <w:spacing w:line="460" w:lineRule="exact" w:before="0"/>
        <w:ind w:left="2081" w:right="2081" w:firstLine="0"/>
        <w:jc w:val="center"/>
        <w:rPr>
          <w:rFonts w:ascii="黑体" w:hAnsi="黑体" w:cs="黑体" w:eastAsia="黑体" w:hint="default"/>
          <w:sz w:val="36"/>
          <w:szCs w:val="36"/>
        </w:rPr>
      </w:pPr>
      <w:r>
        <w:rPr>
          <w:rFonts w:ascii="黑体" w:hAnsi="黑体" w:cs="黑体" w:eastAsia="黑体" w:hint="default"/>
          <w:b/>
          <w:bCs/>
          <w:sz w:val="36"/>
          <w:szCs w:val="36"/>
        </w:rPr>
        <w:t>有开放，有生态；有连接，有未来</w:t>
      </w:r>
      <w:r>
        <w:rPr>
          <w:rFonts w:ascii="黑体" w:hAnsi="黑体" w:cs="黑体" w:eastAsia="黑体" w:hint="default"/>
          <w:sz w:val="36"/>
          <w:szCs w:val="36"/>
        </w:rPr>
      </w:r>
    </w:p>
    <w:p>
      <w:pPr>
        <w:spacing w:line="240" w:lineRule="auto" w:before="0"/>
        <w:rPr>
          <w:rFonts w:ascii="黑体" w:hAnsi="黑体" w:cs="黑体" w:eastAsia="黑体" w:hint="default"/>
          <w:b/>
          <w:bCs/>
          <w:sz w:val="36"/>
          <w:szCs w:val="36"/>
        </w:rPr>
      </w:pPr>
    </w:p>
    <w:p>
      <w:pPr>
        <w:spacing w:line="240" w:lineRule="auto" w:before="1"/>
        <w:rPr>
          <w:rFonts w:ascii="黑体" w:hAnsi="黑体" w:cs="黑体" w:eastAsia="黑体" w:hint="default"/>
          <w:b/>
          <w:bCs/>
          <w:sz w:val="38"/>
          <w:szCs w:val="38"/>
        </w:rPr>
      </w:pPr>
    </w:p>
    <w:p>
      <w:pPr>
        <w:spacing w:before="0"/>
        <w:ind w:left="2081" w:right="2081" w:firstLine="0"/>
        <w:jc w:val="center"/>
        <w:rPr>
          <w:rFonts w:ascii="楷体" w:hAnsi="楷体" w:cs="楷体" w:eastAsia="楷体" w:hint="default"/>
          <w:sz w:val="52"/>
          <w:szCs w:val="52"/>
        </w:rPr>
      </w:pPr>
      <w:r>
        <w:rPr>
          <w:rFonts w:ascii="楷体" w:hAnsi="楷体" w:cs="楷体" w:eastAsia="楷体" w:hint="default"/>
          <w:b/>
          <w:bCs/>
          <w:sz w:val="52"/>
          <w:szCs w:val="52"/>
        </w:rPr>
        <w:t>2015</w:t>
      </w:r>
      <w:r>
        <w:rPr>
          <w:rFonts w:ascii="楷体" w:hAnsi="楷体" w:cs="楷体" w:eastAsia="楷体" w:hint="default"/>
          <w:b/>
          <w:bCs/>
          <w:spacing w:val="-135"/>
          <w:sz w:val="52"/>
          <w:szCs w:val="52"/>
        </w:rPr>
        <w:t> </w:t>
      </w:r>
      <w:r>
        <w:rPr>
          <w:rFonts w:ascii="楷体" w:hAnsi="楷体" w:cs="楷体" w:eastAsia="楷体" w:hint="default"/>
          <w:b/>
          <w:bCs/>
          <w:sz w:val="52"/>
          <w:szCs w:val="52"/>
        </w:rPr>
        <w:t>年年度报告</w:t>
      </w:r>
      <w:r>
        <w:rPr>
          <w:rFonts w:ascii="楷体" w:hAnsi="楷体" w:cs="楷体" w:eastAsia="楷体" w:hint="default"/>
          <w:sz w:val="52"/>
          <w:szCs w:val="52"/>
        </w:rPr>
      </w:r>
    </w:p>
    <w:p>
      <w:pPr>
        <w:spacing w:line="240" w:lineRule="auto" w:before="2"/>
        <w:rPr>
          <w:rFonts w:ascii="楷体" w:hAnsi="楷体" w:cs="楷体" w:eastAsia="楷体" w:hint="default"/>
          <w:b/>
          <w:bCs/>
          <w:sz w:val="61"/>
          <w:szCs w:val="61"/>
        </w:rPr>
      </w:pPr>
    </w:p>
    <w:p>
      <w:pPr>
        <w:spacing w:line="376" w:lineRule="auto" w:before="0"/>
        <w:ind w:left="2892" w:right="2889" w:hanging="1"/>
        <w:jc w:val="center"/>
        <w:rPr>
          <w:rFonts w:ascii="楷体" w:hAnsi="楷体" w:cs="楷体" w:eastAsia="楷体" w:hint="default"/>
          <w:sz w:val="36"/>
          <w:szCs w:val="36"/>
        </w:rPr>
      </w:pPr>
      <w:r>
        <w:rPr>
          <w:rFonts w:ascii="楷体" w:hAnsi="楷体" w:cs="楷体" w:eastAsia="楷体" w:hint="default"/>
          <w:b/>
          <w:bCs/>
          <w:sz w:val="36"/>
          <w:szCs w:val="36"/>
        </w:rPr>
        <w:t>股票代码：300248</w:t>
      </w:r>
      <w:r>
        <w:rPr>
          <w:rFonts w:ascii="楷体" w:hAnsi="楷体" w:cs="楷体" w:eastAsia="楷体" w:hint="default"/>
          <w:b/>
          <w:bCs/>
          <w:spacing w:val="1"/>
          <w:w w:val="99"/>
          <w:sz w:val="36"/>
          <w:szCs w:val="36"/>
        </w:rPr>
        <w:t> </w:t>
      </w:r>
      <w:r>
        <w:rPr>
          <w:rFonts w:ascii="楷体" w:hAnsi="楷体" w:cs="楷体" w:eastAsia="楷体" w:hint="default"/>
          <w:b/>
          <w:bCs/>
          <w:sz w:val="36"/>
          <w:szCs w:val="36"/>
        </w:rPr>
        <w:t>股票简称：新开普</w:t>
      </w:r>
      <w:r>
        <w:rPr>
          <w:rFonts w:ascii="楷体" w:hAnsi="楷体" w:cs="楷体" w:eastAsia="楷体" w:hint="default"/>
          <w:sz w:val="36"/>
          <w:szCs w:val="36"/>
        </w:rPr>
      </w:r>
    </w:p>
    <w:p>
      <w:pPr>
        <w:spacing w:line="240" w:lineRule="auto" w:before="0"/>
        <w:rPr>
          <w:rFonts w:ascii="楷体" w:hAnsi="楷体" w:cs="楷体" w:eastAsia="楷体" w:hint="default"/>
          <w:b/>
          <w:bCs/>
          <w:sz w:val="36"/>
          <w:szCs w:val="36"/>
        </w:rPr>
      </w:pPr>
    </w:p>
    <w:p>
      <w:pPr>
        <w:spacing w:line="240" w:lineRule="auto" w:before="0"/>
        <w:rPr>
          <w:rFonts w:ascii="楷体" w:hAnsi="楷体" w:cs="楷体" w:eastAsia="楷体" w:hint="default"/>
          <w:b/>
          <w:bCs/>
          <w:sz w:val="36"/>
          <w:szCs w:val="36"/>
        </w:rPr>
      </w:pPr>
    </w:p>
    <w:p>
      <w:pPr>
        <w:spacing w:line="240" w:lineRule="auto" w:before="1"/>
        <w:rPr>
          <w:rFonts w:ascii="楷体" w:hAnsi="楷体" w:cs="楷体" w:eastAsia="楷体" w:hint="default"/>
          <w:b/>
          <w:bCs/>
          <w:sz w:val="46"/>
          <w:szCs w:val="46"/>
        </w:rPr>
      </w:pPr>
    </w:p>
    <w:p>
      <w:pPr>
        <w:spacing w:before="0"/>
        <w:ind w:left="2081" w:right="2081" w:firstLine="0"/>
        <w:jc w:val="center"/>
        <w:rPr>
          <w:rFonts w:ascii="楷体" w:hAnsi="楷体" w:cs="楷体" w:eastAsia="楷体" w:hint="default"/>
          <w:sz w:val="36"/>
          <w:szCs w:val="36"/>
        </w:rPr>
      </w:pPr>
      <w:r>
        <w:rPr>
          <w:rFonts w:ascii="楷体" w:hAnsi="楷体" w:cs="楷体" w:eastAsia="楷体" w:hint="default"/>
          <w:b/>
          <w:bCs/>
          <w:sz w:val="36"/>
          <w:szCs w:val="36"/>
        </w:rPr>
        <w:t>披露日期：2016年4月23日</w:t>
      </w:r>
      <w:r>
        <w:rPr>
          <w:rFonts w:ascii="楷体" w:hAnsi="楷体" w:cs="楷体" w:eastAsia="楷体" w:hint="default"/>
          <w:sz w:val="36"/>
          <w:szCs w:val="36"/>
        </w:rPr>
      </w:r>
    </w:p>
    <w:p>
      <w:pPr>
        <w:spacing w:after="0"/>
        <w:jc w:val="center"/>
        <w:rPr>
          <w:rFonts w:ascii="楷体" w:hAnsi="楷体" w:cs="楷体" w:eastAsia="楷体" w:hint="default"/>
          <w:sz w:val="36"/>
          <w:szCs w:val="36"/>
        </w:rPr>
        <w:sectPr>
          <w:headerReference w:type="default" r:id="rId5"/>
          <w:footerReference w:type="default" r:id="rId6"/>
          <w:type w:val="continuous"/>
          <w:pgSz w:w="11910" w:h="16840"/>
          <w:pgMar w:header="747" w:footer="982" w:top="1060" w:bottom="1180" w:left="980" w:right="980"/>
        </w:sectPr>
      </w:pPr>
    </w:p>
    <w:p>
      <w:pPr>
        <w:spacing w:line="240" w:lineRule="auto" w:before="12"/>
        <w:rPr>
          <w:rFonts w:ascii="楷体" w:hAnsi="楷体" w:cs="楷体" w:eastAsia="楷体" w:hint="default"/>
          <w:b/>
          <w:bCs/>
          <w:sz w:val="2"/>
          <w:szCs w:val="2"/>
        </w:rPr>
      </w:pPr>
    </w:p>
    <w:p>
      <w:pPr>
        <w:spacing w:line="20" w:lineRule="exact"/>
        <w:ind w:left="116" w:right="0" w:firstLine="0"/>
        <w:rPr>
          <w:rFonts w:ascii="楷体" w:hAnsi="楷体" w:cs="楷体" w:eastAsia="楷体" w:hint="default"/>
          <w:sz w:val="2"/>
          <w:szCs w:val="2"/>
        </w:rPr>
      </w:pPr>
      <w:r>
        <w:rPr>
          <w:rFonts w:ascii="楷体" w:hAnsi="楷体" w:cs="楷体" w:eastAsia="楷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楷体" w:hAnsi="楷体" w:cs="楷体" w:eastAsia="楷体" w:hint="default"/>
          <w:sz w:val="2"/>
          <w:szCs w:val="2"/>
        </w:rPr>
      </w:r>
    </w:p>
    <w:p>
      <w:pPr>
        <w:spacing w:line="240" w:lineRule="auto" w:before="0"/>
        <w:rPr>
          <w:rFonts w:ascii="楷体" w:hAnsi="楷体" w:cs="楷体" w:eastAsia="楷体" w:hint="default"/>
          <w:b/>
          <w:bCs/>
          <w:sz w:val="20"/>
          <w:szCs w:val="20"/>
        </w:rPr>
      </w:pPr>
    </w:p>
    <w:p>
      <w:pPr>
        <w:spacing w:line="240" w:lineRule="auto" w:before="0"/>
        <w:rPr>
          <w:rFonts w:ascii="楷体" w:hAnsi="楷体" w:cs="楷体" w:eastAsia="楷体" w:hint="default"/>
          <w:b/>
          <w:bCs/>
          <w:sz w:val="20"/>
          <w:szCs w:val="20"/>
        </w:rPr>
      </w:pPr>
    </w:p>
    <w:p>
      <w:pPr>
        <w:spacing w:line="240" w:lineRule="auto" w:before="11"/>
        <w:rPr>
          <w:rFonts w:ascii="楷体" w:hAnsi="楷体" w:cs="楷体" w:eastAsia="楷体" w:hint="default"/>
          <w:b/>
          <w:bCs/>
          <w:sz w:val="18"/>
          <w:szCs w:val="18"/>
        </w:rPr>
      </w:pPr>
    </w:p>
    <w:p>
      <w:pPr>
        <w:pStyle w:val="Heading1"/>
        <w:spacing w:line="240" w:lineRule="auto"/>
        <w:ind w:left="2804" w:right="213"/>
        <w:jc w:val="left"/>
        <w:rPr>
          <w:b w:val="0"/>
          <w:bCs w:val="0"/>
        </w:rPr>
      </w:pPr>
      <w:bookmarkStart w:name="_TOC_250010" w:id="1"/>
      <w:r>
        <w:rPr/>
        <w:t>第一节</w:t>
      </w:r>
      <w:r>
        <w:rPr>
          <w:spacing w:val="-11"/>
        </w:rPr>
        <w:t> </w:t>
      </w:r>
      <w:r>
        <w:rPr/>
        <w:t>重要提示、目录和释义</w:t>
      </w:r>
      <w:bookmarkEnd w:id="1"/>
      <w:r>
        <w:rPr>
          <w:b w:val="0"/>
          <w:bCs w:val="0"/>
        </w:rPr>
      </w:r>
    </w:p>
    <w:p>
      <w:pPr>
        <w:spacing w:line="240" w:lineRule="auto" w:before="10"/>
        <w:rPr>
          <w:rFonts w:ascii="宋体" w:hAnsi="宋体" w:cs="宋体" w:eastAsia="宋体" w:hint="default"/>
          <w:b/>
          <w:bCs/>
          <w:sz w:val="44"/>
          <w:szCs w:val="44"/>
        </w:rPr>
      </w:pPr>
    </w:p>
    <w:p>
      <w:pPr>
        <w:pStyle w:val="Heading2"/>
        <w:spacing w:line="357" w:lineRule="auto"/>
        <w:ind w:left="153" w:right="213" w:firstLine="482"/>
        <w:jc w:val="left"/>
        <w:rPr>
          <w:b w:val="0"/>
          <w:bCs w:val="0"/>
        </w:rPr>
      </w:pPr>
      <w:r>
        <w:rPr/>
        <w:t>本公司董事会、监事会及董事、监事、高级管理人员保证年度报告内容的真实、准确、</w:t>
      </w:r>
      <w:r>
        <w:rPr>
          <w:spacing w:val="1"/>
          <w:w w:val="99"/>
        </w:rPr>
        <w:t> </w:t>
      </w:r>
      <w:r>
        <w:rPr/>
        <w:t>完整，不存在虚假记载、误导性陈述或重大遗漏，并承担个别和连带的法律责任。</w:t>
      </w:r>
      <w:r>
        <w:rPr>
          <w:b w:val="0"/>
          <w:bCs w:val="0"/>
        </w:rPr>
      </w:r>
    </w:p>
    <w:p>
      <w:pPr>
        <w:pStyle w:val="Heading2"/>
        <w:spacing w:line="338" w:lineRule="auto" w:before="136"/>
        <w:ind w:left="153" w:right="216" w:firstLine="482"/>
        <w:jc w:val="left"/>
        <w:rPr>
          <w:b w:val="0"/>
          <w:bCs w:val="0"/>
        </w:rPr>
      </w:pPr>
      <w:r>
        <w:rPr>
          <w:spacing w:val="2"/>
        </w:rPr>
        <w:t>公司负责人杨维国、主管会计工作负责人李玉玲及会计机构负责人</w:t>
      </w:r>
      <w:r>
        <w:rPr>
          <w:rFonts w:ascii="Times New Roman" w:hAnsi="Times New Roman" w:cs="Times New Roman" w:eastAsia="Times New Roman" w:hint="default"/>
          <w:spacing w:val="2"/>
        </w:rPr>
        <w:t>(</w:t>
      </w:r>
      <w:r>
        <w:rPr>
          <w:spacing w:val="2"/>
        </w:rPr>
        <w:t>会计主管人员</w:t>
      </w:r>
      <w:r>
        <w:rPr>
          <w:rFonts w:ascii="Times New Roman" w:hAnsi="Times New Roman" w:cs="Times New Roman" w:eastAsia="Times New Roman" w:hint="default"/>
          <w:spacing w:val="2"/>
        </w:rPr>
        <w:t>)</w:t>
      </w:r>
      <w:r>
        <w:rPr>
          <w:spacing w:val="2"/>
        </w:rPr>
        <w:t>张翀</w:t>
      </w:r>
      <w:r>
        <w:rPr>
          <w:spacing w:val="2"/>
          <w:w w:val="99"/>
        </w:rPr>
        <w:t> </w:t>
      </w:r>
      <w:r>
        <w:rPr/>
        <w:t>声明：保证年度报告中财务报告的真实、准确、完整。</w:t>
      </w:r>
      <w:r>
        <w:rPr>
          <w:b w:val="0"/>
          <w:bCs w:val="0"/>
        </w:rPr>
      </w:r>
    </w:p>
    <w:p>
      <w:pPr>
        <w:pStyle w:val="Heading2"/>
        <w:spacing w:line="240" w:lineRule="auto" w:before="155"/>
        <w:ind w:left="636" w:right="213"/>
        <w:jc w:val="left"/>
        <w:rPr>
          <w:b w:val="0"/>
          <w:bCs w:val="0"/>
        </w:rPr>
      </w:pPr>
      <w:r>
        <w:rPr/>
        <w:t>除下列董事外，其他董事亲自出席了审议本次年报的董事会会议</w:t>
      </w:r>
      <w:r>
        <w:rPr>
          <w:b w:val="0"/>
          <w:bCs w:val="0"/>
        </w:rPr>
      </w:r>
    </w:p>
    <w:p>
      <w:pPr>
        <w:spacing w:line="240" w:lineRule="auto" w:before="3"/>
        <w:rPr>
          <w:rFonts w:ascii="宋体" w:hAnsi="宋体" w:cs="宋体" w:eastAsia="宋体" w:hint="default"/>
          <w:b/>
          <w:bCs/>
          <w:sz w:val="16"/>
          <w:szCs w:val="16"/>
        </w:rPr>
      </w:pPr>
    </w:p>
    <w:tbl>
      <w:tblPr>
        <w:tblW w:w="0" w:type="auto"/>
        <w:jc w:val="left"/>
        <w:tblInd w:w="149" w:type="dxa"/>
        <w:tblLayout w:type="fixed"/>
        <w:tblCellMar>
          <w:top w:w="0" w:type="dxa"/>
          <w:left w:w="0" w:type="dxa"/>
          <w:bottom w:w="0" w:type="dxa"/>
          <w:right w:w="0" w:type="dxa"/>
        </w:tblCellMar>
        <w:tblLook w:val="01E0"/>
      </w:tblPr>
      <w:tblGrid>
        <w:gridCol w:w="2935"/>
        <w:gridCol w:w="2210"/>
        <w:gridCol w:w="2212"/>
        <w:gridCol w:w="2210"/>
      </w:tblGrid>
      <w:tr>
        <w:trPr>
          <w:trHeight w:val="401" w:hRule="exact"/>
        </w:trPr>
        <w:tc>
          <w:tcPr>
            <w:tcW w:w="2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90" w:right="0"/>
              <w:jc w:val="left"/>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91" w:right="0"/>
              <w:jc w:val="left"/>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3" w:hRule="exact"/>
        </w:trPr>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祝田山</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出差</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王世卿</w:t>
            </w:r>
          </w:p>
        </w:tc>
      </w:tr>
    </w:tbl>
    <w:p>
      <w:pPr>
        <w:spacing w:line="240" w:lineRule="auto" w:before="10"/>
        <w:rPr>
          <w:rFonts w:ascii="宋体" w:hAnsi="宋体" w:cs="宋体" w:eastAsia="宋体" w:hint="default"/>
          <w:b/>
          <w:bCs/>
          <w:sz w:val="8"/>
          <w:szCs w:val="8"/>
        </w:rPr>
      </w:pPr>
    </w:p>
    <w:p>
      <w:pPr>
        <w:pStyle w:val="Heading2"/>
        <w:spacing w:line="357" w:lineRule="auto" w:before="26"/>
        <w:ind w:left="153" w:right="228" w:firstLine="482"/>
        <w:jc w:val="both"/>
        <w:rPr>
          <w:b w:val="0"/>
          <w:bCs w:val="0"/>
        </w:rPr>
      </w:pPr>
      <w:r>
        <w:rPr/>
        <w:t>本报告中如有涉及未来的计划、业绩预测等方面的内容，均不构成本公司对任何投资者</w:t>
      </w:r>
      <w:r>
        <w:rPr>
          <w:spacing w:val="1"/>
          <w:w w:val="99"/>
        </w:rPr>
        <w:t> </w:t>
      </w:r>
      <w:r>
        <w:rPr/>
        <w:t>及相关人士的实质承诺，投资者及相关人士均应对此保持足够的风险认识，并且应当理解计</w:t>
      </w:r>
      <w:r>
        <w:rPr>
          <w:spacing w:val="1"/>
          <w:w w:val="99"/>
        </w:rPr>
        <w:t> </w:t>
      </w:r>
      <w:r>
        <w:rPr/>
        <w:t>划、预测与承诺之间的差异。</w:t>
      </w:r>
      <w:r>
        <w:rPr>
          <w:b w:val="0"/>
          <w:bCs w:val="0"/>
        </w:rPr>
      </w:r>
    </w:p>
    <w:p>
      <w:pPr>
        <w:pStyle w:val="Heading2"/>
        <w:spacing w:line="240" w:lineRule="auto" w:before="136"/>
        <w:ind w:left="636" w:right="213"/>
        <w:jc w:val="left"/>
        <w:rPr>
          <w:b w:val="0"/>
          <w:bCs w:val="0"/>
        </w:rPr>
      </w:pPr>
      <w:r>
        <w:rPr/>
        <w:t>本公司请投资者认真阅读本年度报告全文，并特别注意下列风险因素：</w:t>
      </w:r>
      <w:r>
        <w:rPr>
          <w:b w:val="0"/>
          <w:bCs w:val="0"/>
        </w:rPr>
      </w:r>
    </w:p>
    <w:p>
      <w:pPr>
        <w:spacing w:line="240" w:lineRule="auto" w:before="6"/>
        <w:rPr>
          <w:rFonts w:ascii="宋体" w:hAnsi="宋体" w:cs="宋体" w:eastAsia="宋体" w:hint="default"/>
          <w:b/>
          <w:bCs/>
          <w:sz w:val="19"/>
          <w:szCs w:val="19"/>
        </w:rPr>
      </w:pPr>
    </w:p>
    <w:p>
      <w:pPr>
        <w:pStyle w:val="Heading3"/>
        <w:spacing w:line="364" w:lineRule="auto" w:before="0"/>
        <w:ind w:left="624" w:right="213"/>
        <w:jc w:val="left"/>
      </w:pPr>
      <w:r>
        <w:rPr>
          <w:rFonts w:ascii="Times New Roman" w:hAnsi="Times New Roman" w:cs="Times New Roman" w:eastAsia="Times New Roman" w:hint="default"/>
        </w:rPr>
        <w:t>1</w:t>
      </w:r>
      <w:r>
        <w:rPr/>
        <w:t>、行业竞争加剧的风险 公司所处智能一卡通行业的市场化程度较高，其竞争力主要体现在适应行业特点、贴近</w:t>
      </w:r>
    </w:p>
    <w:p>
      <w:pPr>
        <w:pStyle w:val="Heading3"/>
        <w:spacing w:line="357" w:lineRule="auto" w:before="29"/>
        <w:ind w:right="228"/>
        <w:jc w:val="both"/>
      </w:pPr>
      <w:r>
        <w:rPr/>
        <w:t>客户需求的整体解决方案提供能力上。从市场竞争格局来看，在门禁、考勤、餐卡、公交卡</w:t>
      </w:r>
      <w:r>
        <w:rPr>
          <w:spacing w:val="-83"/>
        </w:rPr>
        <w:t> </w:t>
      </w:r>
      <w:r>
        <w:rPr>
          <w:spacing w:val="-83"/>
        </w:rPr>
      </w:r>
      <w:r>
        <w:rPr/>
        <w:t>等传统一卡通业务中，从事企业数量较多，市场竞争较为激烈；而在多功能实现、智能化程</w:t>
      </w:r>
      <w:r>
        <w:rPr>
          <w:spacing w:val="-83"/>
        </w:rPr>
        <w:t> </w:t>
      </w:r>
      <w:r>
        <w:rPr>
          <w:spacing w:val="-83"/>
        </w:rPr>
      </w:r>
      <w:r>
        <w:rPr/>
        <w:t>度高、技术含量高的智能一卡通整体解决方案或新兴一卡通业务中，进入门槛较高，竞争相</w:t>
      </w:r>
      <w:r>
        <w:rPr>
          <w:spacing w:val="-83"/>
        </w:rPr>
        <w:t> </w:t>
      </w:r>
      <w:r>
        <w:rPr>
          <w:spacing w:val="-83"/>
        </w:rPr>
      </w:r>
      <w:r>
        <w:rPr/>
        <w:t>对缓和。</w:t>
      </w:r>
    </w:p>
    <w:p>
      <w:pPr>
        <w:pStyle w:val="Heading3"/>
        <w:spacing w:line="357" w:lineRule="auto" w:before="74"/>
        <w:ind w:right="93" w:firstLine="470"/>
        <w:jc w:val="left"/>
      </w:pPr>
      <w:r>
        <w:rPr/>
        <w:t>公司现已在对智能一卡通个性化需求最多、功能要求最全的学校领域，建立了较高的市</w:t>
      </w:r>
      <w:r>
        <w:rPr>
          <w:spacing w:val="1"/>
        </w:rPr>
        <w:t> </w:t>
      </w:r>
      <w:r>
        <w:rPr>
          <w:spacing w:val="-2"/>
        </w:rPr>
        <w:t>场竞争地位，并正紧随智能一卡通在下游领域应用的发展趋势，积极开拓企事业和城市领域。</w:t>
      </w:r>
      <w:r>
        <w:rPr/>
        <w:t> 虽然随企事业、城市信息化进程的加快、功能需求的增加，公司凭借对智能一卡通行业应用</w:t>
      </w:r>
      <w:r>
        <w:rPr>
          <w:spacing w:val="-83"/>
        </w:rPr>
        <w:t> </w:t>
      </w:r>
      <w:r>
        <w:rPr>
          <w:spacing w:val="-83"/>
        </w:rPr>
      </w:r>
      <w:r>
        <w:rPr/>
        <w:t>深入的理解和一站式的整体解决方案提供能力，其竞争优势将逐渐凸显。但是，公司在拓展</w:t>
      </w:r>
      <w:r>
        <w:rPr>
          <w:spacing w:val="-83"/>
        </w:rPr>
        <w:t> </w:t>
      </w:r>
      <w:r>
        <w:rPr>
          <w:spacing w:val="-83"/>
        </w:rPr>
      </w:r>
      <w:r>
        <w:rPr/>
        <w:t>企事业及城市领域时，仍将面临原有市场进入者较激烈的竞争；同时，智能一卡通市场快速</w:t>
      </w:r>
      <w:r>
        <w:rPr>
          <w:spacing w:val="-83"/>
        </w:rPr>
        <w:t> </w:t>
      </w:r>
      <w:r>
        <w:rPr>
          <w:spacing w:val="-83"/>
        </w:rPr>
      </w:r>
      <w:r>
        <w:rPr/>
        <w:t>增长所带来的盈利空间，也可能吸引更多的有实力企业的加入，使公司面临市场竞争加剧的</w:t>
      </w:r>
      <w:r>
        <w:rPr>
          <w:spacing w:val="-83"/>
        </w:rPr>
        <w:t> </w:t>
      </w:r>
      <w:r>
        <w:rPr>
          <w:spacing w:val="-83"/>
        </w:rPr>
      </w:r>
      <w:r>
        <w:rPr/>
        <w:t>风险。</w:t>
      </w:r>
    </w:p>
    <w:p>
      <w:pPr>
        <w:pStyle w:val="Heading3"/>
        <w:spacing w:line="240" w:lineRule="auto" w:before="77"/>
        <w:ind w:left="624" w:right="213"/>
        <w:jc w:val="left"/>
      </w:pPr>
      <w:r>
        <w:rPr>
          <w:rFonts w:ascii="Times New Roman" w:hAnsi="Times New Roman" w:cs="Times New Roman" w:eastAsia="Times New Roman" w:hint="default"/>
        </w:rPr>
        <w:t>2</w:t>
      </w:r>
      <w:r>
        <w:rPr/>
        <w:t>、生产经营季节性波动风险</w:t>
      </w:r>
    </w:p>
    <w:p>
      <w:pPr>
        <w:spacing w:after="0" w:line="240" w:lineRule="auto"/>
        <w:jc w:val="left"/>
        <w:sectPr>
          <w:footerReference w:type="default" r:id="rId8"/>
          <w:pgSz w:w="11910" w:h="16840"/>
          <w:pgMar w:footer="982" w:header="747" w:top="1060" w:bottom="1180" w:left="980" w:right="900"/>
          <w:pgNumType w:start="2"/>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5"/>
          <w:szCs w:val="25"/>
        </w:rPr>
      </w:pPr>
    </w:p>
    <w:p>
      <w:pPr>
        <w:pStyle w:val="Heading3"/>
        <w:spacing w:line="350" w:lineRule="auto"/>
        <w:ind w:right="228" w:firstLine="470"/>
        <w:jc w:val="both"/>
      </w:pPr>
      <w:r>
        <w:rPr/>
        <w:t>学校是公司的主要下游客户，校园一卡通行业存在比较明显的季节性特征：一般而言，</w:t>
      </w:r>
      <w:r>
        <w:rPr>
          <w:spacing w:val="1"/>
        </w:rPr>
        <w:t> </w:t>
      </w:r>
      <w:r>
        <w:rPr/>
        <w:t>学校在寒假过后的</w:t>
      </w:r>
      <w:r>
        <w:rPr>
          <w:spacing w:val="-67"/>
        </w:rPr>
        <w:t> </w:t>
      </w:r>
      <w:r>
        <w:rPr>
          <w:rFonts w:ascii="Times New Roman" w:hAnsi="Times New Roman" w:cs="Times New Roman" w:eastAsia="Times New Roman" w:hint="default"/>
        </w:rPr>
        <w:t>3-4</w:t>
      </w:r>
      <w:r>
        <w:rPr>
          <w:rFonts w:ascii="Times New Roman" w:hAnsi="Times New Roman" w:cs="Times New Roman" w:eastAsia="Times New Roman" w:hint="default"/>
          <w:spacing w:val="-7"/>
        </w:rPr>
        <w:t> </w:t>
      </w:r>
      <w:r>
        <w:rPr>
          <w:spacing w:val="-3"/>
        </w:rPr>
        <w:t>月启动一卡通建设计划；</w:t>
      </w:r>
      <w:r>
        <w:rPr>
          <w:rFonts w:ascii="Times New Roman" w:hAnsi="Times New Roman" w:cs="Times New Roman" w:eastAsia="Times New Roman" w:hint="default"/>
          <w:spacing w:val="-3"/>
        </w:rPr>
        <w:t>5-7</w:t>
      </w:r>
      <w:r>
        <w:rPr>
          <w:rFonts w:ascii="Times New Roman" w:hAnsi="Times New Roman" w:cs="Times New Roman" w:eastAsia="Times New Roman" w:hint="default"/>
          <w:spacing w:val="-7"/>
        </w:rPr>
        <w:t> </w:t>
      </w:r>
      <w:r>
        <w:rPr/>
        <w:t>月通过项目招标等方式确定供应商；暑期 </w:t>
      </w:r>
      <w:r>
        <w:rPr>
          <w:spacing w:val="-3"/>
        </w:rPr>
        <w:t>开始大规模施工以确保开学时基本功能投入使用，</w:t>
      </w:r>
      <w:r>
        <w:rPr>
          <w:rFonts w:ascii="Times New Roman" w:hAnsi="Times New Roman" w:cs="Times New Roman" w:eastAsia="Times New Roman" w:hint="default"/>
          <w:spacing w:val="-3"/>
        </w:rPr>
        <w:t>7-9</w:t>
      </w:r>
      <w:r>
        <w:rPr>
          <w:rFonts w:ascii="Times New Roman" w:hAnsi="Times New Roman" w:cs="Times New Roman" w:eastAsia="Times New Roman" w:hint="default"/>
          <w:spacing w:val="17"/>
        </w:rPr>
        <w:t> </w:t>
      </w:r>
      <w:r>
        <w:rPr>
          <w:spacing w:val="-4"/>
        </w:rPr>
        <w:t>月为校园一卡通系统建设高峰期，并随</w:t>
      </w:r>
      <w:r>
        <w:rPr>
          <w:spacing w:val="-113"/>
        </w:rPr>
        <w:t> </w:t>
      </w:r>
      <w:r>
        <w:rPr>
          <w:spacing w:val="-113"/>
        </w:rPr>
      </w:r>
      <w:r>
        <w:rPr>
          <w:spacing w:val="-3"/>
        </w:rPr>
        <w:t>项目实施进度逐步验收，</w:t>
      </w:r>
      <w:r>
        <w:rPr>
          <w:rFonts w:ascii="Times New Roman" w:hAnsi="Times New Roman" w:cs="Times New Roman" w:eastAsia="Times New Roman" w:hint="default"/>
          <w:spacing w:val="-3"/>
        </w:rPr>
        <w:t>10-12 </w:t>
      </w:r>
      <w:r>
        <w:rPr>
          <w:spacing w:val="-4"/>
        </w:rPr>
        <w:t>月进入项目验收的高峰期。但是，由于一卡通项目的实施至验</w:t>
      </w:r>
      <w:r>
        <w:rPr>
          <w:spacing w:val="-88"/>
        </w:rPr>
        <w:t> </w:t>
      </w:r>
      <w:r>
        <w:rPr>
          <w:spacing w:val="-88"/>
        </w:rPr>
      </w:r>
      <w:r>
        <w:rPr>
          <w:spacing w:val="-1"/>
        </w:rPr>
        <w:t>收涉及运营商</w:t>
      </w:r>
      <w:r>
        <w:rPr>
          <w:rFonts w:ascii="Times New Roman" w:hAnsi="Times New Roman" w:cs="Times New Roman" w:eastAsia="Times New Roman" w:hint="default"/>
          <w:spacing w:val="-1"/>
        </w:rPr>
        <w:t>/</w:t>
      </w:r>
      <w:r>
        <w:rPr>
          <w:spacing w:val="-1"/>
        </w:rPr>
        <w:t>银行和学校的多个部门，各个部门的配合程度、决策流程各不相同，对部分校</w:t>
      </w:r>
      <w:r>
        <w:rPr>
          <w:spacing w:val="-109"/>
        </w:rPr>
        <w:t> </w:t>
      </w:r>
      <w:r>
        <w:rPr>
          <w:spacing w:val="-109"/>
        </w:rPr>
      </w:r>
      <w:r>
        <w:rPr/>
        <w:t>园一卡通项目而言，学校为保证系统的稳定性和可靠性会要求较长试运行期，在项目实施和</w:t>
      </w:r>
      <w:r>
        <w:rPr>
          <w:spacing w:val="-83"/>
        </w:rPr>
        <w:t> </w:t>
      </w:r>
      <w:r>
        <w:rPr>
          <w:spacing w:val="-83"/>
        </w:rPr>
      </w:r>
      <w:r>
        <w:rPr/>
        <w:t>试运行期间也会临时要求增加或改动功能，从而导致部分项目的验收期延长。受上述季节性</w:t>
      </w:r>
      <w:r>
        <w:rPr>
          <w:spacing w:val="-83"/>
        </w:rPr>
        <w:t> </w:t>
      </w:r>
      <w:r>
        <w:rPr>
          <w:spacing w:val="-83"/>
        </w:rPr>
      </w:r>
      <w:r>
        <w:rPr/>
        <w:t>因素影响，公司在第三季度进入发货高峰期，随发货后安装调试及验收开始确认收入，在第</w:t>
      </w:r>
      <w:r>
        <w:rPr>
          <w:spacing w:val="-83"/>
        </w:rPr>
        <w:t> </w:t>
      </w:r>
      <w:r>
        <w:rPr>
          <w:spacing w:val="-83"/>
        </w:rPr>
      </w:r>
      <w:r>
        <w:rPr/>
        <w:t>四季度进入确认收入及收取货款高峰期，上述季节性特征使得公司的采购、生产、发货、安</w:t>
      </w:r>
      <w:r>
        <w:rPr>
          <w:spacing w:val="-83"/>
        </w:rPr>
        <w:t> </w:t>
      </w:r>
      <w:r>
        <w:rPr>
          <w:spacing w:val="-83"/>
        </w:rPr>
      </w:r>
      <w:r>
        <w:rPr/>
        <w:t>装验收和收付款在年度内各期间存在较大的不均衡性，对公司生产经营管理的有效组织和资</w:t>
      </w:r>
      <w:r>
        <w:rPr>
          <w:spacing w:val="-83"/>
        </w:rPr>
        <w:t> </w:t>
      </w:r>
      <w:r>
        <w:rPr>
          <w:spacing w:val="-83"/>
        </w:rPr>
      </w:r>
      <w:r>
        <w:rPr/>
        <w:t>源的利用效率提出了较大挑战。</w:t>
      </w:r>
    </w:p>
    <w:p>
      <w:pPr>
        <w:pStyle w:val="Heading3"/>
        <w:spacing w:line="367" w:lineRule="auto" w:before="83"/>
        <w:ind w:left="624" w:right="213"/>
        <w:jc w:val="left"/>
      </w:pPr>
      <w:r>
        <w:rPr>
          <w:rFonts w:ascii="Times New Roman" w:hAnsi="Times New Roman" w:cs="Times New Roman" w:eastAsia="Times New Roman" w:hint="default"/>
        </w:rPr>
        <w:t>3</w:t>
      </w:r>
      <w:r>
        <w:rPr/>
        <w:t>、应收账款较高的风险 公司主要业务为一卡通项目建设，项目集成度高、建设周期较长，项目投入使用后还需</w:t>
      </w:r>
    </w:p>
    <w:p>
      <w:pPr>
        <w:pStyle w:val="Heading3"/>
        <w:spacing w:line="357" w:lineRule="auto"/>
        <w:ind w:right="93"/>
        <w:jc w:val="left"/>
      </w:pPr>
      <w:r>
        <w:rPr/>
        <w:t>要经过客户的试运行和验收。随着近几年一卡通建设由用户自行购买到由银行、运营商客户</w:t>
      </w:r>
      <w:r>
        <w:rPr>
          <w:spacing w:val="-83"/>
        </w:rPr>
        <w:t> </w:t>
      </w:r>
      <w:r>
        <w:rPr>
          <w:spacing w:val="-83"/>
        </w:rPr>
      </w:r>
      <w:r>
        <w:rPr/>
        <w:t>投资购买，项目的验收及付款流程更加复杂和漫长，销售回款周期也随之增加。由于学校等</w:t>
      </w:r>
      <w:r>
        <w:rPr>
          <w:spacing w:val="-83"/>
        </w:rPr>
        <w:t> </w:t>
      </w:r>
      <w:r>
        <w:rPr>
          <w:spacing w:val="-83"/>
        </w:rPr>
      </w:r>
      <w:r>
        <w:rPr>
          <w:spacing w:val="-2"/>
        </w:rPr>
        <w:t>客户的信誉较好，公司应收账款的收回有较高保障，且从历史经验看相关应收账款回收良好。</w:t>
      </w:r>
      <w:r>
        <w:rPr/>
        <w:t> 但是应收账款的快速增长对公司现金流状况产生了一定影响，增加了公司对业务运营资金的</w:t>
      </w:r>
      <w:r>
        <w:rPr>
          <w:spacing w:val="-83"/>
        </w:rPr>
        <w:t> </w:t>
      </w:r>
      <w:r>
        <w:rPr>
          <w:spacing w:val="-83"/>
        </w:rPr>
      </w:r>
      <w:r>
        <w:rPr/>
        <w:t>需求。随着公司业务规模的扩大，应收账款可能会进一步增加，如果出现应收账款不能按期</w:t>
      </w:r>
      <w:r>
        <w:rPr>
          <w:spacing w:val="-83"/>
        </w:rPr>
        <w:t> </w:t>
      </w:r>
      <w:r>
        <w:rPr>
          <w:spacing w:val="-83"/>
        </w:rPr>
      </w:r>
      <w:r>
        <w:rPr/>
        <w:t>回收或无法回收发生坏账的情况，公司将面临流动资金短缺的风险，从而对公司的持续盈利</w:t>
      </w:r>
      <w:r>
        <w:rPr>
          <w:spacing w:val="-83"/>
        </w:rPr>
        <w:t> </w:t>
      </w:r>
      <w:r>
        <w:rPr>
          <w:spacing w:val="-83"/>
        </w:rPr>
      </w:r>
      <w:r>
        <w:rPr/>
        <w:t>能力造成一定的不利影响。</w:t>
      </w:r>
    </w:p>
    <w:p>
      <w:pPr>
        <w:pStyle w:val="Heading3"/>
        <w:spacing w:line="364" w:lineRule="auto" w:before="76"/>
        <w:ind w:left="624" w:right="213"/>
        <w:jc w:val="left"/>
      </w:pPr>
      <w:r>
        <w:rPr>
          <w:rFonts w:ascii="Times New Roman" w:hAnsi="Times New Roman" w:cs="Times New Roman" w:eastAsia="Times New Roman" w:hint="default"/>
        </w:rPr>
        <w:t>4</w:t>
      </w:r>
      <w:r>
        <w:rPr/>
        <w:t>、技术和产品开发不能及时跟进市场需求的风险 及时响应客户的个性化需求，进行持续的技术及产品开发是公司不断发展壮大的基础。</w:t>
      </w:r>
    </w:p>
    <w:p>
      <w:pPr>
        <w:pStyle w:val="Heading3"/>
        <w:spacing w:line="357" w:lineRule="auto" w:before="29"/>
        <w:ind w:right="228"/>
        <w:jc w:val="both"/>
      </w:pPr>
      <w:r>
        <w:rPr/>
        <w:t>由于智能一卡通行业的技术更新快，新技术的应用频繁，客户对软硬件产品的功能要求不断</w:t>
      </w:r>
      <w:r>
        <w:rPr>
          <w:spacing w:val="-83"/>
        </w:rPr>
        <w:t> </w:t>
      </w:r>
      <w:r>
        <w:rPr>
          <w:spacing w:val="-83"/>
        </w:rPr>
      </w:r>
      <w:r>
        <w:rPr/>
        <w:t>提高，应用也不断深入，因此，公司需要不断进行新技术、新产品的研发和升级。虽然公司</w:t>
      </w:r>
      <w:r>
        <w:rPr>
          <w:spacing w:val="-83"/>
        </w:rPr>
        <w:t> </w:t>
      </w:r>
      <w:r>
        <w:rPr>
          <w:spacing w:val="-83"/>
        </w:rPr>
      </w:r>
      <w:r>
        <w:rPr/>
        <w:t>拥有强大的自主研发和技术创新实力，但如果未来不能准确把握技术、产品及市场的发展趋</w:t>
      </w:r>
      <w:r>
        <w:rPr>
          <w:spacing w:val="-83"/>
        </w:rPr>
        <w:t> </w:t>
      </w:r>
      <w:r>
        <w:rPr>
          <w:spacing w:val="-83"/>
        </w:rPr>
      </w:r>
      <w:r>
        <w:rPr/>
        <w:t>势，持续研发出符合市场需求的新产品，将会削弱公司的竞争优势，对公司的持续盈利能力</w:t>
      </w:r>
      <w:r>
        <w:rPr>
          <w:spacing w:val="-83"/>
        </w:rPr>
        <w:t> </w:t>
      </w:r>
      <w:r>
        <w:rPr>
          <w:spacing w:val="-83"/>
        </w:rPr>
      </w:r>
      <w:r>
        <w:rPr/>
        <w:t>造成不利影响。</w:t>
      </w:r>
    </w:p>
    <w:p>
      <w:pPr>
        <w:pStyle w:val="Heading3"/>
        <w:spacing w:line="364" w:lineRule="auto" w:before="77"/>
        <w:ind w:left="624" w:right="213"/>
        <w:jc w:val="left"/>
      </w:pPr>
      <w:r>
        <w:rPr>
          <w:rFonts w:ascii="Times New Roman" w:hAnsi="Times New Roman" w:cs="Times New Roman" w:eastAsia="Times New Roman" w:hint="default"/>
        </w:rPr>
        <w:t>5</w:t>
      </w:r>
      <w:r>
        <w:rPr/>
        <w:t>、核心技术及知识产权保护风险 公司拥有的智能一卡通相关核心技术在行业内处于先进水平，在核心技术上拥有自主知</w:t>
      </w:r>
    </w:p>
    <w:p>
      <w:pPr>
        <w:spacing w:after="0" w:line="364" w:lineRule="auto"/>
        <w:jc w:val="left"/>
        <w:sectPr>
          <w:pgSz w:w="11910" w:h="16840"/>
          <w:pgMar w:header="747" w:footer="982" w:top="1060" w:bottom="1180" w:left="980" w:right="900"/>
        </w:sectPr>
      </w:pPr>
    </w:p>
    <w:p>
      <w:pPr>
        <w:spacing w:line="240" w:lineRule="auto" w:before="7"/>
        <w:rPr>
          <w:rFonts w:ascii="宋体" w:hAnsi="宋体" w:cs="宋体" w:eastAsia="宋体" w:hint="default"/>
          <w:sz w:val="29"/>
          <w:szCs w:val="29"/>
        </w:rPr>
      </w:pPr>
    </w:p>
    <w:p>
      <w:pPr>
        <w:pStyle w:val="Heading3"/>
        <w:spacing w:line="357" w:lineRule="auto"/>
        <w:ind w:right="228"/>
        <w:jc w:val="both"/>
      </w:pPr>
      <w:r>
        <w:rPr>
          <w:spacing w:val="-5"/>
        </w:rPr>
        <w:t>识产权。尽管公司已经采取了核心技术人员持股、与研发人员签署《保密协议》、申请专利及</w:t>
      </w:r>
      <w:r>
        <w:rPr/>
        <w:t> 著作权保护、加强企业文化建设、不断增强企业凝聚力等措施，但并不能完全消除技术泄密</w:t>
      </w:r>
      <w:r>
        <w:rPr>
          <w:spacing w:val="-83"/>
        </w:rPr>
        <w:t> </w:t>
      </w:r>
      <w:r>
        <w:rPr>
          <w:spacing w:val="-83"/>
        </w:rPr>
      </w:r>
      <w:r>
        <w:rPr/>
        <w:t>或核心技术人员流失的风险。如果出现技术外泄或者核心技术人员流失的情况，将对本公司</w:t>
      </w:r>
      <w:r>
        <w:rPr>
          <w:spacing w:val="-83"/>
        </w:rPr>
        <w:t> </w:t>
      </w:r>
      <w:r>
        <w:rPr>
          <w:spacing w:val="-83"/>
        </w:rPr>
      </w:r>
      <w:r>
        <w:rPr/>
        <w:t>的持续技术创新能力产生一定的负面影响。公司拥有多项专利技术及计算机软件著作权，截</w:t>
      </w:r>
      <w:r>
        <w:rPr>
          <w:spacing w:val="-83"/>
        </w:rPr>
        <w:t> </w:t>
      </w:r>
      <w:r>
        <w:rPr>
          <w:spacing w:val="-83"/>
        </w:rPr>
      </w:r>
      <w:r>
        <w:rPr/>
        <w:t>至目前并未发生严重盗版或侵权事件，但软件具有易于复制的特点，而我国对软件等知识产</w:t>
      </w:r>
      <w:r>
        <w:rPr>
          <w:spacing w:val="-83"/>
        </w:rPr>
        <w:t> </w:t>
      </w:r>
      <w:r>
        <w:rPr>
          <w:spacing w:val="-83"/>
        </w:rPr>
      </w:r>
      <w:r>
        <w:rPr/>
        <w:t>权的保护还较弱，侵权及盗版已经成为制约我国软件行业发展和软件企业成长的重要障碍。</w:t>
      </w:r>
      <w:r>
        <w:rPr>
          <w:spacing w:val="-83"/>
        </w:rPr>
        <w:t> </w:t>
      </w:r>
      <w:r>
        <w:rPr>
          <w:spacing w:val="-83"/>
        </w:rPr>
      </w:r>
      <w:r>
        <w:rPr/>
        <w:t>如果公司的软件遭遇较大范围的盗版、仿冒或侵权，将对公司的经营产生不利影响。</w:t>
      </w:r>
    </w:p>
    <w:p>
      <w:pPr>
        <w:pStyle w:val="Heading3"/>
        <w:spacing w:line="367" w:lineRule="auto" w:before="76"/>
        <w:ind w:left="624" w:right="213"/>
        <w:jc w:val="left"/>
      </w:pPr>
      <w:r>
        <w:rPr>
          <w:rFonts w:ascii="Times New Roman" w:hAnsi="Times New Roman" w:cs="Times New Roman" w:eastAsia="Times New Roman" w:hint="default"/>
        </w:rPr>
        <w:t>6</w:t>
      </w:r>
      <w:r>
        <w:rPr/>
        <w:t>、人才流失风险 信息技术企业一般都面临人员流动大、知识结构更新快的问题，行业内的市场竞争也越</w:t>
      </w:r>
    </w:p>
    <w:p>
      <w:pPr>
        <w:pStyle w:val="Heading3"/>
        <w:spacing w:line="352" w:lineRule="auto"/>
        <w:ind w:right="227"/>
        <w:jc w:val="both"/>
      </w:pPr>
      <w:r>
        <w:rPr/>
        <w:t>来越体现为对高素质人才的竞争。为了稳定公司的管理、技术和销售队伍，公司通过提供有</w:t>
      </w:r>
      <w:r>
        <w:rPr>
          <w:spacing w:val="-83"/>
        </w:rPr>
        <w:t> </w:t>
      </w:r>
      <w:r>
        <w:rPr>
          <w:spacing w:val="-83"/>
        </w:rPr>
      </w:r>
      <w:r>
        <w:rPr/>
        <w:t>竞争力的薪酬、福利和建立公平的竞争晋升机制，提供全面、完善的培训计划，创造开放、</w:t>
      </w:r>
      <w:r>
        <w:rPr>
          <w:spacing w:val="-83"/>
        </w:rPr>
        <w:t> </w:t>
      </w:r>
      <w:r>
        <w:rPr>
          <w:spacing w:val="-83"/>
        </w:rPr>
      </w:r>
      <w:r>
        <w:rPr/>
        <w:t>协作的工作环境和提倡</w:t>
      </w:r>
      <w:r>
        <w:rPr>
          <w:rFonts w:ascii="Times New Roman" w:hAnsi="Times New Roman" w:cs="Times New Roman" w:eastAsia="Times New Roman" w:hint="default"/>
        </w:rPr>
        <w:t>“</w:t>
      </w:r>
      <w:r>
        <w:rPr/>
        <w:t>专注、创新</w:t>
      </w:r>
      <w:r>
        <w:rPr>
          <w:rFonts w:ascii="Times New Roman" w:hAnsi="Times New Roman" w:cs="Times New Roman" w:eastAsia="Times New Roman" w:hint="default"/>
        </w:rPr>
        <w:t>”</w:t>
      </w:r>
      <w:r>
        <w:rPr/>
        <w:t>的企业文化来吸引、培养人才，公司核心骨干人员也持</w:t>
      </w:r>
      <w:r>
        <w:rPr>
          <w:spacing w:val="-80"/>
        </w:rPr>
        <w:t> </w:t>
      </w:r>
      <w:r>
        <w:rPr/>
        <w:t>有公司股份。但随着公司新业务、新项目的迅速推进，公司对专业技术人才的需求还将大量</w:t>
      </w:r>
      <w:r>
        <w:rPr>
          <w:spacing w:val="-83"/>
        </w:rPr>
        <w:t> </w:t>
      </w:r>
      <w:r>
        <w:rPr>
          <w:spacing w:val="-83"/>
        </w:rPr>
      </w:r>
      <w:r>
        <w:rPr/>
        <w:t>增加，而国内相关行业对上述人才的需求也日趋增长，如果公司发生核心人才流失，或公司</w:t>
      </w:r>
      <w:r>
        <w:rPr>
          <w:spacing w:val="-83"/>
        </w:rPr>
        <w:t> </w:t>
      </w:r>
      <w:r>
        <w:rPr>
          <w:spacing w:val="-83"/>
        </w:rPr>
      </w:r>
      <w:r>
        <w:rPr/>
        <w:t>无法吸引优秀人才加入，将对公司长期发展造成不利影响。</w:t>
      </w:r>
    </w:p>
    <w:p>
      <w:pPr>
        <w:pStyle w:val="Heading3"/>
        <w:spacing w:line="240" w:lineRule="auto" w:before="80"/>
        <w:ind w:left="624" w:right="213"/>
        <w:jc w:val="left"/>
      </w:pPr>
      <w:r>
        <w:rPr>
          <w:rFonts w:ascii="Times New Roman" w:hAnsi="Times New Roman" w:cs="Times New Roman" w:eastAsia="Times New Roman" w:hint="default"/>
        </w:rPr>
        <w:t>7</w:t>
      </w:r>
      <w:r>
        <w:rPr/>
        <w:t>、募集资金投资项目实施风险</w:t>
      </w:r>
    </w:p>
    <w:p>
      <w:pPr>
        <w:pStyle w:val="Heading3"/>
        <w:spacing w:line="352" w:lineRule="auto" w:before="174"/>
        <w:ind w:left="154" w:right="95" w:firstLine="470"/>
        <w:jc w:val="left"/>
      </w:pPr>
      <w:r>
        <w:rPr/>
        <w:t>公司</w:t>
      </w:r>
      <w:r>
        <w:rPr>
          <w:spacing w:val="-6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年非公开发行</w:t>
      </w:r>
      <w:r>
        <w:rPr>
          <w:spacing w:val="-62"/>
        </w:rPr>
        <w:t> </w:t>
      </w:r>
      <w:r>
        <w:rPr>
          <w:rFonts w:ascii="Times New Roman" w:hAnsi="Times New Roman" w:cs="Times New Roman" w:eastAsia="Times New Roman" w:hint="default"/>
        </w:rPr>
        <w:t>A</w:t>
      </w:r>
      <w:r>
        <w:rPr>
          <w:rFonts w:ascii="Times New Roman" w:hAnsi="Times New Roman" w:cs="Times New Roman" w:eastAsia="Times New Roman" w:hint="default"/>
          <w:spacing w:val="-2"/>
        </w:rPr>
        <w:t> </w:t>
      </w:r>
      <w:r>
        <w:rPr/>
        <w:t>股股票的申请经中国证监会创业板发行审核委员会审核通过， 公司尚未收到中国证监会的书面核准文。本次募集资金投资项目是公司通过长期市场调研以</w:t>
      </w:r>
      <w:r>
        <w:rPr>
          <w:spacing w:val="-83"/>
        </w:rPr>
        <w:t> </w:t>
      </w:r>
      <w:r>
        <w:rPr>
          <w:spacing w:val="-83"/>
        </w:rPr>
      </w:r>
      <w:r>
        <w:rPr/>
        <w:t>及慎重的可行性研究论证后决定的，并聘请了相关机构进行了详实的可行性研究，根据本次</w:t>
      </w:r>
      <w:r>
        <w:rPr>
          <w:spacing w:val="-83"/>
        </w:rPr>
        <w:t> </w:t>
      </w:r>
      <w:r>
        <w:rPr>
          <w:spacing w:val="-83"/>
        </w:rPr>
      </w:r>
      <w:r>
        <w:rPr/>
        <w:t>募集资金投资项目的可行性研究报告，项目建设具备可行性，但不排除受宏观经济环境、国</w:t>
      </w:r>
      <w:r>
        <w:rPr>
          <w:spacing w:val="-83"/>
        </w:rPr>
        <w:t> </w:t>
      </w:r>
      <w:r>
        <w:rPr>
          <w:spacing w:val="-83"/>
        </w:rPr>
      </w:r>
      <w:r>
        <w:rPr/>
        <w:t>家产业政策、国内外市场环境等因素变化的影响，在项目实施过程中仍然可能存无法达到预</w:t>
      </w:r>
      <w:r>
        <w:rPr>
          <w:spacing w:val="-83"/>
        </w:rPr>
        <w:t> </w:t>
      </w:r>
      <w:r>
        <w:rPr>
          <w:spacing w:val="-83"/>
        </w:rPr>
      </w:r>
      <w:r>
        <w:rPr/>
        <w:t>定目标的风险，进而影响公司未来的经营业绩。</w:t>
      </w:r>
    </w:p>
    <w:p>
      <w:pPr>
        <w:pStyle w:val="Heading3"/>
        <w:spacing w:line="240" w:lineRule="auto" w:before="140"/>
        <w:ind w:left="634" w:right="93"/>
        <w:jc w:val="left"/>
      </w:pPr>
      <w:r>
        <w:rPr/>
        <w:t>公司经本次董事会审议通过的利润分配预案为：以</w:t>
      </w:r>
      <w:r>
        <w:rPr>
          <w:spacing w:val="-79"/>
        </w:rPr>
        <w:t> </w:t>
      </w:r>
      <w:r>
        <w:rPr>
          <w:rFonts w:ascii="Times New Roman" w:hAnsi="Times New Roman" w:cs="Times New Roman" w:eastAsia="Times New Roman" w:hint="default"/>
        </w:rPr>
        <w:t>302,094,901</w:t>
      </w:r>
      <w:r>
        <w:rPr>
          <w:rFonts w:ascii="Times New Roman" w:hAnsi="Times New Roman" w:cs="Times New Roman" w:eastAsia="Times New Roman" w:hint="default"/>
          <w:spacing w:val="-19"/>
        </w:rPr>
        <w:t> </w:t>
      </w:r>
      <w:r>
        <w:rPr>
          <w:spacing w:val="-4"/>
        </w:rPr>
        <w:t>股为基数，向全体股东每</w:t>
      </w:r>
    </w:p>
    <w:p>
      <w:pPr>
        <w:pStyle w:val="Heading3"/>
        <w:spacing w:line="240" w:lineRule="auto" w:before="135"/>
        <w:ind w:left="154" w:right="0"/>
        <w:jc w:val="both"/>
      </w:pPr>
      <w:r>
        <w:rPr>
          <w:rFonts w:ascii="Times New Roman" w:hAnsi="Times New Roman" w:cs="Times New Roman" w:eastAsia="Times New Roman" w:hint="default"/>
        </w:rPr>
        <w:t>10 </w:t>
      </w:r>
      <w:r>
        <w:rPr/>
        <w:t>股派发现金红利</w:t>
      </w:r>
      <w:r>
        <w:rPr>
          <w:spacing w:val="-60"/>
        </w:rPr>
        <w:t> </w:t>
      </w:r>
      <w:r>
        <w:rPr>
          <w:rFonts w:ascii="Times New Roman" w:hAnsi="Times New Roman" w:cs="Times New Roman" w:eastAsia="Times New Roman" w:hint="default"/>
        </w:rPr>
        <w:t>0.5 </w:t>
      </w:r>
      <w:r>
        <w:rPr>
          <w:spacing w:val="-21"/>
        </w:rPr>
        <w:t>元</w:t>
      </w:r>
      <w:r>
        <w:rPr/>
        <w:t>（含税</w:t>
      </w:r>
      <w:r>
        <w:rPr>
          <w:spacing w:val="-120"/>
        </w:rPr>
        <w:t>）</w:t>
      </w:r>
      <w:r>
        <w:rPr>
          <w:spacing w:val="-21"/>
        </w:rPr>
        <w:t>，</w:t>
      </w:r>
      <w:r>
        <w:rPr/>
        <w:t>送红股</w:t>
      </w:r>
      <w:r>
        <w:rPr>
          <w:spacing w:val="-60"/>
        </w:rPr>
        <w:t> </w:t>
      </w:r>
      <w:r>
        <w:rPr>
          <w:rFonts w:ascii="Times New Roman" w:hAnsi="Times New Roman" w:cs="Times New Roman" w:eastAsia="Times New Roman" w:hint="default"/>
        </w:rPr>
        <w:t>0 </w:t>
      </w:r>
      <w:r>
        <w:rPr>
          <w:spacing w:val="-21"/>
        </w:rPr>
        <w:t>股</w:t>
      </w:r>
      <w:r>
        <w:rPr/>
        <w:t>（含税</w:t>
      </w:r>
      <w:r>
        <w:rPr>
          <w:spacing w:val="-120"/>
        </w:rPr>
        <w:t>）</w:t>
      </w:r>
      <w:r>
        <w:rPr>
          <w:spacing w:val="-21"/>
        </w:rPr>
        <w:t>，</w:t>
      </w:r>
      <w:r>
        <w:rPr/>
        <w:t>以资本公积金向全体股东每</w:t>
      </w:r>
      <w:r>
        <w:rPr>
          <w:spacing w:val="-60"/>
        </w:rPr>
        <w:t> </w:t>
      </w:r>
      <w:r>
        <w:rPr>
          <w:rFonts w:ascii="Times New Roman" w:hAnsi="Times New Roman" w:cs="Times New Roman" w:eastAsia="Times New Roman" w:hint="default"/>
        </w:rPr>
        <w:t>10 </w:t>
      </w:r>
      <w:r>
        <w:rPr/>
        <w:t>股转</w:t>
      </w:r>
    </w:p>
    <w:p>
      <w:pPr>
        <w:pStyle w:val="Heading3"/>
        <w:spacing w:line="240" w:lineRule="auto" w:before="137"/>
        <w:ind w:left="154" w:right="0"/>
        <w:jc w:val="both"/>
      </w:pPr>
      <w:r>
        <w:rPr/>
        <w:t>增</w:t>
      </w:r>
      <w:r>
        <w:rPr>
          <w:spacing w:val="-60"/>
        </w:rPr>
        <w:t> </w:t>
      </w:r>
      <w:r>
        <w:rPr>
          <w:rFonts w:ascii="Times New Roman" w:hAnsi="Times New Roman" w:cs="Times New Roman" w:eastAsia="Times New Roman" w:hint="default"/>
        </w:rPr>
        <w:t>0 </w:t>
      </w:r>
      <w:r>
        <w:rPr/>
        <w:t>股。</w:t>
      </w:r>
    </w:p>
    <w:p>
      <w:pPr>
        <w:spacing w:after="0" w:line="240" w:lineRule="auto"/>
        <w:jc w:val="both"/>
        <w:sectPr>
          <w:pgSz w:w="11910" w:h="16840"/>
          <w:pgMar w:header="747" w:footer="982" w:top="1060" w:bottom="118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23"/>
        <w:ind w:left="2081" w:right="208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t>第一节</w:t>
            </w:r>
            <w:r>
              <w:rPr>
                <w:spacing w:val="-19"/>
              </w:rPr>
              <w:t> </w:t>
            </w:r>
            <w:r>
              <w:rPr/>
              <w:t>重要提示、目录和释义</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9</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8"/>
              </w:rPr>
              <w:t> </w:t>
            </w:r>
            <w:r>
              <w:rPr/>
              <w:t>公司简介和主要财务指标</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12</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8"/>
              </w:rPr>
              <w:t> </w:t>
            </w:r>
            <w:r>
              <w:rPr/>
              <w:t>公司业务概要</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17</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9"/>
              </w:rPr>
              <w:t> </w:t>
            </w:r>
            <w:r>
              <w:rPr/>
              <w:t>管理层讨论与分析</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55</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w:t>
            </w:r>
            <w:r>
              <w:rPr>
                <w:spacing w:val="-19"/>
              </w:rPr>
              <w:t> </w:t>
            </w:r>
            <w:r>
              <w:rPr/>
              <w:t>重要事项</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97</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9"/>
              </w:rPr>
              <w:t> </w:t>
            </w:r>
            <w:r>
              <w:rPr/>
              <w:t>股份变动及股东情况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107</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9"/>
              </w:rPr>
              <w:t> </w:t>
            </w:r>
            <w:r>
              <w:rPr/>
              <w:t>优先股相关情况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107</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第八节</w:t>
            </w:r>
            <w:r>
              <w:rPr>
                <w:spacing w:val="-19"/>
              </w:rPr>
              <w:t> </w:t>
            </w:r>
            <w:r>
              <w:rPr/>
              <w:t>董事、监事、高级管理人员和员工情况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108</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第九节</w:t>
            </w:r>
            <w:r>
              <w:rPr>
                <w:spacing w:val="-19"/>
              </w:rPr>
              <w:t> </w:t>
            </w:r>
            <w:r>
              <w:rPr/>
              <w:t>公司治理</w:t>
            </w:r>
            <w:r>
              <w:rPr>
                <w:rFonts w:ascii="Times New Roman" w:hAnsi="Times New Roman" w:cs="Times New Roman" w:eastAsia="Times New Roman" w:hint="default"/>
                <w:b w:val="0"/>
                <w:bCs w:val="0"/>
              </w:rPr>
              <w:tab/>
            </w:r>
            <w:r>
              <w:rPr>
                <w:rFonts w:ascii="Times New Roman" w:hAnsi="Times New Roman" w:cs="Times New Roman" w:eastAsia="Times New Roman" w:hint="default"/>
                <w:spacing w:val="-5"/>
              </w:rPr>
              <w:t>118</w:t>
            </w:r>
            <w:r>
              <w:rPr>
                <w:rFonts w:ascii="Times New Roman" w:hAnsi="Times New Roman" w:cs="Times New Roman" w:eastAsia="Times New Roman" w:hint="default"/>
                <w:b w:val="0"/>
                <w:bCs w:val="0"/>
                <w:spacing w:val="-5"/>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w:t>
            </w:r>
            <w:r>
              <w:rPr>
                <w:spacing w:val="-19"/>
              </w:rPr>
              <w:t> </w:t>
            </w:r>
            <w:r>
              <w:rPr/>
              <w:t>财务报告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127</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20"/>
              </w:rPr>
              <w:t> </w:t>
            </w:r>
            <w:r>
              <w:rPr/>
              <w:t>备查文件目录</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234</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82" w:top="1060" w:bottom="1180" w:left="980" w:right="980"/>
        </w:sectPr>
      </w:pPr>
    </w:p>
    <w:p>
      <w:pPr>
        <w:spacing w:before="946"/>
        <w:ind w:left="2081" w:right="208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4"/>
        <w:gridCol w:w="620"/>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本公司、公司、新开普</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新开普电子股份有限公司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创业板</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深圳证券交易所创业板</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新开普电子股份有限公司股东大会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新开普电子股份有限公司董事会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新开普电子股份有限公司监事会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迪科远望</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北京迪科远望科技有限公司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上海树维</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上海树维信息科技有限公司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山西新开普</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山西新开普信息科技有限公司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福建新开普</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福建新开普信息科技有限公司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北京乐智</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北京乐智科技有限公司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成都兰途</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成都兰途网络科技有限公司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丹诚开普</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嘉兴丹诚开普股权投资合伙企业（有限合伙）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华夏海纳</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河南华夏海纳创业投资集团有限公司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凯里通卡公司</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凯里智慧城市通卡管理有限公司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上海微令</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上海微令信息科技有限公司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郑州佳辰</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郑州佳辰企业管理咨询中心（有限合伙）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丹诚资管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北京丹诚资产管理有限公司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北京优才</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北京优才创智科技有限公司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云和数据</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河南云和数据信息技术有限公司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中国电信集团公司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中国移动</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中国移动通信集团公司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中国联通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中国联合网络通信集团有限公司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中国银联</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中国银联股份有限公司</w:t>
            </w:r>
          </w:p>
        </w:tc>
      </w:tr>
      <w:tr>
        <w:trPr>
          <w:trHeight w:val="165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RFID</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Radio Frequency Identification</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的缩写，即射频识别技术，是一种利用 射频通信实现的非接触式数据采集技术</w:t>
            </w:r>
            <w:r>
              <w:rPr>
                <w:rFonts w:ascii="Times New Roman" w:hAnsi="Times New Roman" w:cs="Times New Roman" w:eastAsia="Times New Roman" w:hint="default"/>
                <w:sz w:val="18"/>
                <w:szCs w:val="18"/>
              </w:rPr>
              <w:t>,</w:t>
            </w:r>
            <w:r>
              <w:rPr>
                <w:rFonts w:ascii="宋体" w:hAnsi="宋体" w:cs="宋体" w:eastAsia="宋体" w:hint="default"/>
                <w:sz w:val="18"/>
                <w:szCs w:val="18"/>
              </w:rPr>
              <w:t>它通过射频信号自动识别目 </w:t>
            </w:r>
            <w:r>
              <w:rPr>
                <w:rFonts w:ascii="宋体" w:hAnsi="宋体" w:cs="宋体" w:eastAsia="宋体" w:hint="default"/>
                <w:spacing w:val="-2"/>
                <w:sz w:val="18"/>
                <w:szCs w:val="18"/>
              </w:rPr>
              <w:t>标对象并获取相关数据。在单一芯片上结合感应式读卡器、感应式卡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片和点对点的功能，通过频谱中无线频率部分的电磁感应耦合方式传</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递信息，传输范围由于频率不同分为中低频和高频两类</w:t>
            </w:r>
          </w:p>
        </w:tc>
      </w:tr>
    </w:tbl>
    <w:p>
      <w:pPr>
        <w:spacing w:after="0" w:line="309"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r>
        <w:rPr/>
        <w:pict>
          <v:shape style="position:absolute;margin-left:56.459999pt;margin-top:71.999962pt;width:479.2pt;height:683.1pt;mso-position-horizontal-relative:page;mso-position-vertical-relative:page;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0"/>
                    <w:gridCol w:w="5424"/>
                  </w:tblGrid>
                  <w:tr>
                    <w:trPr>
                      <w:trHeight w:val="133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智能卡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w:t>
                        </w:r>
                        <w:r>
                          <w:rPr>
                            <w:rFonts w:ascii="Times New Roman" w:hAnsi="Times New Roman" w:cs="Times New Roman" w:eastAsia="Times New Roman" w:hint="default"/>
                            <w:sz w:val="18"/>
                            <w:szCs w:val="18"/>
                          </w:rPr>
                          <w:t>)</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IC </w:t>
                        </w:r>
                        <w:r>
                          <w:rPr>
                            <w:rFonts w:ascii="宋体" w:hAnsi="宋体" w:cs="宋体" w:eastAsia="宋体" w:hint="default"/>
                            <w:sz w:val="18"/>
                            <w:szCs w:val="18"/>
                          </w:rPr>
                          <w:t>卡 </w:t>
                        </w:r>
                        <w:r>
                          <w:rPr>
                            <w:rFonts w:ascii="Times New Roman" w:hAnsi="Times New Roman" w:cs="Times New Roman" w:eastAsia="Times New Roman" w:hint="default"/>
                            <w:sz w:val="18"/>
                            <w:szCs w:val="18"/>
                          </w:rPr>
                          <w:t>(Integrated Circuit Card</w:t>
                        </w:r>
                        <w:r>
                          <w:rPr>
                            <w:rFonts w:ascii="宋体" w:hAnsi="宋体" w:cs="宋体" w:eastAsia="宋体" w:hint="default"/>
                            <w:sz w:val="18"/>
                            <w:szCs w:val="18"/>
                          </w:rPr>
                          <w:t>，集成电路卡</w:t>
                        </w:r>
                        <w:r>
                          <w:rPr>
                            <w:rFonts w:ascii="Times New Roman" w:hAnsi="Times New Roman" w:cs="Times New Roman" w:eastAsia="Times New Roman" w:hint="default"/>
                            <w:sz w:val="18"/>
                            <w:szCs w:val="18"/>
                          </w:rPr>
                          <w:t>)</w:t>
                        </w:r>
                        <w:r>
                          <w:rPr>
                            <w:rFonts w:ascii="宋体" w:hAnsi="宋体" w:cs="宋体" w:eastAsia="宋体" w:hint="default"/>
                            <w:sz w:val="18"/>
                            <w:szCs w:val="18"/>
                          </w:rPr>
                          <w:t>也称智能卡</w:t>
                        </w:r>
                        <w:r>
                          <w:rPr>
                            <w:rFonts w:ascii="Times New Roman" w:hAnsi="Times New Roman" w:cs="Times New Roman" w:eastAsia="Times New Roman" w:hint="default"/>
                            <w:sz w:val="18"/>
                            <w:szCs w:val="18"/>
                          </w:rPr>
                          <w:t>(Smart</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card)</w:t>
                        </w:r>
                        <w:r>
                          <w:rPr>
                            <w:rFonts w:ascii="宋体" w:hAnsi="宋体" w:cs="宋体" w:eastAsia="宋体" w:hint="default"/>
                            <w:sz w:val="18"/>
                            <w:szCs w:val="18"/>
                          </w:rPr>
                          <w:t>、 智慧卡</w:t>
                        </w:r>
                        <w:r>
                          <w:rPr>
                            <w:rFonts w:ascii="Times New Roman" w:hAnsi="Times New Roman" w:cs="Times New Roman" w:eastAsia="Times New Roman" w:hint="default"/>
                            <w:sz w:val="18"/>
                            <w:szCs w:val="18"/>
                          </w:rPr>
                          <w:t>(Intelligent card)</w:t>
                        </w:r>
                        <w:r>
                          <w:rPr>
                            <w:rFonts w:ascii="宋体" w:hAnsi="宋体" w:cs="宋体" w:eastAsia="宋体" w:hint="default"/>
                            <w:sz w:val="18"/>
                            <w:szCs w:val="18"/>
                          </w:rPr>
                          <w:t>、微电路卡</w:t>
                        </w:r>
                        <w:r>
                          <w:rPr>
                            <w:rFonts w:ascii="Times New Roman" w:hAnsi="Times New Roman" w:cs="Times New Roman" w:eastAsia="Times New Roman" w:hint="default"/>
                            <w:sz w:val="18"/>
                            <w:szCs w:val="18"/>
                          </w:rPr>
                          <w:t>(Microcircuit</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card)</w:t>
                        </w:r>
                        <w:r>
                          <w:rPr>
                            <w:rFonts w:ascii="宋体" w:hAnsi="宋体" w:cs="宋体" w:eastAsia="宋体" w:hint="default"/>
                            <w:sz w:val="18"/>
                            <w:szCs w:val="18"/>
                          </w:rPr>
                          <w:t>或微芯片卡等。 它是将一个微电子芯片嵌入符合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ISO7816</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标准的卡基中，做成卡片形</w:t>
                        </w:r>
                        <w:r>
                          <w:rPr>
                            <w:rFonts w:ascii="宋体" w:hAnsi="宋体" w:cs="宋体" w:eastAsia="宋体" w:hint="default"/>
                            <w:sz w:val="18"/>
                            <w:szCs w:val="18"/>
                          </w:rPr>
                          <w:t> 式</w:t>
                        </w:r>
                      </w:p>
                    </w:tc>
                  </w:tr>
                  <w:tr>
                    <w:trPr>
                      <w:trHeight w:val="133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CPU</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芯片内含有一个微处理器，功能相当于一台微型计算机。较之普通的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卡其性能上有巨大提升，安全性提高很多，通常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CPU </w:t>
                        </w:r>
                        <w:r>
                          <w:rPr>
                            <w:rFonts w:ascii="宋体" w:hAnsi="宋体" w:cs="宋体" w:eastAsia="宋体" w:hint="default"/>
                            <w:sz w:val="18"/>
                            <w:szCs w:val="18"/>
                          </w:rPr>
                          <w:t>卡内含有随 机数发生器，硬件</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DES,3DES</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加密算法等，配合片上操作系统，可达 到较高安全等级</w:t>
                        </w:r>
                      </w:p>
                    </w:tc>
                  </w:tr>
                  <w:tr>
                    <w:trPr>
                      <w:trHeight w:val="133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POS</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9"/>
                          <w:jc w:val="left"/>
                          <w:rPr>
                            <w:rFonts w:ascii="宋体" w:hAnsi="宋体" w:cs="宋体" w:eastAsia="宋体" w:hint="default"/>
                            <w:sz w:val="18"/>
                            <w:szCs w:val="18"/>
                          </w:rPr>
                        </w:pPr>
                        <w:r>
                          <w:rPr>
                            <w:rFonts w:ascii="Times New Roman" w:hAnsi="Times New Roman" w:cs="Times New Roman" w:eastAsia="Times New Roman" w:hint="default"/>
                            <w:sz w:val="18"/>
                            <w:szCs w:val="18"/>
                          </w:rPr>
                          <w:t>Point Of Sale</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的缩写，即销售终端，是一种多功能终端，把它安装在 商户和受理网点中与计算机联成网络，就能实现电子资金自动转帐， 它具有支持消费、预授权、余额查询和转帐等功能，使用起来安全、 快捷、可靠</w:t>
                        </w:r>
                      </w:p>
                    </w:tc>
                  </w:tr>
                  <w:tr>
                    <w:trPr>
                      <w:trHeight w:val="165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一卡通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在同一张卡上实现多种不同功能，通行多种智能设备。一卡通系统集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技术、嵌入系统开发技术、智能卡应用技术、计算机网络技术 等于一体，通过</w:t>
                        </w:r>
                        <w:r>
                          <w:rPr>
                            <w:rFonts w:ascii="Times New Roman" w:hAnsi="Times New Roman" w:cs="Times New Roman" w:eastAsia="Times New Roman" w:hint="default"/>
                            <w:sz w:val="18"/>
                            <w:szCs w:val="18"/>
                          </w:rPr>
                          <w:t>"</w:t>
                        </w:r>
                        <w:r>
                          <w:rPr>
                            <w:rFonts w:ascii="宋体" w:hAnsi="宋体" w:cs="宋体" w:eastAsia="宋体" w:hint="default"/>
                            <w:sz w:val="18"/>
                            <w:szCs w:val="18"/>
                          </w:rPr>
                          <w:t>信息共享、集中控制</w:t>
                        </w:r>
                        <w:r>
                          <w:rPr>
                            <w:rFonts w:ascii="Times New Roman" w:hAnsi="Times New Roman" w:cs="Times New Roman" w:eastAsia="Times New Roman" w:hint="default"/>
                            <w:sz w:val="18"/>
                            <w:szCs w:val="18"/>
                          </w:rPr>
                          <w:t>"</w:t>
                        </w:r>
                        <w:r>
                          <w:rPr>
                            <w:rFonts w:ascii="宋体" w:hAnsi="宋体" w:cs="宋体" w:eastAsia="宋体" w:hint="default"/>
                            <w:sz w:val="18"/>
                            <w:szCs w:val="18"/>
                          </w:rPr>
                          <w:t>实现某一区域的智能化管理。 </w:t>
                        </w:r>
                        <w:r>
                          <w:rPr>
                            <w:rFonts w:ascii="宋体" w:hAnsi="宋体" w:cs="宋体" w:eastAsia="宋体" w:hint="default"/>
                            <w:spacing w:val="-2"/>
                            <w:sz w:val="18"/>
                            <w:szCs w:val="18"/>
                          </w:rPr>
                          <w:t>广泛应用于校园，企事业，城市等领域。随着技术发展，介质卡片已</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M1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卡、</w:t>
                        </w:r>
                        <w:r>
                          <w:rPr>
                            <w:rFonts w:ascii="Times New Roman" w:hAnsi="Times New Roman" w:cs="Times New Roman" w:eastAsia="Times New Roman" w:hint="default"/>
                            <w:sz w:val="18"/>
                            <w:szCs w:val="18"/>
                          </w:rPr>
                          <w:t>CPU</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卡发展至及手机卡等多种实现形式</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校园一卡通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一卡通系统在校园内的应用形态，实现学生、教师及职工的</w:t>
                        </w:r>
                        <w:r>
                          <w:rPr>
                            <w:rFonts w:ascii="Times New Roman" w:hAnsi="Times New Roman" w:cs="Times New Roman" w:eastAsia="Times New Roman" w:hint="default"/>
                            <w:sz w:val="18"/>
                            <w:szCs w:val="18"/>
                          </w:rPr>
                          <w:t>"</w:t>
                        </w:r>
                        <w:r>
                          <w:rPr>
                            <w:rFonts w:ascii="宋体" w:hAnsi="宋体" w:cs="宋体" w:eastAsia="宋体" w:hint="default"/>
                            <w:sz w:val="18"/>
                            <w:szCs w:val="18"/>
                          </w:rPr>
                          <w:t>一卡在 手，走遍校园，一卡通用，一卡多用</w:t>
                        </w:r>
                        <w:r>
                          <w:rPr>
                            <w:rFonts w:ascii="Times New Roman" w:hAnsi="Times New Roman" w:cs="Times New Roman" w:eastAsia="Times New Roman" w:hint="default"/>
                            <w:sz w:val="18"/>
                            <w:szCs w:val="18"/>
                          </w:rPr>
                          <w:t>"</w:t>
                        </w:r>
                      </w:p>
                    </w:tc>
                  </w:tr>
                  <w:tr>
                    <w:trPr>
                      <w:trHeight w:val="258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数字化校园</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是校园信息化建设的高级阶段，以数字化信息和网络为基础，在计算</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机和网络技术上建立起来的对教学、科研、管理、技术服务、生活服</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务等校园信息的收集、处理、整合、存储、传输和应用，使数字资源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得到充分优化。利用一种虚拟教育环境，通过实现从环境、资源到应</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用的全部数字化，在传统校园基础上构建一个数字空间，以拓展现实</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校园的时间和空间维度，提升传统校园的运行效率，扩展传统校园的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业务功能，最终实现教育过程的全面信息化，从而达到提高管理水平</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和效率的目的</w:t>
                        </w:r>
                      </w:p>
                    </w:tc>
                  </w:tr>
                  <w:tr>
                    <w:trPr>
                      <w:trHeight w:val="133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物联网</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w w:val="100"/>
                            <w:sz w:val="18"/>
                            <w:szCs w:val="18"/>
                          </w:rPr>
                          <w:t>The </w:t>
                        </w:r>
                        <w:r>
                          <w:rPr>
                            <w:rFonts w:ascii="Times New Roman" w:hAnsi="Times New Roman" w:cs="Times New Roman" w:eastAsia="Times New Roman" w:hint="default"/>
                            <w:spacing w:val="-1"/>
                            <w:w w:val="100"/>
                            <w:sz w:val="18"/>
                            <w:szCs w:val="18"/>
                          </w:rPr>
                          <w:t>Internet</w:t>
                        </w:r>
                        <w:r>
                          <w:rPr>
                            <w:rFonts w:ascii="Times New Roman" w:hAnsi="Times New Roman" w:cs="Times New Roman" w:eastAsia="Times New Roman" w:hint="default"/>
                            <w:w w:val="100"/>
                            <w:sz w:val="18"/>
                            <w:szCs w:val="18"/>
                          </w:rPr>
                          <w:t> </w:t>
                        </w:r>
                        <w:r>
                          <w:rPr>
                            <w:rFonts w:ascii="Times New Roman" w:hAnsi="Times New Roman" w:cs="Times New Roman" w:eastAsia="Times New Roman" w:hint="default"/>
                            <w:sz w:val="18"/>
                            <w:szCs w:val="18"/>
                          </w:rPr>
                          <w:t>of</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pacing w:val="-5"/>
                            <w:w w:val="99"/>
                            <w:sz w:val="18"/>
                            <w:szCs w:val="18"/>
                          </w:rPr>
                          <w:t>things</w:t>
                        </w:r>
                        <w:r>
                          <w:rPr>
                            <w:rFonts w:ascii="宋体" w:hAnsi="宋体" w:cs="宋体" w:eastAsia="宋体" w:hint="default"/>
                            <w:spacing w:val="-5"/>
                            <w:w w:val="99"/>
                            <w:sz w:val="18"/>
                            <w:szCs w:val="18"/>
                          </w:rPr>
                          <w:t>，即物物相连的互联网，通过射频识别（</w:t>
                        </w:r>
                        <w:r>
                          <w:rPr>
                            <w:rFonts w:ascii="Times New Roman" w:hAnsi="Times New Roman" w:cs="Times New Roman" w:eastAsia="Times New Roman" w:hint="default"/>
                            <w:spacing w:val="-5"/>
                            <w:w w:val="99"/>
                            <w:sz w:val="18"/>
                            <w:szCs w:val="18"/>
                          </w:rPr>
                          <w:t>RFID</w:t>
                        </w:r>
                        <w:r>
                          <w:rPr>
                            <w:rFonts w:ascii="宋体" w:hAnsi="宋体" w:cs="宋体" w:eastAsia="宋体" w:hint="default"/>
                            <w:spacing w:val="-5"/>
                            <w:w w:val="99"/>
                            <w:sz w:val="18"/>
                            <w:szCs w:val="18"/>
                          </w:rPr>
                          <w:t>）</w:t>
                        </w:r>
                        <w:r>
                          <w:rPr>
                            <w:rFonts w:ascii="宋体" w:hAnsi="宋体" w:cs="宋体" w:eastAsia="宋体" w:hint="default"/>
                            <w:spacing w:val="-78"/>
                            <w:w w:val="99"/>
                            <w:sz w:val="18"/>
                            <w:szCs w:val="18"/>
                          </w:rPr>
                          <w:t> </w:t>
                        </w:r>
                        <w:r>
                          <w:rPr>
                            <w:rFonts w:ascii="宋体" w:hAnsi="宋体" w:cs="宋体" w:eastAsia="宋体" w:hint="default"/>
                            <w:spacing w:val="-2"/>
                            <w:sz w:val="18"/>
                            <w:szCs w:val="18"/>
                          </w:rPr>
                          <w:t>红外感应器、全球定位系统、激光扫描器等信息传感设备，按约定的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协议，把任何物体与互联网相连接，进行信息交换和通信，以实现对</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物体的智能化识别、定位、跟踪、监控和管理的一种网络</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智慧校园</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数字化校园结合物联网技术所形成的高端校园信息化形态</w:t>
                        </w:r>
                      </w:p>
                    </w:tc>
                  </w:tr>
                  <w:tr>
                    <w:trPr>
                      <w:trHeight w:val="196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9"/>
                          <w:jc w:val="both"/>
                          <w:rPr>
                            <w:rFonts w:ascii="宋体" w:hAnsi="宋体" w:cs="宋体" w:eastAsia="宋体" w:hint="default"/>
                            <w:sz w:val="18"/>
                            <w:szCs w:val="18"/>
                          </w:rPr>
                        </w:pPr>
                        <w:r>
                          <w:rPr>
                            <w:rFonts w:ascii="宋体" w:hAnsi="宋体" w:cs="宋体" w:eastAsia="宋体" w:hint="default"/>
                            <w:sz w:val="18"/>
                            <w:szCs w:val="18"/>
                          </w:rPr>
                          <w:t>指充分借助物联网、传感网，运用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RFID</w:t>
                        </w:r>
                        <w:r>
                          <w:rPr>
                            <w:rFonts w:ascii="宋体" w:hAnsi="宋体" w:cs="宋体" w:eastAsia="宋体" w:hint="default"/>
                            <w:sz w:val="18"/>
                            <w:szCs w:val="18"/>
                          </w:rPr>
                          <w:t>、信息技术等，使城市的关 </w:t>
                        </w:r>
                        <w:r>
                          <w:rPr>
                            <w:rFonts w:ascii="宋体" w:hAnsi="宋体" w:cs="宋体" w:eastAsia="宋体" w:hint="default"/>
                            <w:spacing w:val="-2"/>
                            <w:sz w:val="18"/>
                            <w:szCs w:val="18"/>
                          </w:rPr>
                          <w:t>键基础设施通过组成服务，使城市的服务更有效，为市民提供人与社</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会、人与人的和谐共处，涉及到智能楼宇、智能家居、路网监控、智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能医院等数字生活等诸多领域，构建城市发展的智慧环境，形成基于</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海量信息和智能过滤处理的新的生活、产业发展、社会管理等模式， 面向未来构建全新的城市形态</w:t>
                        </w:r>
                      </w:p>
                    </w:tc>
                  </w:tr>
                  <w:tr>
                    <w:trPr>
                      <w:trHeight w:val="98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手机支付</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指允许移动用户使用其移动终端（通常是手机）对所消费的商品或服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务进行账务支付的一种服务方式，可分为远端支付和近场支付，其中</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近场支付指用户利用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RFID</w:t>
                        </w:r>
                        <w:r>
                          <w:rPr>
                            <w:rFonts w:ascii="宋体" w:hAnsi="宋体" w:cs="宋体" w:eastAsia="宋体" w:hint="default"/>
                            <w:sz w:val="18"/>
                            <w:szCs w:val="18"/>
                          </w:rPr>
                          <w:t>、</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NFC </w:t>
                        </w:r>
                        <w:r>
                          <w:rPr>
                            <w:rFonts w:ascii="宋体" w:hAnsi="宋体" w:cs="宋体" w:eastAsia="宋体" w:hint="default"/>
                            <w:spacing w:val="-3"/>
                            <w:sz w:val="18"/>
                            <w:szCs w:val="18"/>
                          </w:rPr>
                          <w:t>和蓝牙红外等技术，使手机和自动</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p>
      <w:pPr>
        <w:spacing w:before="44"/>
        <w:ind w:left="0" w:right="157"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spacing w:before="44"/>
        <w:ind w:left="0" w:right="158" w:firstLine="0"/>
        <w:jc w:val="right"/>
        <w:rPr>
          <w:rFonts w:ascii="宋体" w:hAnsi="宋体" w:cs="宋体" w:eastAsia="宋体" w:hint="default"/>
          <w:sz w:val="18"/>
          <w:szCs w:val="18"/>
        </w:rPr>
      </w:pPr>
      <w:r>
        <w:rPr/>
        <w:pict>
          <v:shape style="position:absolute;margin-left:56.459999pt;margin-top:-204.068039pt;width:479.2pt;height:498.3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0"/>
                    <w:gridCol w:w="5424"/>
                  </w:tblGrid>
                  <w:tr>
                    <w:trPr>
                      <w:trHeight w:val="674" w:hRule="exact"/>
                    </w:trPr>
                    <w:tc>
                      <w:tcPr>
                        <w:tcW w:w="352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109"/>
                          <w:jc w:val="left"/>
                          <w:rPr>
                            <w:rFonts w:ascii="宋体" w:hAnsi="宋体" w:cs="宋体" w:eastAsia="宋体" w:hint="default"/>
                            <w:sz w:val="18"/>
                            <w:szCs w:val="18"/>
                          </w:rPr>
                        </w:pPr>
                        <w:r>
                          <w:rPr>
                            <w:rFonts w:ascii="宋体" w:hAnsi="宋体" w:cs="宋体" w:eastAsia="宋体" w:hint="default"/>
                            <w:sz w:val="18"/>
                            <w:szCs w:val="18"/>
                          </w:rPr>
                          <w:t>售货机、</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终端、汽车停放收费表等终端设备之间实现本地化通 讯</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移动互联网</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both"/>
                          <w:rPr>
                            <w:rFonts w:ascii="宋体" w:hAnsi="宋体" w:cs="宋体" w:eastAsia="宋体" w:hint="default"/>
                            <w:sz w:val="18"/>
                            <w:szCs w:val="18"/>
                          </w:rPr>
                        </w:pPr>
                        <w:r>
                          <w:rPr>
                            <w:rFonts w:ascii="宋体" w:hAnsi="宋体" w:cs="宋体" w:eastAsia="宋体" w:hint="default"/>
                            <w:spacing w:val="-2"/>
                            <w:sz w:val="18"/>
                            <w:szCs w:val="18"/>
                          </w:rPr>
                          <w:t>移动通信和互联网二者结合起来，成为一体，是一种通过智能移动终</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端，采用移动无线通信方式获取业务和服务的新兴业态，包含终端、 软件和应用三个层面。</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NFC</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Near Field Communication</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缩写，即近距离无线通讯技术。是一种短距</w:t>
                        </w:r>
                        <w:r>
                          <w:rPr>
                            <w:rFonts w:ascii="宋体" w:hAnsi="宋体" w:cs="宋体" w:eastAsia="宋体" w:hint="default"/>
                            <w:sz w:val="18"/>
                            <w:szCs w:val="18"/>
                          </w:rPr>
                          <w:t> </w:t>
                        </w:r>
                        <w:r>
                          <w:rPr>
                            <w:rFonts w:ascii="宋体" w:hAnsi="宋体" w:cs="宋体" w:eastAsia="宋体" w:hint="default"/>
                            <w:spacing w:val="-2"/>
                            <w:sz w:val="18"/>
                            <w:szCs w:val="18"/>
                          </w:rPr>
                          <w:t>离的高频无线通信技术，允许电子设备之间进行非接触式点对点数据</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传输</w:t>
                        </w:r>
                      </w:p>
                    </w:tc>
                  </w:tr>
                  <w:tr>
                    <w:trPr>
                      <w:trHeight w:val="133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B2B</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Business </w:t>
                        </w:r>
                        <w:r>
                          <w:rPr>
                            <w:rFonts w:ascii="Times New Roman" w:hAnsi="Times New Roman" w:cs="Times New Roman" w:eastAsia="Times New Roman" w:hint="default"/>
                            <w:spacing w:val="-6"/>
                            <w:sz w:val="18"/>
                            <w:szCs w:val="18"/>
                          </w:rPr>
                          <w:t>To</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Business</w:t>
                        </w:r>
                        <w:r>
                          <w:rPr>
                            <w:rFonts w:ascii="宋体" w:hAnsi="宋体" w:cs="宋体" w:eastAsia="宋体" w:hint="default"/>
                            <w:sz w:val="18"/>
                            <w:szCs w:val="18"/>
                          </w:rPr>
                          <w:t>（商家对商家）的缩写，是指一个互联网市场领 域的一种，是企业对企业之间的营销关系。它将企业内部网，通过 </w:t>
                        </w:r>
                        <w:r>
                          <w:rPr>
                            <w:rFonts w:ascii="Times New Roman" w:hAnsi="Times New Roman" w:cs="Times New Roman" w:eastAsia="Times New Roman" w:hint="default"/>
                            <w:spacing w:val="-1"/>
                            <w:sz w:val="18"/>
                            <w:szCs w:val="18"/>
                          </w:rPr>
                          <w:t>B2B</w:t>
                        </w:r>
                        <w:r>
                          <w:rPr>
                            <w:rFonts w:ascii="Times New Roman" w:hAnsi="Times New Roman" w:cs="Times New Roman" w:eastAsia="Times New Roman" w:hint="default"/>
                            <w:spacing w:val="6"/>
                            <w:sz w:val="18"/>
                            <w:szCs w:val="18"/>
                          </w:rPr>
                          <w:t> </w:t>
                        </w:r>
                        <w:r>
                          <w:rPr>
                            <w:rFonts w:ascii="宋体" w:hAnsi="宋体" w:cs="宋体" w:eastAsia="宋体" w:hint="default"/>
                            <w:spacing w:val="-2"/>
                            <w:sz w:val="18"/>
                            <w:szCs w:val="18"/>
                          </w:rPr>
                          <w:t>网站与客户紧密结合起来，通过网络的快速反应，为客户提供更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好的服务，从而促进企业的业务发展</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B2C</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Business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6"/>
                            <w:sz w:val="18"/>
                            <w:szCs w:val="18"/>
                          </w:rPr>
                          <w:t>To</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pacing w:val="-5"/>
                            <w:sz w:val="18"/>
                            <w:szCs w:val="18"/>
                          </w:rPr>
                          <w:t>Customer</w:t>
                        </w:r>
                        <w:r>
                          <w:rPr>
                            <w:rFonts w:ascii="宋体" w:hAnsi="宋体" w:cs="宋体" w:eastAsia="宋体" w:hint="default"/>
                            <w:spacing w:val="-5"/>
                            <w:sz w:val="18"/>
                            <w:szCs w:val="18"/>
                          </w:rPr>
                          <w:t>（商家对顾客）的缩写，是电子商务的一种模式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也就是通常说的商业零售，直接面向消费者销售产品和服务</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O2O</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Online </w:t>
                        </w:r>
                        <w:r>
                          <w:rPr>
                            <w:rFonts w:ascii="Times New Roman" w:hAnsi="Times New Roman" w:cs="Times New Roman" w:eastAsia="Times New Roman" w:hint="default"/>
                            <w:spacing w:val="-6"/>
                            <w:sz w:val="18"/>
                            <w:szCs w:val="18"/>
                          </w:rPr>
                          <w:t>To</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Offline</w:t>
                        </w:r>
                        <w:r>
                          <w:rPr>
                            <w:rFonts w:ascii="宋体" w:hAnsi="宋体" w:cs="宋体" w:eastAsia="宋体" w:hint="default"/>
                            <w:sz w:val="18"/>
                            <w:szCs w:val="18"/>
                          </w:rPr>
                          <w:t>（在线离线</w:t>
                        </w:r>
                        <w:r>
                          <w:rPr>
                            <w:rFonts w:ascii="Times New Roman" w:hAnsi="Times New Roman" w:cs="Times New Roman" w:eastAsia="Times New Roman" w:hint="default"/>
                            <w:sz w:val="18"/>
                            <w:szCs w:val="18"/>
                          </w:rPr>
                          <w:t>/</w:t>
                        </w:r>
                        <w:r>
                          <w:rPr>
                            <w:rFonts w:ascii="宋体" w:hAnsi="宋体" w:cs="宋体" w:eastAsia="宋体" w:hint="default"/>
                            <w:sz w:val="18"/>
                            <w:szCs w:val="18"/>
                          </w:rPr>
                          <w:t>线上到线下）的缩写，是指线下的商务 机构与互联网结合，让互联网成为线下交易的前台</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APP/</w:t>
                        </w:r>
                        <w:r>
                          <w:rPr>
                            <w:rFonts w:ascii="宋体" w:hAnsi="宋体" w:cs="宋体" w:eastAsia="宋体" w:hint="default"/>
                            <w:sz w:val="18"/>
                            <w:szCs w:val="18"/>
                          </w:rPr>
                          <w:t>移动应用</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运行在智能手机、平板电脑等移动终端上的应用程序</w:t>
                        </w:r>
                      </w:p>
                    </w:tc>
                  </w:tr>
                  <w:tr>
                    <w:trPr>
                      <w:trHeight w:val="165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SaaS</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Software-as-a-Service</w:t>
                        </w:r>
                        <w:r>
                          <w:rPr>
                            <w:rFonts w:ascii="宋体" w:hAnsi="宋体" w:cs="宋体" w:eastAsia="宋体" w:hint="default"/>
                            <w:spacing w:val="-1"/>
                            <w:sz w:val="18"/>
                            <w:szCs w:val="18"/>
                          </w:rPr>
                          <w:t>（软件即服务）的简称，它是一种通过互联网提</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供软件服务的模式，软件厂商将应用软件统一部署在自己的服务器 </w:t>
                        </w:r>
                        <w:r>
                          <w:rPr>
                            <w:rFonts w:ascii="宋体" w:hAnsi="宋体" w:cs="宋体" w:eastAsia="宋体" w:hint="default"/>
                            <w:spacing w:val="-2"/>
                            <w:sz w:val="18"/>
                            <w:szCs w:val="18"/>
                          </w:rPr>
                          <w:t>上，客户可以根据自己实际需求，通过互联网向软件厂商定购和获得</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所需的应用软件服务，并按定购的服务多少和时间长短向软件厂商支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付相关费用</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《新开普电子股份有限公司章程》</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_TOC_250009" w:id="2"/>
      <w:r>
        <w:rPr/>
        <w:t>第二节</w:t>
      </w:r>
      <w:r>
        <w:rPr>
          <w:spacing w:val="-11"/>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pict>
          <v:shape style="position:absolute;margin-left:138pt;margin-top:114.735939pt;width:396.9pt;height:19.6pt;mso-position-horizontal-relative:page;mso-position-vertical-relative:paragraph;z-index:-1169008"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3"/>
        <w:gridCol w:w="2156"/>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21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300248</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新开普电子股份有限公司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新开普</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Newcapec Electronics Co.,</w:t>
            </w:r>
            <w:r>
              <w:rPr>
                <w:rFonts w:ascii="Times New Roman"/>
                <w:spacing w:val="-10"/>
                <w:sz w:val="18"/>
              </w:rPr>
              <w:t> </w:t>
            </w:r>
            <w:r>
              <w:rPr>
                <w:rFonts w:ascii="Times New Roman"/>
                <w:sz w:val="18"/>
              </w:rPr>
              <w:t>Ltd.</w:t>
            </w:r>
          </w:p>
        </w:tc>
      </w:tr>
      <w:tr>
        <w:trPr>
          <w:trHeight w:val="402" w:hRule="exact"/>
        </w:trPr>
        <w:tc>
          <w:tcPr>
            <w:tcW w:w="2284" w:type="dxa"/>
            <w:tcBorders>
              <w:top w:val="single" w:sz="4" w:space="0" w:color="000000"/>
              <w:left w:val="single" w:sz="4" w:space="0" w:color="000000"/>
              <w:bottom w:val="single" w:sz="4" w:space="0" w:color="000000"/>
              <w:right w:val="single" w:sz="10" w:space="0" w:color="FFFFFF"/>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5" w:type="dxa"/>
            <w:gridSpan w:val="3"/>
            <w:tcBorders>
              <w:top w:val="single" w:sz="4" w:space="0" w:color="000000"/>
              <w:left w:val="single" w:sz="10" w:space="0" w:color="FFFFFF"/>
              <w:bottom w:val="single" w:sz="4" w:space="0" w:color="000000"/>
              <w:right w:val="single" w:sz="9" w:space="0" w:color="FFFFFF"/>
            </w:tcBorders>
          </w:tcPr>
          <w:p>
            <w:pPr>
              <w:pStyle w:val="TableParagraph"/>
              <w:spacing w:line="240" w:lineRule="auto" w:before="92"/>
              <w:ind w:left="16" w:right="0"/>
              <w:jc w:val="left"/>
              <w:rPr>
                <w:rFonts w:ascii="Times New Roman" w:hAnsi="Times New Roman" w:cs="Times New Roman" w:eastAsia="Times New Roman" w:hint="default"/>
                <w:sz w:val="18"/>
                <w:szCs w:val="18"/>
              </w:rPr>
            </w:pPr>
            <w:r>
              <w:rPr>
                <w:rFonts w:ascii="Times New Roman"/>
                <w:sz w:val="18"/>
              </w:rPr>
              <w:t>Newcapec</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杨维国</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郑州市高新技术产业开发区迎春街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450001</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郑州市高新技术产业开发区迎春街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450001</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9">
              <w:r>
                <w:rPr>
                  <w:rFonts w:ascii="Times New Roman"/>
                  <w:sz w:val="18"/>
                </w:rPr>
                <w:t>http://www.newcapec.com.cn/</w:t>
              </w:r>
            </w:hyperlink>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0">
              <w:r>
                <w:rPr>
                  <w:rFonts w:ascii="Times New Roman"/>
                  <w:sz w:val="18"/>
                </w:rPr>
                <w:t>zqswb@newcapec.net</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华梦阳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赵鑫</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郑州市高新技术产业开发区迎春街</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郑州市高新技术产业开发区迎春街</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0371-56599758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0371-56599758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0371-56599716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0371-56599716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huamengyang@newcapec.net</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zhaoxin@newcapec.net</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2"/>
        <w:gridCol w:w="5575"/>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四、其他有关资料</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号新黄浦金融大厦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刘金进、李洪勇</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38" w:lineRule="auto" w:before="117"/>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公司聘请的报告期内履行持续督导职责的财务顾问</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江苏省南京市玄武区大钟亭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张建、张玉林</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五、主要会计数据和财务指标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510,443,267.47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315,360,861.85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61.86%</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221,169,469.97</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60,401,993.08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37,756,702.33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59.98%</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24,696,036.39</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60,222,958.18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36,722,143.93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64.00%</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23,850,632.09</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78,585,051.42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3,621,744.87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2,069.81%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27,813,108.05</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61.54%</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0.09</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61.54%</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0.09</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9.86%</w:t>
            </w:r>
            <w:r>
              <w:rPr>
                <w:rFonts w:ascii="Times New Roman"/>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7.25%</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2.61%</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4.95%</w:t>
            </w:r>
            <w:r>
              <w:rPr>
                <w:rFonts w:ascii="Times New Roman"/>
                <w:sz w:val="18"/>
              </w:rPr>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1,345,338,232.95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646,688,096.54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108.04%</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583,071,821.25</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809,154,878.76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536,070,836.94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50.94%</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507,234,134.61</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六、分季度主要财务指标</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80,865,154.70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73,615,891.89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137,863,721.53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218,098,499.35</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-2,526,447.80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2,781,018.35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23,021,568.29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37,125,854.24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-2,845,607.05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2,205,354.65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22,885,896.37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37,977,314.21</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-40,591,322.50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-23,414,263.97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-2,449,650.50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145,040,288.39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5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16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八、非经常性损益项目及金额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96"/>
        <w:gridCol w:w="1519"/>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-39,662.57</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4,747.50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-8,436.70</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固定资产处置损失</w:t>
            </w: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1,884,156.54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1,209,753.33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996,026.93</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54"/>
              <w:jc w:val="left"/>
              <w:rPr>
                <w:rFonts w:ascii="宋体" w:hAnsi="宋体" w:cs="宋体" w:eastAsia="宋体" w:hint="default"/>
                <w:sz w:val="18"/>
                <w:szCs w:val="18"/>
              </w:rPr>
            </w:pPr>
            <w:r>
              <w:rPr>
                <w:rFonts w:ascii="宋体" w:hAnsi="宋体" w:cs="宋体" w:eastAsia="宋体" w:hint="default"/>
                <w:sz w:val="18"/>
                <w:szCs w:val="18"/>
              </w:rPr>
              <w:t>除增值税软件退税外 的政府补助</w:t>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-808,531.04</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w:t>
            </w:r>
            <w:r>
              <w:rPr>
                <w:rFonts w:ascii="Times New Roman" w:hAnsi="Times New Roman" w:cs="Times New Roman" w:eastAsia="Times New Roman" w:hint="default"/>
                <w:sz w:val="18"/>
                <w:szCs w:val="18"/>
              </w:rPr>
              <w:t>“</w:t>
            </w:r>
            <w:r>
              <w:rPr>
                <w:rFonts w:ascii="宋体" w:hAnsi="宋体" w:cs="宋体" w:eastAsia="宋体" w:hint="default"/>
                <w:sz w:val="18"/>
                <w:szCs w:val="18"/>
              </w:rPr>
              <w:t>预计负债</w:t>
            </w:r>
            <w:r>
              <w:rPr>
                <w:rFonts w:ascii="Times New Roman" w:hAnsi="Times New Roman" w:cs="Times New Roman" w:eastAsia="Times New Roman" w:hint="default"/>
                <w:sz w:val="18"/>
                <w:szCs w:val="18"/>
              </w:rPr>
              <w:t>”</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-990,404.09</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933.30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6,970.79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-23,226.16</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180,875.73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149,156.72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少数股东权益影响额（税后）</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-110,249.90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179,034.90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1,034,558.40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845,404.30</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7"/>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r>
        <w:rPr>
          <w:rFonts w:ascii="宋体" w:hAnsi="宋体" w:cs="宋体" w:eastAsia="宋体" w:hint="default"/>
          <w:sz w:val="18"/>
          <w:szCs w:val="18"/>
        </w:rPr>
      </w:r>
    </w:p>
    <w:p>
      <w:pPr>
        <w:spacing w:line="302" w:lineRule="auto" w:before="61"/>
        <w:ind w:left="154" w:right="137"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7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54" w:right="134"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28" w:right="3484"/>
        <w:jc w:val="center"/>
        <w:rPr>
          <w:b w:val="0"/>
          <w:bCs w:val="0"/>
        </w:rPr>
      </w:pPr>
      <w:bookmarkStart w:name="_TOC_250008" w:id="3"/>
      <w:r>
        <w:rPr/>
        <w:t>第三节</w:t>
      </w:r>
      <w:r>
        <w:rPr>
          <w:spacing w:val="-1"/>
        </w:rPr>
        <w:t> </w:t>
      </w:r>
      <w:r>
        <w:rPr/>
        <w:t>公司业务概要</w:t>
      </w:r>
      <w:bookmarkEnd w:id="3"/>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95"/>
        <w:jc w:val="left"/>
        <w:rPr>
          <w:b w:val="0"/>
          <w:bCs w:val="0"/>
        </w:rPr>
      </w:pPr>
      <w:r>
        <w:rPr/>
        <w:t>一、报告期内公司从事的主要业务</w:t>
      </w:r>
      <w:r>
        <w:rPr>
          <w:b w:val="0"/>
          <w:bCs w:val="0"/>
        </w:rPr>
      </w:r>
    </w:p>
    <w:p>
      <w:pPr>
        <w:spacing w:line="240" w:lineRule="auto" w:before="6"/>
        <w:rPr>
          <w:rFonts w:ascii="宋体" w:hAnsi="宋体" w:cs="宋体" w:eastAsia="宋体" w:hint="default"/>
          <w:b/>
          <w:bCs/>
          <w:sz w:val="30"/>
          <w:szCs w:val="30"/>
        </w:rPr>
      </w:pPr>
    </w:p>
    <w:p>
      <w:pPr>
        <w:pStyle w:val="BodyText"/>
        <w:spacing w:line="400" w:lineRule="auto" w:before="0"/>
        <w:ind w:right="95" w:firstLine="420"/>
        <w:jc w:val="left"/>
      </w:pPr>
      <w:r>
        <w:rPr>
          <w:spacing w:val="-3"/>
        </w:rPr>
        <w:t>报告期内，公司持续专注于智能一卡通系统的软件及各种智能终端的研发、生产、集成、销售和服务，</w:t>
      </w:r>
      <w:r>
        <w:rPr/>
        <w:t> 综合应用</w:t>
      </w:r>
      <w:r>
        <w:rPr>
          <w:rFonts w:ascii="Times New Roman" w:hAnsi="Times New Roman" w:cs="Times New Roman" w:eastAsia="Times New Roman" w:hint="default"/>
        </w:rPr>
        <w:t>RFID</w:t>
      </w:r>
      <w:r>
        <w:rPr/>
        <w:t>无线通信、</w:t>
      </w:r>
      <w:r>
        <w:rPr>
          <w:rFonts w:ascii="Times New Roman" w:hAnsi="Times New Roman" w:cs="Times New Roman" w:eastAsia="Times New Roman" w:hint="default"/>
        </w:rPr>
        <w:t>NFC</w:t>
      </w:r>
      <w:r>
        <w:rPr/>
        <w:t>进场通信、嵌入式产品设计开发、智能识别、智能控制、信息集成等技术， 主要实现身份识别、小额支付、资源管控、信息集成等四大类功能，并广泛应用在校园、企事业、城市公 交、商户小额消费、公用事业缴费等不同应用领域。</w:t>
      </w:r>
    </w:p>
    <w:p>
      <w:pPr>
        <w:pStyle w:val="BodyText"/>
        <w:spacing w:line="405" w:lineRule="auto" w:before="52"/>
        <w:ind w:right="170" w:firstLine="420"/>
        <w:jc w:val="left"/>
      </w:pPr>
      <w:r>
        <w:rPr>
          <w:spacing w:val="-1"/>
        </w:rPr>
        <w:t>在传统智能一卡通业务领域，公司已在智能一卡通应用最早、发展最快、功能最齐的校园领域建立了</w:t>
      </w:r>
      <w:r>
        <w:rPr/>
        <w:t> 突出的竞争优势，并凭借全面的产品线、优质的服务以及强大的研发实力，不断满足学校的个性化需求， 为学校提供智能一卡通整体解决方案，竞争优势不断巩固，优质客户规模不断积累。 </w:t>
      </w:r>
      <w:r>
        <w:rPr>
          <w:spacing w:val="-1"/>
        </w:rPr>
        <w:t>在企事业一卡通、城市一卡通等领域，公司已成功实施了腾讯科技、华为、中兴、格力湖北园区、海航集</w:t>
      </w:r>
      <w:r>
        <w:rPr>
          <w:spacing w:val="-83"/>
        </w:rPr>
        <w:t> </w:t>
      </w:r>
      <w:r>
        <w:rPr>
          <w:spacing w:val="-83"/>
        </w:rPr>
      </w:r>
      <w:r>
        <w:rPr>
          <w:spacing w:val="-1"/>
        </w:rPr>
        <w:t>团、海亮教育园、国电南瑞、大唐新能源等知名企业或园区的一卡通项目，并承接了全国多个市县的城市</w:t>
      </w:r>
      <w:r>
        <w:rPr>
          <w:spacing w:val="-82"/>
        </w:rPr>
        <w:t> </w:t>
      </w:r>
      <w:r>
        <w:rPr>
          <w:spacing w:val="-82"/>
        </w:rPr>
      </w:r>
      <w:r>
        <w:rPr>
          <w:spacing w:val="-1"/>
        </w:rPr>
        <w:t>公交、省级金融</w:t>
      </w:r>
      <w:r>
        <w:rPr>
          <w:rFonts w:ascii="Times New Roman" w:hAnsi="Times New Roman" w:cs="Times New Roman" w:eastAsia="Times New Roman" w:hint="default"/>
          <w:spacing w:val="-1"/>
        </w:rPr>
        <w:t>IC</w:t>
      </w:r>
      <w:r>
        <w:rPr>
          <w:spacing w:val="-1"/>
        </w:rPr>
        <w:t>卡多行业应用平台或银行全行业省级应用平台等城市智能卡应用项目，业务发展势头良</w:t>
      </w:r>
      <w:r>
        <w:rPr>
          <w:spacing w:val="-81"/>
        </w:rPr>
        <w:t> </w:t>
      </w:r>
      <w:r>
        <w:rPr>
          <w:spacing w:val="-81"/>
        </w:rPr>
      </w:r>
      <w:r>
        <w:rPr/>
        <w:t>好。</w:t>
      </w:r>
    </w:p>
    <w:p>
      <w:pPr>
        <w:pStyle w:val="BodyText"/>
        <w:spacing w:line="391" w:lineRule="auto" w:before="48"/>
        <w:ind w:right="208" w:firstLine="525"/>
        <w:jc w:val="both"/>
      </w:pPr>
      <w:r>
        <w:rPr>
          <w:spacing w:val="-3"/>
        </w:rPr>
        <w:t>在移动支付领域，学校是运营商</w:t>
      </w:r>
      <w:r>
        <w:rPr>
          <w:rFonts w:ascii="Times New Roman" w:hAnsi="Times New Roman" w:cs="Times New Roman" w:eastAsia="Times New Roman" w:hint="default"/>
          <w:spacing w:val="-3"/>
        </w:rPr>
        <w:t>NFC</w:t>
      </w:r>
      <w:r>
        <w:rPr>
          <w:spacing w:val="-3"/>
        </w:rPr>
        <w:t>近场支付业务争相推广的重点客户，</w:t>
      </w:r>
      <w:r>
        <w:rPr>
          <w:rFonts w:ascii="Times New Roman" w:hAnsi="Times New Roman" w:cs="Times New Roman" w:eastAsia="Times New Roman" w:hint="default"/>
          <w:spacing w:val="-3"/>
        </w:rPr>
        <w:t>NFC</w:t>
      </w:r>
      <w:r>
        <w:rPr>
          <w:spacing w:val="-3"/>
        </w:rPr>
        <w:t>手机一卡通成为校园一</w:t>
      </w:r>
      <w:r>
        <w:rPr/>
        <w:t> </w:t>
      </w:r>
      <w:r>
        <w:rPr>
          <w:spacing w:val="-1"/>
        </w:rPr>
        <w:t>卡通的重要补充和升级。公司快速响应</w:t>
      </w:r>
      <w:r>
        <w:rPr>
          <w:rFonts w:ascii="Times New Roman" w:hAnsi="Times New Roman" w:cs="Times New Roman" w:eastAsia="Times New Roman" w:hint="default"/>
          <w:spacing w:val="-1"/>
        </w:rPr>
        <w:t>NFC</w:t>
      </w:r>
      <w:r>
        <w:rPr>
          <w:spacing w:val="-1"/>
        </w:rPr>
        <w:t>近场支付市场需求，具备了在移动支付相关关键环节上提供相</w:t>
      </w:r>
      <w:r>
        <w:rPr>
          <w:spacing w:val="-71"/>
        </w:rPr>
        <w:t> </w:t>
      </w:r>
      <w:r>
        <w:rPr>
          <w:spacing w:val="-71"/>
        </w:rPr>
      </w:r>
      <w:r>
        <w:rPr>
          <w:spacing w:val="-1"/>
        </w:rPr>
        <w:t>应解决方案的能力和技术储备，业务拓展实现突破，并与三大电信运营商建立了良好的合作关系。公司实</w:t>
      </w:r>
      <w:r>
        <w:rPr>
          <w:spacing w:val="-83"/>
        </w:rPr>
        <w:t> </w:t>
      </w:r>
      <w:r>
        <w:rPr>
          <w:spacing w:val="-83"/>
        </w:rPr>
      </w:r>
      <w:r>
        <w:rPr>
          <w:spacing w:val="-1"/>
        </w:rPr>
        <w:t>施的包头钢铁职业技术学院、北京邮电大学等</w:t>
      </w:r>
      <w:r>
        <w:rPr>
          <w:rFonts w:ascii="Times New Roman" w:hAnsi="Times New Roman" w:cs="Times New Roman" w:eastAsia="Times New Roman" w:hint="default"/>
          <w:spacing w:val="-1"/>
        </w:rPr>
        <w:t>NFC</w:t>
      </w:r>
      <w:r>
        <w:rPr>
          <w:spacing w:val="-1"/>
        </w:rPr>
        <w:t>手机校园一卡通项目已先后投入使用，加之城市领域实</w:t>
      </w:r>
      <w:r>
        <w:rPr>
          <w:spacing w:val="-71"/>
        </w:rPr>
        <w:t> </w:t>
      </w:r>
      <w:r>
        <w:rPr>
          <w:spacing w:val="-71"/>
        </w:rPr>
      </w:r>
      <w:r>
        <w:rPr>
          <w:spacing w:val="-1"/>
        </w:rPr>
        <w:t>施的基于</w:t>
      </w:r>
      <w:r>
        <w:rPr>
          <w:rFonts w:ascii="Times New Roman" w:hAnsi="Times New Roman" w:cs="Times New Roman" w:eastAsia="Times New Roman" w:hint="default"/>
          <w:spacing w:val="-1"/>
        </w:rPr>
        <w:t>NFC</w:t>
      </w:r>
      <w:r>
        <w:rPr>
          <w:spacing w:val="-1"/>
        </w:rPr>
        <w:t>近场支付的西安城市通、汉中城市公交系统等项目，公司在校园、城市、企事业等领域基于</w:t>
      </w:r>
      <w:r>
        <w:rPr>
          <w:spacing w:val="-71"/>
        </w:rPr>
        <w:t> </w:t>
      </w:r>
      <w:r>
        <w:rPr>
          <w:spacing w:val="-71"/>
        </w:rPr>
      </w:r>
      <w:r>
        <w:rPr>
          <w:rFonts w:ascii="Times New Roman" w:hAnsi="Times New Roman" w:cs="Times New Roman" w:eastAsia="Times New Roman" w:hint="default"/>
        </w:rPr>
        <w:t>NFC</w:t>
      </w:r>
      <w:r>
        <w:rPr/>
        <w:t>的一卡通解决方案在业界建立了显著的竞争优势。</w:t>
      </w:r>
    </w:p>
    <w:p>
      <w:pPr>
        <w:pStyle w:val="BodyText"/>
        <w:spacing w:line="408" w:lineRule="auto" w:before="30"/>
        <w:ind w:right="95" w:firstLine="420"/>
        <w:jc w:val="left"/>
      </w:pPr>
      <w:r>
        <w:rPr/>
        <w:t>报告期内，公司以服务校园一卡通应用为切入点，积极探索布局校园移动互联网业务，推动公司由智 </w:t>
      </w:r>
      <w:r>
        <w:rPr>
          <w:spacing w:val="-3"/>
          <w:w w:val="100"/>
        </w:rPr>
        <w:t>能一卡通系统解决方案供应商向移动互联网服务商和运营商转型，逐步夯实</w:t>
      </w:r>
      <w:r>
        <w:rPr>
          <w:rFonts w:ascii="Times New Roman" w:hAnsi="Times New Roman" w:cs="Times New Roman" w:eastAsia="Times New Roman" w:hint="default"/>
          <w:spacing w:val="-3"/>
          <w:w w:val="100"/>
        </w:rPr>
        <w:t>“</w:t>
      </w:r>
      <w:r>
        <w:rPr>
          <w:spacing w:val="-3"/>
          <w:w w:val="100"/>
        </w:rPr>
        <w:t>智慧校园</w:t>
      </w:r>
      <w:r>
        <w:rPr>
          <w:rFonts w:ascii="Times New Roman" w:hAnsi="Times New Roman" w:cs="Times New Roman" w:eastAsia="Times New Roman" w:hint="default"/>
          <w:spacing w:val="-3"/>
          <w:w w:val="100"/>
        </w:rPr>
        <w:t>”</w:t>
      </w:r>
      <w:r>
        <w:rPr>
          <w:spacing w:val="-3"/>
          <w:w w:val="100"/>
        </w:rPr>
        <w:t>综合服务体系建设。</w:t>
      </w:r>
    </w:p>
    <w:p>
      <w:pPr>
        <w:spacing w:after="0" w:line="408"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p>
      <w:pPr>
        <w:spacing w:line="3375" w:lineRule="exact"/>
        <w:ind w:left="1334" w:right="0" w:firstLine="0"/>
        <w:rPr>
          <w:rFonts w:ascii="宋体" w:hAnsi="宋体" w:cs="宋体" w:eastAsia="宋体" w:hint="default"/>
          <w:sz w:val="20"/>
          <w:szCs w:val="20"/>
        </w:rPr>
      </w:pPr>
      <w:r>
        <w:rPr>
          <w:rFonts w:ascii="宋体" w:hAnsi="宋体" w:cs="宋体" w:eastAsia="宋体" w:hint="default"/>
          <w:position w:val="-67"/>
          <w:sz w:val="20"/>
          <w:szCs w:val="20"/>
        </w:rPr>
        <w:drawing>
          <wp:inline distT="0" distB="0" distL="0" distR="0">
            <wp:extent cx="4620065" cy="214312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3" cstate="print"/>
                    <a:stretch>
                      <a:fillRect/>
                    </a:stretch>
                  </pic:blipFill>
                  <pic:spPr>
                    <a:xfrm>
                      <a:off x="0" y="0"/>
                      <a:ext cx="4620065" cy="2143125"/>
                    </a:xfrm>
                    <a:prstGeom prst="rect">
                      <a:avLst/>
                    </a:prstGeom>
                  </pic:spPr>
                </pic:pic>
              </a:graphicData>
            </a:graphic>
          </wp:inline>
        </w:drawing>
      </w:r>
      <w:r>
        <w:rPr>
          <w:rFonts w:ascii="宋体" w:hAnsi="宋体" w:cs="宋体" w:eastAsia="宋体" w:hint="default"/>
          <w:position w:val="-67"/>
          <w:sz w:val="20"/>
          <w:szCs w:val="20"/>
        </w:rPr>
      </w:r>
    </w:p>
    <w:p>
      <w:pPr>
        <w:pStyle w:val="BodyText"/>
        <w:spacing w:line="396" w:lineRule="auto" w:before="91"/>
        <w:ind w:right="0" w:firstLine="419"/>
        <w:jc w:val="left"/>
      </w:pPr>
      <w:r>
        <w:rPr>
          <w:spacing w:val="-2"/>
        </w:rPr>
        <w:t>报告期内，公司已经为全国</w:t>
      </w:r>
      <w:r>
        <w:rPr>
          <w:rFonts w:ascii="Times New Roman" w:hAnsi="Times New Roman" w:cs="Times New Roman" w:eastAsia="Times New Roman" w:hint="default"/>
          <w:spacing w:val="-2"/>
        </w:rPr>
        <w:t>850</w:t>
      </w:r>
      <w:r>
        <w:rPr>
          <w:spacing w:val="-2"/>
        </w:rPr>
        <w:t>余所本专科院校及</w:t>
      </w:r>
      <w:r>
        <w:rPr>
          <w:rFonts w:ascii="Times New Roman" w:hAnsi="Times New Roman" w:cs="Times New Roman" w:eastAsia="Times New Roman" w:hint="default"/>
          <w:spacing w:val="-2"/>
        </w:rPr>
        <w:t>950</w:t>
      </w:r>
      <w:r>
        <w:rPr>
          <w:spacing w:val="-2"/>
        </w:rPr>
        <w:t>余所中职院校的</w:t>
      </w:r>
      <w:r>
        <w:rPr>
          <w:rFonts w:ascii="Times New Roman" w:hAnsi="Times New Roman" w:cs="Times New Roman" w:eastAsia="Times New Roman" w:hint="default"/>
          <w:spacing w:val="-2"/>
        </w:rPr>
        <w:t>1,000</w:t>
      </w:r>
      <w:r>
        <w:rPr>
          <w:spacing w:val="-2"/>
        </w:rPr>
        <w:t>余万持卡人用户提供了个性</w:t>
      </w:r>
      <w:r>
        <w:rPr/>
        <w:t> </w:t>
      </w:r>
      <w:r>
        <w:rPr>
          <w:spacing w:val="-1"/>
        </w:rPr>
        <w:t>化、可持续的校园信息化服务。同时，公司已经在全国范围内设立</w:t>
      </w:r>
      <w:r>
        <w:rPr>
          <w:rFonts w:ascii="Times New Roman" w:hAnsi="Times New Roman" w:cs="Times New Roman" w:eastAsia="Times New Roman" w:hint="default"/>
          <w:spacing w:val="-1"/>
        </w:rPr>
        <w:t>30</w:t>
      </w:r>
      <w:r>
        <w:rPr>
          <w:spacing w:val="-1"/>
        </w:rPr>
        <w:t>多家分支机构，建立了成熟的销售渠</w:t>
      </w:r>
      <w:r>
        <w:rPr>
          <w:spacing w:val="-82"/>
        </w:rPr>
        <w:t> </w:t>
      </w:r>
      <w:r>
        <w:rPr>
          <w:spacing w:val="-82"/>
        </w:rPr>
      </w:r>
      <w:r>
        <w:rPr>
          <w:spacing w:val="-1"/>
        </w:rPr>
        <w:t>道和客户服务体系。线下业务多年的经营积累为公司进军移动互联网提供了良好的保障，便于公司快速将</w:t>
      </w:r>
      <w:r>
        <w:rPr>
          <w:spacing w:val="-81"/>
        </w:rPr>
        <w:t> </w:t>
      </w:r>
      <w:r>
        <w:rPr>
          <w:spacing w:val="-81"/>
        </w:rPr>
      </w:r>
      <w:r>
        <w:rPr>
          <w:spacing w:val="-1"/>
        </w:rPr>
        <w:t>线下资源向线上转移。公司以一卡通为切入点，通过持续占领高校市场不断扩大线下用户群体规模，同时</w:t>
      </w:r>
      <w:r>
        <w:rPr>
          <w:spacing w:val="-83"/>
        </w:rPr>
        <w:t> </w:t>
      </w:r>
      <w:r>
        <w:rPr>
          <w:spacing w:val="-83"/>
        </w:rPr>
      </w:r>
      <w:r>
        <w:rPr>
          <w:spacing w:val="-3"/>
        </w:rPr>
        <w:t>于</w:t>
      </w:r>
      <w:r>
        <w:rPr>
          <w:rFonts w:ascii="Times New Roman" w:hAnsi="Times New Roman" w:cs="Times New Roman" w:eastAsia="Times New Roman" w:hint="default"/>
          <w:spacing w:val="-3"/>
        </w:rPr>
        <w:t>2014</w:t>
      </w:r>
      <w:r>
        <w:rPr>
          <w:spacing w:val="-3"/>
        </w:rPr>
        <w:t>年正式推出首款面向高校自主运营的移动互联网产品</w:t>
      </w:r>
      <w:r>
        <w:rPr>
          <w:rFonts w:ascii="Times New Roman" w:hAnsi="Times New Roman" w:cs="Times New Roman" w:eastAsia="Times New Roman" w:hint="default"/>
          <w:spacing w:val="-3"/>
        </w:rPr>
        <w:t>“</w:t>
      </w:r>
      <w:r>
        <w:rPr>
          <w:spacing w:val="-3"/>
        </w:rPr>
        <w:t>玩校</w:t>
      </w:r>
      <w:r>
        <w:rPr>
          <w:rFonts w:ascii="Times New Roman" w:hAnsi="Times New Roman" w:cs="Times New Roman" w:eastAsia="Times New Roman" w:hint="default"/>
          <w:spacing w:val="-3"/>
        </w:rPr>
        <w:t>”APP</w:t>
      </w:r>
      <w:r>
        <w:rPr>
          <w:spacing w:val="-3"/>
        </w:rPr>
        <w:t>，进军移动互联网领域。</w:t>
      </w:r>
      <w:r>
        <w:rPr>
          <w:rFonts w:ascii="Times New Roman" w:hAnsi="Times New Roman" w:cs="Times New Roman" w:eastAsia="Times New Roman" w:hint="default"/>
          <w:spacing w:val="-3"/>
        </w:rPr>
        <w:t>“</w:t>
      </w:r>
      <w:r>
        <w:rPr>
          <w:spacing w:val="-3"/>
        </w:rPr>
        <w:t>玩校</w:t>
      </w:r>
      <w:r>
        <w:rPr>
          <w:rFonts w:ascii="Times New Roman" w:hAnsi="Times New Roman" w:cs="Times New Roman" w:eastAsia="Times New Roman" w:hint="default"/>
          <w:spacing w:val="-3"/>
        </w:rPr>
        <w:t>”APP</w:t>
      </w:r>
      <w:r>
        <w:rPr>
          <w:rFonts w:ascii="Times New Roman" w:hAnsi="Times New Roman" w:cs="Times New Roman" w:eastAsia="Times New Roman" w:hint="default"/>
          <w:spacing w:val="-20"/>
        </w:rPr>
        <w:t> </w:t>
      </w:r>
      <w:r>
        <w:rPr/>
        <w:t>集智能一卡通、</w:t>
      </w:r>
      <w:r>
        <w:rPr>
          <w:rFonts w:ascii="Times New Roman" w:hAnsi="Times New Roman" w:cs="Times New Roman" w:eastAsia="Times New Roman" w:hint="default"/>
        </w:rPr>
        <w:t>NFC</w:t>
      </w:r>
      <w:r>
        <w:rPr/>
        <w:t>移动支付、校园公共服务、校园通讯录等功能于一体，截至报告期末已接入高校</w:t>
      </w:r>
      <w:r>
        <w:rPr>
          <w:rFonts w:ascii="Times New Roman" w:hAnsi="Times New Roman" w:cs="Times New Roman" w:eastAsia="Times New Roman" w:hint="default"/>
        </w:rPr>
        <w:t>400 </w:t>
      </w:r>
      <w:r>
        <w:rPr/>
        <w:t>余所，覆盖用户</w:t>
      </w:r>
      <w:r>
        <w:rPr>
          <w:rFonts w:ascii="Times New Roman" w:hAnsi="Times New Roman" w:cs="Times New Roman" w:eastAsia="Times New Roman" w:hint="default"/>
        </w:rPr>
        <w:t>400</w:t>
      </w:r>
      <w:r>
        <w:rPr/>
        <w:t>余万人，用户基数大、需求鲜明、粘性强，具备较强的入口优势。未来公司将为高校 </w:t>
      </w:r>
      <w:r>
        <w:rPr>
          <w:spacing w:val="-1"/>
        </w:rPr>
        <w:t>师生打造学习、生活、社交、商圈、支付、创业等各类智能移动应用服务的高校移动互联服务平台，为公</w:t>
      </w:r>
      <w:r>
        <w:rPr>
          <w:spacing w:val="-83"/>
        </w:rPr>
        <w:t> </w:t>
      </w:r>
      <w:r>
        <w:rPr>
          <w:spacing w:val="-83"/>
        </w:rPr>
      </w:r>
      <w:r>
        <w:rPr>
          <w:spacing w:val="-1"/>
        </w:rPr>
        <w:t>司未来进行数据挖掘、分析和运营提供精准通道，从而实现产品升级，完善运营服务体系，完成公司战略</w:t>
      </w:r>
      <w:r>
        <w:rPr>
          <w:spacing w:val="-82"/>
        </w:rPr>
        <w:t> </w:t>
      </w:r>
      <w:r>
        <w:rPr>
          <w:spacing w:val="-82"/>
        </w:rPr>
      </w:r>
      <w:r>
        <w:rPr/>
        <w:t>部署。</w:t>
      </w:r>
    </w:p>
    <w:p>
      <w:pPr>
        <w:pStyle w:val="BodyText"/>
        <w:spacing w:line="403" w:lineRule="auto" w:before="56"/>
        <w:ind w:right="149" w:firstLine="419"/>
        <w:jc w:val="both"/>
      </w:pPr>
      <w:r>
        <w:rPr>
          <w:spacing w:val="-1"/>
        </w:rPr>
        <w:t>报告期内，公司布局泛</w:t>
      </w:r>
      <w:r>
        <w:rPr>
          <w:rFonts w:ascii="Times New Roman" w:hAnsi="Times New Roman" w:cs="Times New Roman" w:eastAsia="Times New Roman" w:hint="default"/>
          <w:spacing w:val="-1"/>
        </w:rPr>
        <w:t>IT</w:t>
      </w:r>
      <w:r>
        <w:rPr>
          <w:spacing w:val="-1"/>
        </w:rPr>
        <w:t>类职业教育业务，拓展公司产业链，致力于培养新的利润增长点。线下信息</w:t>
      </w:r>
      <w:r>
        <w:rPr/>
        <w:t> </w:t>
      </w:r>
      <w:r>
        <w:rPr>
          <w:spacing w:val="-1"/>
        </w:rPr>
        <w:t>技术培训课程及互联网线上教学平台具有良好的市场前景，公司计划利用丰富的校园市场储备，在发挥既</w:t>
      </w:r>
      <w:r>
        <w:rPr>
          <w:spacing w:val="-81"/>
        </w:rPr>
        <w:t> </w:t>
      </w:r>
      <w:r>
        <w:rPr>
          <w:spacing w:val="-81"/>
        </w:rPr>
      </w:r>
      <w:r>
        <w:rPr>
          <w:spacing w:val="-1"/>
        </w:rPr>
        <w:t>有技术优势、用户规模优势的基础上，根据校园客户特点、市场情况、客户需求的实际情况，推出围绕新</w:t>
      </w:r>
      <w:r>
        <w:rPr>
          <w:spacing w:val="-83"/>
        </w:rPr>
        <w:t> </w:t>
      </w:r>
      <w:r>
        <w:rPr>
          <w:spacing w:val="-83"/>
        </w:rPr>
      </w:r>
      <w:r>
        <w:rPr>
          <w:spacing w:val="-1"/>
        </w:rPr>
        <w:t>一代信息技术的培训、就业、创业服务，推进公司战略升级和服务内容的延伸，促进高校新一代信息技术</w:t>
      </w:r>
      <w:r>
        <w:rPr>
          <w:spacing w:val="-82"/>
        </w:rPr>
        <w:t> </w:t>
      </w:r>
      <w:r>
        <w:rPr>
          <w:spacing w:val="-82"/>
        </w:rPr>
      </w:r>
      <w:r>
        <w:rPr/>
        <w:t>教学实践能力提升，全面提升公司的持续盈利能力。</w:t>
      </w:r>
    </w:p>
    <w:p>
      <w:pPr>
        <w:pStyle w:val="BodyText"/>
        <w:spacing w:line="386" w:lineRule="auto" w:before="50"/>
        <w:ind w:right="0" w:firstLine="420"/>
        <w:jc w:val="left"/>
      </w:pPr>
      <w:r>
        <w:rPr>
          <w:spacing w:val="-1"/>
        </w:rPr>
        <w:t>公司</w:t>
      </w:r>
      <w:r>
        <w:rPr>
          <w:rFonts w:ascii="Times New Roman" w:hAnsi="Times New Roman" w:cs="Times New Roman" w:eastAsia="Times New Roman" w:hint="default"/>
          <w:spacing w:val="-1"/>
        </w:rPr>
        <w:t>2016</w:t>
      </w:r>
      <w:r>
        <w:rPr>
          <w:spacing w:val="-1"/>
        </w:rPr>
        <w:t>年将进一步巩固和扩展移动互联网业务、切入职业教育领域，抓住行业快速发展机遇，实现</w:t>
      </w:r>
      <w:r>
        <w:rPr/>
        <w:t> 产业链的纵向拓展，丰富产品线，发挥业务协同效应，巩固公司行业竞争地位，拓展新的收入来源。</w:t>
      </w:r>
    </w:p>
    <w:p>
      <w:pPr>
        <w:spacing w:line="240" w:lineRule="auto" w:before="3"/>
        <w:rPr>
          <w:rFonts w:ascii="宋体" w:hAnsi="宋体" w:cs="宋体" w:eastAsia="宋体" w:hint="default"/>
          <w:sz w:val="20"/>
          <w:szCs w:val="20"/>
        </w:rPr>
      </w:pPr>
    </w:p>
    <w:p>
      <w:pPr>
        <w:pStyle w:val="Heading2"/>
        <w:spacing w:line="240" w:lineRule="auto"/>
        <w:ind w:right="0"/>
        <w:jc w:val="left"/>
        <w:rPr>
          <w:b w:val="0"/>
          <w:bCs w:val="0"/>
        </w:rPr>
      </w:pP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4"/>
        <w:rPr>
          <w:rFonts w:ascii="宋体" w:hAnsi="宋体" w:cs="宋体" w:eastAsia="宋体" w:hint="default"/>
          <w:b/>
          <w:bCs/>
          <w:sz w:val="25"/>
          <w:szCs w:val="25"/>
        </w:rPr>
      </w:pPr>
    </w:p>
    <w:p>
      <w:pPr>
        <w:spacing w:line="783" w:lineRule="exact"/>
        <w:ind w:left="144"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35pt;height:39.2pt;mso-position-horizontal-relative:char;mso-position-vertical-relative:line" coordorigin="0,0" coordsize="9587,784">
            <v:group style="position:absolute;left:14;top:14;width:3041;height:182" coordorigin="14,14" coordsize="3041,182">
              <v:shape style="position:absolute;left:14;top:14;width:3041;height:182" coordorigin="14,14" coordsize="3041,182" path="m14,196l3055,196,3055,14,14,14,14,196xe" filled="true" fillcolor="#d3d3d3" stroked="false">
                <v:path arrowok="t"/>
                <v:fill type="solid"/>
              </v:shape>
            </v:group>
            <v:group style="position:absolute;left:14;top:588;width:3041;height:182" coordorigin="14,588" coordsize="3041,182">
              <v:shape style="position:absolute;left:14;top:588;width:3041;height:182" coordorigin="14,588" coordsize="3041,182" path="m14,769l3055,769,3055,588,14,588,14,769xe" filled="true" fillcolor="#d3d3d3" stroked="false">
                <v:path arrowok="t"/>
                <v:fill type="solid"/>
              </v:shape>
            </v:group>
            <v:group style="position:absolute;left:37;top:196;width:2996;height:393" coordorigin="37,196" coordsize="2996,393">
              <v:shape style="position:absolute;left:37;top:196;width:2996;height:393" coordorigin="37,196" coordsize="2996,393" path="m37,588l3032,588,3032,196,37,196,37,588xe" filled="true" fillcolor="#d3d3d3" stroked="false">
                <v:path arrowok="t"/>
                <v:fill type="solid"/>
              </v:shape>
            </v:group>
            <v:group style="position:absolute;left:3066;top:14;width:6507;height:182" coordorigin="3066,14" coordsize="6507,182">
              <v:shape style="position:absolute;left:3066;top:14;width:6507;height:182" coordorigin="3066,14" coordsize="6507,182" path="m3066,196l9572,196,9572,14,3066,14,3066,196xe" filled="true" fillcolor="#d3d3d3" stroked="false">
                <v:path arrowok="t"/>
                <v:fill type="solid"/>
              </v:shape>
            </v:group>
            <v:group style="position:absolute;left:3066;top:588;width:6507;height:182" coordorigin="3066,588" coordsize="6507,182">
              <v:shape style="position:absolute;left:3066;top:588;width:6507;height:182" coordorigin="3066,588" coordsize="6507,182" path="m3066,769l9572,769,9572,588,3066,588,3066,769xe" filled="true" fillcolor="#d3d3d3" stroked="false">
                <v:path arrowok="t"/>
                <v:fill type="solid"/>
              </v:shape>
            </v:group>
            <v:group style="position:absolute;left:3089;top:196;width:6461;height:393" coordorigin="3089,196" coordsize="6461,393">
              <v:shape style="position:absolute;left:3089;top:196;width:6461;height:393" coordorigin="3089,196" coordsize="6461,393" path="m3089,588l9550,588,9550,196,3089,196,3089,588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774" coordorigin="10,5" coordsize="2,774">
              <v:shape style="position:absolute;left:10;top:5;width:2;height:774" coordorigin="10,5" coordsize="0,774" path="m10,5l10,779e" filled="false" stroked="true" strokeweight=".48001pt" strokecolor="#000000">
                <v:path arrowok="t"/>
              </v:shape>
            </v:group>
            <v:group style="position:absolute;left:5;top:774;width:3052;height:2" coordorigin="5,774" coordsize="3052,2">
              <v:shape style="position:absolute;left:5;top:774;width:3052;height:2" coordorigin="5,774" coordsize="3052,0" path="m5,774l3056,774e" filled="false" stroked="true" strokeweight=".47998pt" strokecolor="#000000">
                <v:path arrowok="t"/>
              </v:shape>
            </v:group>
            <v:group style="position:absolute;left:3061;top:14;width:2;height:765" coordorigin="3061,14" coordsize="2,765">
              <v:shape style="position:absolute;left:3061;top:14;width:2;height:765" coordorigin="3061,14" coordsize="0,765" path="m3061,14l3061,779e" filled="false" stroked="true" strokeweight=".48001pt" strokecolor="#000000">
                <v:path arrowok="t"/>
              </v:shape>
            </v:group>
            <v:group style="position:absolute;left:3066;top:774;width:6507;height:2" coordorigin="3066,774" coordsize="6507,2">
              <v:shape style="position:absolute;left:3066;top:774;width:6507;height:2" coordorigin="3066,774" coordsize="6507,0" path="m3066,774l9572,774e" filled="false" stroked="true" strokeweight=".47998pt" strokecolor="#000000">
                <v:path arrowok="t"/>
              </v:shape>
            </v:group>
            <v:group style="position:absolute;left:9577;top:5;width:2;height:774" coordorigin="9577,5" coordsize="2,774">
              <v:shape style="position:absolute;left:9577;top:5;width:2;height:774" coordorigin="9577,5" coordsize="0,774" path="m9577,5l9577,779e" filled="false" stroked="true" strokeweight=".47998pt" strokecolor="#000000">
                <v:path arrowok="t"/>
              </v:shape>
              <v:shape style="position:absolute;left:10;top:10;width:3052;height:765" type="#_x0000_t202" filled="false" stroked="false">
                <v:textbox inset="0,0,0,0">
                  <w:txbxContent>
                    <w:p>
                      <w:pPr>
                        <w:spacing w:line="240" w:lineRule="auto" w:before="2"/>
                        <w:rPr>
                          <w:rFonts w:ascii="宋体" w:hAnsi="宋体" w:cs="宋体" w:eastAsia="宋体" w:hint="default"/>
                          <w:b/>
                          <w:bCs/>
                          <w:sz w:val="18"/>
                          <w:szCs w:val="18"/>
                        </w:rPr>
                      </w:pPr>
                    </w:p>
                    <w:p>
                      <w:pPr>
                        <w:spacing w:before="0"/>
                        <w:ind w:left="0" w:right="1" w:firstLine="0"/>
                        <w:jc w:val="center"/>
                        <w:rPr>
                          <w:rFonts w:ascii="宋体" w:hAnsi="宋体" w:cs="宋体" w:eastAsia="宋体" w:hint="default"/>
                          <w:sz w:val="18"/>
                          <w:szCs w:val="18"/>
                        </w:rPr>
                      </w:pPr>
                      <w:r>
                        <w:rPr>
                          <w:rFonts w:ascii="宋体" w:hAnsi="宋体" w:cs="宋体" w:eastAsia="宋体" w:hint="default"/>
                          <w:sz w:val="18"/>
                          <w:szCs w:val="18"/>
                        </w:rPr>
                        <w:t>主要资产</w:t>
                      </w:r>
                    </w:p>
                  </w:txbxContent>
                </v:textbox>
                <w10:wrap type="none"/>
              </v:shape>
              <v:shape style="position:absolute;left:5779;top:303;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重大变化说明</w:t>
                      </w:r>
                    </w:p>
                  </w:txbxContent>
                </v:textbox>
                <w10:wrap type="none"/>
              </v:shape>
            </v:group>
          </v:group>
        </w:pict>
      </w:r>
      <w:r>
        <w:rPr>
          <w:rFonts w:ascii="宋体" w:hAnsi="宋体" w:cs="宋体" w:eastAsia="宋体" w:hint="default"/>
          <w:position w:val="-15"/>
          <w:sz w:val="20"/>
          <w:szCs w:val="20"/>
        </w:rPr>
      </w:r>
    </w:p>
    <w:p>
      <w:pPr>
        <w:spacing w:after="0" w:line="783" w:lineRule="exact"/>
        <w:rPr>
          <w:rFonts w:ascii="宋体" w:hAnsi="宋体" w:cs="宋体" w:eastAsia="宋体" w:hint="default"/>
          <w:sz w:val="20"/>
          <w:szCs w:val="20"/>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051"/>
        <w:gridCol w:w="6517"/>
      </w:tblGrid>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1"/>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2014</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年权益分配，以资本公积每</w:t>
            </w:r>
            <w:r>
              <w:rPr>
                <w:rFonts w:ascii="宋体" w:hAnsi="宋体" w:cs="宋体" w:eastAsia="宋体" w:hint="default"/>
                <w:sz w:val="18"/>
                <w:szCs w:val="18"/>
              </w:rPr>
              <w:t> </w:t>
            </w:r>
            <w:r>
              <w:rPr>
                <w:rFonts w:ascii="Times New Roman" w:hAnsi="Times New Roman" w:cs="Times New Roman" w:eastAsia="Times New Roman" w:hint="default"/>
                <w:sz w:val="18"/>
                <w:szCs w:val="18"/>
              </w:rPr>
              <w:t>10 </w:t>
            </w:r>
            <w:r>
              <w:rPr>
                <w:rFonts w:ascii="宋体" w:hAnsi="宋体" w:cs="宋体" w:eastAsia="宋体" w:hint="default"/>
                <w:spacing w:val="-1"/>
                <w:sz w:val="18"/>
                <w:szCs w:val="18"/>
              </w:rPr>
              <w:t>股转增资本（或股本）</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r>
              <w:rPr>
                <w:rFonts w:ascii="宋体" w:hAnsi="宋体" w:cs="宋体" w:eastAsia="宋体" w:hint="default"/>
                <w:spacing w:val="-29"/>
                <w:sz w:val="18"/>
                <w:szCs w:val="18"/>
              </w:rPr>
              <w:t> </w:t>
            </w:r>
            <w:r>
              <w:rPr>
                <w:rFonts w:ascii="宋体" w:hAnsi="宋体" w:cs="宋体" w:eastAsia="宋体" w:hint="default"/>
                <w:spacing w:val="-17"/>
                <w:sz w:val="18"/>
                <w:szCs w:val="18"/>
              </w:rPr>
              <w:t>；（</w:t>
            </w:r>
            <w:r>
              <w:rPr>
                <w:rFonts w:ascii="Times New Roman" w:hAnsi="Times New Roman" w:cs="Times New Roman" w:eastAsia="Times New Roman" w:hint="default"/>
                <w:spacing w:val="-17"/>
                <w:sz w:val="18"/>
                <w:szCs w:val="18"/>
              </w:rPr>
              <w:t>2</w:t>
            </w:r>
            <w:r>
              <w:rPr>
                <w:rFonts w:ascii="宋体" w:hAnsi="宋体" w:cs="宋体" w:eastAsia="宋体" w:hint="default"/>
                <w:spacing w:val="-17"/>
                <w:sz w:val="18"/>
                <w:szCs w:val="18"/>
              </w:rPr>
              <w:t>）本报</w:t>
            </w:r>
            <w:r>
              <w:rPr>
                <w:rFonts w:ascii="宋体" w:hAnsi="宋体" w:cs="宋体" w:eastAsia="宋体" w:hint="default"/>
                <w:sz w:val="18"/>
                <w:szCs w:val="18"/>
              </w:rPr>
              <w:t> 告期新发行股份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16,654,901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合并确认的迪科远望和上海树维无形资产金额</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主要系报告期内投资华夏海纳引起</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主要系报告期内投资北京乐智、成都兰途及丹诚开普有限合伙企业所致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报告期内，公司溢价收购迪科远望及上海树维形成</w:t>
            </w:r>
          </w:p>
        </w:tc>
      </w:tr>
    </w:tbl>
    <w:p>
      <w:pPr>
        <w:spacing w:line="240" w:lineRule="auto" w:before="2"/>
        <w:rPr>
          <w:rFonts w:ascii="宋体" w:hAnsi="宋体" w:cs="宋体" w:eastAsia="宋体" w:hint="default"/>
          <w:b/>
          <w:bCs/>
          <w:sz w:val="19"/>
          <w:szCs w:val="19"/>
        </w:rPr>
      </w:pPr>
    </w:p>
    <w:p>
      <w:pPr>
        <w:pStyle w:val="Heading4"/>
        <w:spacing w:line="240" w:lineRule="auto" w:before="35"/>
        <w:ind w:right="95"/>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spacing w:before="0"/>
        <w:ind w:left="154"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95"/>
        <w:jc w:val="left"/>
        <w:rPr>
          <w:b w:val="0"/>
          <w:bCs w:val="0"/>
        </w:rPr>
      </w:pPr>
      <w:r>
        <w:rPr/>
        <w:t>三、核心竞争力分析</w:t>
      </w:r>
      <w:r>
        <w:rPr>
          <w:b w:val="0"/>
          <w:bCs w:val="0"/>
        </w:rPr>
      </w:r>
    </w:p>
    <w:p>
      <w:pPr>
        <w:spacing w:line="240" w:lineRule="auto" w:before="6"/>
        <w:rPr>
          <w:rFonts w:ascii="宋体" w:hAnsi="宋体" w:cs="宋体" w:eastAsia="宋体" w:hint="default"/>
          <w:b/>
          <w:bCs/>
          <w:sz w:val="30"/>
          <w:szCs w:val="30"/>
        </w:rPr>
      </w:pPr>
    </w:p>
    <w:p>
      <w:pPr>
        <w:pStyle w:val="BodyText"/>
        <w:spacing w:line="386" w:lineRule="auto" w:before="0"/>
        <w:ind w:left="574" w:right="95" w:hanging="1"/>
        <w:jc w:val="left"/>
      </w:pPr>
      <w:r>
        <w:rPr>
          <w:rFonts w:ascii="Times New Roman" w:hAnsi="Times New Roman" w:cs="Times New Roman" w:eastAsia="Times New Roman" w:hint="default"/>
        </w:rPr>
        <w:t>1</w:t>
      </w:r>
      <w:r>
        <w:rPr/>
        <w:t>、优质客户多、需求黏性大 </w:t>
      </w:r>
      <w:r>
        <w:rPr>
          <w:spacing w:val="-1"/>
        </w:rPr>
        <w:t>经过多年经营，公司凭借完善的整体解决方案和优质的客户服务，在行业内树立了良好的口碑，客户</w:t>
      </w:r>
    </w:p>
    <w:p>
      <w:pPr>
        <w:pStyle w:val="BodyText"/>
        <w:spacing w:line="388" w:lineRule="auto" w:before="65"/>
        <w:ind w:right="208"/>
        <w:jc w:val="left"/>
      </w:pPr>
      <w:r>
        <w:rPr>
          <w:spacing w:val="-1"/>
        </w:rPr>
        <w:t>范围遍及校园、企事业、城市等领域。截至目前，公司已经为全国</w:t>
      </w:r>
      <w:r>
        <w:rPr>
          <w:rFonts w:ascii="Times New Roman" w:hAnsi="Times New Roman" w:cs="Times New Roman" w:eastAsia="Times New Roman" w:hint="default"/>
          <w:spacing w:val="-1"/>
        </w:rPr>
        <w:t>850</w:t>
      </w:r>
      <w:r>
        <w:rPr>
          <w:spacing w:val="-1"/>
        </w:rPr>
        <w:t>余所本专科院校及</w:t>
      </w:r>
      <w:r>
        <w:rPr>
          <w:rFonts w:ascii="Times New Roman" w:hAnsi="Times New Roman" w:cs="Times New Roman" w:eastAsia="Times New Roman" w:hint="default"/>
          <w:spacing w:val="-1"/>
        </w:rPr>
        <w:t>950</w:t>
      </w:r>
      <w:r>
        <w:rPr>
          <w:spacing w:val="-1"/>
        </w:rPr>
        <w:t>余所中职院校</w:t>
      </w:r>
      <w:r>
        <w:rPr>
          <w:spacing w:val="-82"/>
        </w:rPr>
        <w:t> </w:t>
      </w:r>
      <w:r>
        <w:rPr>
          <w:spacing w:val="-82"/>
        </w:rPr>
      </w:r>
      <w:r>
        <w:rPr>
          <w:spacing w:val="-2"/>
        </w:rPr>
        <w:t>的</w:t>
      </w:r>
      <w:r>
        <w:rPr>
          <w:rFonts w:ascii="Times New Roman" w:hAnsi="Times New Roman" w:cs="Times New Roman" w:eastAsia="Times New Roman" w:hint="default"/>
          <w:spacing w:val="-2"/>
        </w:rPr>
        <w:t>1,000</w:t>
      </w:r>
      <w:r>
        <w:rPr>
          <w:spacing w:val="-2"/>
        </w:rPr>
        <w:t>余万持卡人用户提供了个性化、可持续的校园信息化服务，公司在校园一卡通领域的市场占有率超</w:t>
      </w:r>
      <w:r>
        <w:rPr>
          <w:spacing w:val="-86"/>
        </w:rPr>
        <w:t> </w:t>
      </w:r>
      <w:r>
        <w:rPr>
          <w:spacing w:val="-86"/>
        </w:rPr>
      </w:r>
      <w:r>
        <w:rPr>
          <w:spacing w:val="-2"/>
        </w:rPr>
        <w:t>过</w:t>
      </w:r>
      <w:r>
        <w:rPr>
          <w:rFonts w:ascii="Times New Roman" w:hAnsi="Times New Roman" w:cs="Times New Roman" w:eastAsia="Times New Roman" w:hint="default"/>
          <w:spacing w:val="-2"/>
        </w:rPr>
        <w:t>1/3</w:t>
      </w:r>
      <w:r>
        <w:rPr>
          <w:spacing w:val="-2"/>
        </w:rPr>
        <w:t>。线下业务多年的经营积累为公司进军移动互联网提供了良好的保障，便于公司快速将线下资源向线</w:t>
      </w:r>
      <w:r>
        <w:rPr>
          <w:spacing w:val="-94"/>
        </w:rPr>
        <w:t> </w:t>
      </w:r>
      <w:r>
        <w:rPr>
          <w:spacing w:val="-94"/>
        </w:rPr>
      </w:r>
      <w:r>
        <w:rPr>
          <w:spacing w:val="-1"/>
        </w:rPr>
        <w:t>上转移。公司以一卡通为切入点，通过持续占领高校市场不断扩大线下用户群体规模，同时于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spacing w:val="-84"/>
        </w:rPr>
        <w:t> </w:t>
      </w:r>
      <w:r>
        <w:rPr/>
        <w:t>正式推出首款面向高校自主运营的移动互联网产品</w:t>
      </w:r>
      <w:r>
        <w:rPr>
          <w:rFonts w:ascii="Times New Roman" w:hAnsi="Times New Roman" w:cs="Times New Roman" w:eastAsia="Times New Roman" w:hint="default"/>
        </w:rPr>
        <w:t>“</w:t>
      </w:r>
      <w:r>
        <w:rPr/>
        <w:t>玩校</w:t>
      </w:r>
      <w:r>
        <w:rPr>
          <w:rFonts w:ascii="Times New Roman" w:hAnsi="Times New Roman" w:cs="Times New Roman" w:eastAsia="Times New Roman" w:hint="default"/>
        </w:rPr>
        <w:t>”APP</w:t>
      </w:r>
      <w:r>
        <w:rPr/>
        <w:t>，进军移动互联网领域。</w:t>
      </w:r>
      <w:r>
        <w:rPr>
          <w:rFonts w:ascii="Times New Roman" w:hAnsi="Times New Roman" w:cs="Times New Roman" w:eastAsia="Times New Roman" w:hint="default"/>
        </w:rPr>
        <w:t>“</w:t>
      </w:r>
      <w:r>
        <w:rPr/>
        <w:t>玩校</w:t>
      </w:r>
      <w:r>
        <w:rPr>
          <w:rFonts w:ascii="Times New Roman" w:hAnsi="Times New Roman" w:cs="Times New Roman" w:eastAsia="Times New Roman" w:hint="default"/>
        </w:rPr>
        <w:t>”APP</w:t>
      </w:r>
      <w:r>
        <w:rPr/>
        <w:t>集智能 一卡通、</w:t>
      </w:r>
      <w:r>
        <w:rPr>
          <w:rFonts w:ascii="Times New Roman" w:hAnsi="Times New Roman" w:cs="Times New Roman" w:eastAsia="Times New Roman" w:hint="default"/>
        </w:rPr>
        <w:t>NFC</w:t>
      </w:r>
      <w:r>
        <w:rPr/>
        <w:t>移动支付、校园公共服务、校园通讯录等功能于一体，截至目前已接入高校</w:t>
      </w:r>
      <w:r>
        <w:rPr>
          <w:rFonts w:ascii="Times New Roman" w:hAnsi="Times New Roman" w:cs="Times New Roman" w:eastAsia="Times New Roman" w:hint="default"/>
        </w:rPr>
        <w:t>350</w:t>
      </w:r>
      <w:r>
        <w:rPr/>
        <w:t>余所，覆盖</w:t>
      </w:r>
      <w:r>
        <w:rPr>
          <w:w w:val="100"/>
        </w:rPr>
        <w:t> </w:t>
      </w:r>
      <w:r>
        <w:rPr/>
        <w:t>用户</w:t>
      </w:r>
      <w:r>
        <w:rPr>
          <w:rFonts w:ascii="Times New Roman" w:hAnsi="Times New Roman" w:cs="Times New Roman" w:eastAsia="Times New Roman" w:hint="default"/>
        </w:rPr>
        <w:t>400</w:t>
      </w:r>
      <w:r>
        <w:rPr/>
        <w:t>余万人，用户基数大、需求鲜明、粘性强，具备较强的入口优势。同时，凭借在智能一卡通行业</w:t>
      </w:r>
      <w:r>
        <w:rPr>
          <w:w w:val="100"/>
        </w:rPr>
        <w:t> </w:t>
      </w:r>
      <w:r>
        <w:rPr>
          <w:spacing w:val="-1"/>
        </w:rPr>
        <w:t>多年积累的经验和技术水平，在手机一卡通领域，公司产品得到了中国电信、中国移动、中国联通三大运</w:t>
      </w:r>
      <w:r>
        <w:rPr>
          <w:spacing w:val="-82"/>
        </w:rPr>
        <w:t> </w:t>
      </w:r>
      <w:r>
        <w:rPr>
          <w:spacing w:val="-82"/>
        </w:rPr>
      </w:r>
      <w:r>
        <w:rPr/>
        <w:t>营商的一致认可，且均与其建立了良好的合作关系。</w:t>
      </w:r>
    </w:p>
    <w:p>
      <w:pPr>
        <w:pStyle w:val="BodyText"/>
        <w:spacing w:line="398" w:lineRule="auto" w:before="63"/>
        <w:ind w:right="95" w:firstLine="525"/>
        <w:jc w:val="left"/>
      </w:pPr>
      <w:r>
        <w:rPr>
          <w:spacing w:val="-1"/>
        </w:rPr>
        <w:t>此外，由于智能一卡通系统的使用一般具有延续性，再加上公司提供的解决方案以多功能系统为主，</w:t>
      </w:r>
      <w:r>
        <w:rPr/>
        <w:t> 因此原有客户的后续需求黏性比较大。</w:t>
      </w:r>
      <w:r>
        <w:rPr>
          <w:rFonts w:ascii="Times New Roman" w:hAnsi="Times New Roman" w:cs="Times New Roman" w:eastAsia="Times New Roman" w:hint="default"/>
        </w:rPr>
        <w:t>50%</w:t>
      </w:r>
      <w:r>
        <w:rPr/>
        <w:t>以上的客户购买安装了公司的智能一卡通系统后，未来仍会选 择公司的其他功能系统或后续产品升级，其中校园一卡通领域客户黏度尤高。</w:t>
      </w:r>
    </w:p>
    <w:p>
      <w:pPr>
        <w:pStyle w:val="BodyText"/>
        <w:spacing w:line="386" w:lineRule="auto" w:before="54"/>
        <w:ind w:left="574" w:right="380" w:hanging="1"/>
        <w:jc w:val="left"/>
      </w:pPr>
      <w:r>
        <w:rPr>
          <w:rFonts w:ascii="Times New Roman" w:hAnsi="Times New Roman" w:cs="Times New Roman" w:eastAsia="Times New Roman" w:hint="default"/>
        </w:rPr>
        <w:t>2</w:t>
      </w:r>
      <w:r>
        <w:rPr/>
        <w:t>、符合个性化需求的一站式整体解决方案 公司拥有自主研发的全系列智能化硬件终端产品线、多功能应用子系统以及强大集成能力的系统平</w:t>
      </w:r>
    </w:p>
    <w:p>
      <w:pPr>
        <w:pStyle w:val="BodyText"/>
        <w:spacing w:line="240" w:lineRule="auto" w:before="65"/>
        <w:ind w:right="95"/>
        <w:jc w:val="left"/>
      </w:pPr>
      <w:r>
        <w:rPr/>
        <w:t>台，截止目前，公司拥有校园一卡通平台、数字化校园平台、城市一卡通平台、能源监控管理平台、金融</w:t>
      </w:r>
    </w:p>
    <w:p>
      <w:pPr>
        <w:spacing w:line="240" w:lineRule="auto" w:before="10"/>
        <w:rPr>
          <w:rFonts w:ascii="宋体" w:hAnsi="宋体" w:cs="宋体" w:eastAsia="宋体" w:hint="default"/>
          <w:sz w:val="14"/>
          <w:szCs w:val="14"/>
        </w:rPr>
      </w:pPr>
    </w:p>
    <w:p>
      <w:pPr>
        <w:pStyle w:val="BodyText"/>
        <w:spacing w:line="240" w:lineRule="auto" w:before="0"/>
        <w:ind w:right="95"/>
        <w:jc w:val="left"/>
      </w:pPr>
      <w:r>
        <w:rPr>
          <w:rFonts w:ascii="Times New Roman" w:hAnsi="Times New Roman" w:cs="Times New Roman" w:eastAsia="Times New Roman" w:hint="default"/>
        </w:rPr>
        <w:t>IC</w:t>
      </w:r>
      <w:r>
        <w:rPr/>
        <w:t>卡行业应用平台和手机一卡通运营平台等平台系统、</w:t>
      </w:r>
      <w:r>
        <w:rPr>
          <w:rFonts w:ascii="Times New Roman" w:hAnsi="Times New Roman" w:cs="Times New Roman" w:eastAsia="Times New Roman" w:hint="default"/>
        </w:rPr>
        <w:t>50</w:t>
      </w:r>
      <w:r>
        <w:rPr/>
        <w:t>余个应用功能子系统以及</w:t>
      </w:r>
      <w:r>
        <w:rPr>
          <w:rFonts w:ascii="Times New Roman" w:hAnsi="Times New Roman" w:cs="Times New Roman" w:eastAsia="Times New Roman" w:hint="default"/>
        </w:rPr>
        <w:t>300</w:t>
      </w:r>
      <w:r>
        <w:rPr/>
        <w:t>多种不同型号规格</w:t>
      </w:r>
    </w:p>
    <w:p>
      <w:pPr>
        <w:spacing w:after="0" w:line="240"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408" w:lineRule="auto" w:before="174"/>
        <w:ind w:left="574" w:right="95" w:hanging="420"/>
        <w:jc w:val="left"/>
      </w:pPr>
      <w:r>
        <w:rPr/>
        <w:t>的智能终端系列产品，能够为客户提供符合个性化需求、多功能实现、一站式服务的整体解决方案。 </w:t>
      </w:r>
      <w:r>
        <w:rPr>
          <w:spacing w:val="-1"/>
        </w:rPr>
        <w:t>总体来看，国内智能一卡通行业内的企业在研发实力、技术素质、业务规模、涉及领域等多方面的差</w:t>
      </w:r>
    </w:p>
    <w:p>
      <w:pPr>
        <w:pStyle w:val="BodyText"/>
        <w:spacing w:line="408" w:lineRule="auto"/>
        <w:ind w:left="153" w:right="102"/>
        <w:jc w:val="left"/>
      </w:pPr>
      <w:r>
        <w:rPr/>
        <w:t>别较大，行业内以提供单一功能系统解决方案的企业居多，且多集中在餐饮收费、门禁、考勤系统等传统 功能板块，其因市场竞争激烈，利润空间小。而新开普是行业内少数能够为客户提供全面、整体化、一揽 子解决方案的代表性企业之一，公司通过更全面的产品线、更高的研发平台、更丰富的业务功能、更强的 </w:t>
      </w:r>
      <w:r>
        <w:rPr>
          <w:spacing w:val="-3"/>
        </w:rPr>
        <w:t>集成能力，在满足客户个性化需求的前提下，为客户提供多功能实现的整体解决方案和一站式的客户服务，</w:t>
      </w:r>
      <w:r>
        <w:rPr>
          <w:spacing w:val="-92"/>
        </w:rPr>
        <w:t> </w:t>
      </w:r>
      <w:r>
        <w:rPr>
          <w:spacing w:val="-92"/>
        </w:rPr>
      </w:r>
      <w:r>
        <w:rPr/>
        <w:t>以增加公司产品和服务的经济附加值、不断增强客户黏性、扩大品牌影响度，进而提升自身的盈利能力和</w:t>
      </w:r>
      <w:r>
        <w:rPr/>
        <w:t> 利润空间。</w:t>
      </w:r>
    </w:p>
    <w:p>
      <w:pPr>
        <w:pStyle w:val="BodyText"/>
        <w:spacing w:line="386" w:lineRule="auto"/>
        <w:ind w:left="574" w:right="95" w:hanging="1"/>
        <w:jc w:val="left"/>
      </w:pPr>
      <w:r>
        <w:rPr>
          <w:rFonts w:ascii="Times New Roman" w:hAnsi="Times New Roman" w:cs="Times New Roman" w:eastAsia="Times New Roman" w:hint="default"/>
        </w:rPr>
        <w:t>3</w:t>
      </w:r>
      <w:r>
        <w:rPr/>
        <w:t>、自主研发和技术创新能力强 </w:t>
      </w:r>
      <w:r>
        <w:rPr>
          <w:spacing w:val="-1"/>
        </w:rPr>
        <w:t>公司是国家重点支持的高新技术企业，火炬计划重点高新技术企业，具有较强的自主研发和技术创新</w:t>
      </w:r>
    </w:p>
    <w:p>
      <w:pPr>
        <w:pStyle w:val="BodyText"/>
        <w:spacing w:line="408" w:lineRule="auto" w:before="65"/>
        <w:ind w:right="101"/>
        <w:jc w:val="left"/>
      </w:pPr>
      <w:r>
        <w:rPr>
          <w:spacing w:val="-3"/>
        </w:rPr>
        <w:t>能力。公司始终紧跟信息技术发展前沿，并将技术创新的着眼点立足于符合客户需求、符合公司资源现状、</w:t>
      </w:r>
      <w:r>
        <w:rPr>
          <w:spacing w:val="-90"/>
        </w:rPr>
        <w:t> </w:t>
      </w:r>
      <w:r>
        <w:rPr>
          <w:spacing w:val="-90"/>
        </w:rPr>
      </w:r>
      <w:r>
        <w:rPr/>
        <w:t>符合行业特点的应用技术创新上，在努力提升产品性能、降低生产成本的同时，更加突出市场需求对产品</w:t>
      </w:r>
      <w:r>
        <w:rPr/>
        <w:t> 研发和服务的导向作用，强调集成创新和研发成果的转化及应用，持续开发出具备行业先进性、具有公司 特色和富有市场竞争力的产品。</w:t>
      </w:r>
    </w:p>
    <w:p>
      <w:pPr>
        <w:pStyle w:val="BodyText"/>
        <w:spacing w:line="398" w:lineRule="auto"/>
        <w:ind w:right="211" w:firstLine="420"/>
        <w:jc w:val="both"/>
      </w:pPr>
      <w:r>
        <w:rPr>
          <w:spacing w:val="-1"/>
        </w:rPr>
        <w:t>近年来公司不断引进研发和研发管理人才以提高技术创新能力。同时，核心技术带头人员的行业专业</w:t>
      </w:r>
      <w:r>
        <w:rPr/>
        <w:t> </w:t>
      </w:r>
      <w:r>
        <w:rPr>
          <w:spacing w:val="-1"/>
        </w:rPr>
        <w:t>经验平均超过</w:t>
      </w:r>
      <w:r>
        <w:rPr>
          <w:rFonts w:ascii="Times New Roman" w:hAnsi="Times New Roman" w:cs="Times New Roman" w:eastAsia="Times New Roman" w:hint="default"/>
          <w:spacing w:val="-1"/>
        </w:rPr>
        <w:t>10</w:t>
      </w:r>
      <w:r>
        <w:rPr>
          <w:spacing w:val="-1"/>
        </w:rPr>
        <w:t>年，稳定性高，长期从事一卡通的研究与开发，在智能卡、校园信息化、互联网等业务领</w:t>
      </w:r>
      <w:r>
        <w:rPr>
          <w:spacing w:val="-84"/>
        </w:rPr>
        <w:t> </w:t>
      </w:r>
      <w:r>
        <w:rPr>
          <w:spacing w:val="-84"/>
        </w:rPr>
      </w:r>
      <w:r>
        <w:rPr/>
        <w:t>域具有非常突出的技术创新能力。</w:t>
      </w:r>
    </w:p>
    <w:p>
      <w:pPr>
        <w:pStyle w:val="BodyText"/>
        <w:spacing w:line="386" w:lineRule="auto" w:before="54"/>
        <w:ind w:left="574" w:right="95"/>
        <w:jc w:val="left"/>
      </w:pPr>
      <w:r>
        <w:rPr/>
        <w:t>截止报告期内末，公司及主要子公司共拥有专利证书</w:t>
      </w:r>
      <w:r>
        <w:rPr>
          <w:rFonts w:ascii="Times New Roman" w:hAnsi="Times New Roman" w:cs="Times New Roman" w:eastAsia="Times New Roman" w:hint="default"/>
        </w:rPr>
        <w:t>49</w:t>
      </w:r>
      <w:r>
        <w:rPr/>
        <w:t>项，商标</w:t>
      </w:r>
      <w:r>
        <w:rPr>
          <w:rFonts w:ascii="Times New Roman" w:hAnsi="Times New Roman" w:cs="Times New Roman" w:eastAsia="Times New Roman" w:hint="default"/>
        </w:rPr>
        <w:t>46</w:t>
      </w:r>
      <w:r>
        <w:rPr/>
        <w:t>件，计算机软件著作权</w:t>
      </w:r>
      <w:r>
        <w:rPr>
          <w:rFonts w:ascii="Times New Roman" w:hAnsi="Times New Roman" w:cs="Times New Roman" w:eastAsia="Times New Roman" w:hint="default"/>
        </w:rPr>
        <w:t>186</w:t>
      </w:r>
      <w:r>
        <w:rPr/>
        <w:t>项。 </w:t>
      </w:r>
      <w:r>
        <w:rPr>
          <w:rFonts w:ascii="Times New Roman" w:hAnsi="Times New Roman" w:cs="Times New Roman" w:eastAsia="Times New Roman" w:hint="default"/>
        </w:rPr>
        <w:t>4</w:t>
      </w:r>
      <w:r>
        <w:rPr/>
        <w:t>、贴近客户、高效响应的服务优势 </w:t>
      </w:r>
      <w:r>
        <w:rPr>
          <w:spacing w:val="-1"/>
        </w:rPr>
        <w:t>基于一直以来以需求为导向的经营理念，以及公司提供整体解决方案及定制服务的业务特色，公司能</w:t>
      </w:r>
    </w:p>
    <w:p>
      <w:pPr>
        <w:pStyle w:val="BodyText"/>
        <w:spacing w:line="400" w:lineRule="auto" w:before="65"/>
        <w:ind w:right="188"/>
        <w:jc w:val="both"/>
      </w:pPr>
      <w:r>
        <w:rPr>
          <w:spacing w:val="-1"/>
        </w:rPr>
        <w:t>够深刻理解客户个性化需求，有针对性地推进前端营销工作，并及时提供技术支持和客户服务。目前，公</w:t>
      </w:r>
      <w:r>
        <w:rPr>
          <w:spacing w:val="-82"/>
        </w:rPr>
        <w:t> </w:t>
      </w:r>
      <w:r>
        <w:rPr>
          <w:spacing w:val="-82"/>
        </w:rPr>
      </w:r>
      <w:r>
        <w:rPr>
          <w:spacing w:val="-1"/>
        </w:rPr>
        <w:t>司已经在全国范围内设立</w:t>
      </w:r>
      <w:r>
        <w:rPr>
          <w:rFonts w:ascii="Times New Roman" w:hAnsi="Times New Roman" w:cs="Times New Roman" w:eastAsia="Times New Roman" w:hint="default"/>
          <w:spacing w:val="-1"/>
        </w:rPr>
        <w:t>30</w:t>
      </w:r>
      <w:r>
        <w:rPr>
          <w:spacing w:val="-1"/>
        </w:rPr>
        <w:t>多家分支机构，建立了成熟的销售渠道和客户服务体系，以贴近客户的方式进</w:t>
      </w:r>
      <w:r>
        <w:rPr>
          <w:spacing w:val="-82"/>
        </w:rPr>
        <w:t> </w:t>
      </w:r>
      <w:r>
        <w:rPr>
          <w:spacing w:val="-82"/>
        </w:rPr>
      </w:r>
      <w:r>
        <w:rPr/>
        <w:t>行一对一的营销和技术支持，能够第一手掌握客户的动态，发现新的个性化需求，成为公司创新的来源， 同时给予客户最及时的技术反馈和维护。</w:t>
      </w:r>
    </w:p>
    <w:p>
      <w:pPr>
        <w:pStyle w:val="BodyText"/>
        <w:spacing w:line="408" w:lineRule="auto" w:before="52"/>
        <w:ind w:right="95" w:firstLine="420"/>
        <w:jc w:val="left"/>
      </w:pPr>
      <w:r>
        <w:rPr>
          <w:spacing w:val="-3"/>
        </w:rPr>
        <w:t>结合公司业务的快速增长、产品应用领域的扩张以及技术升级带来的营销、客服需求，公司也拟扩建、</w:t>
      </w:r>
      <w:r>
        <w:rPr/>
        <w:t> 新建营销客服网络，为客户提供更优质、更快速、更贴身的技术支持与服务，同时将更多新产品、新技术 向更多客户推广，加快创新技术成果转化能力，使得产品和服务能第一时间满足客户日益增加的智慧化需 求。</w:t>
      </w:r>
    </w:p>
    <w:p>
      <w:pPr>
        <w:pStyle w:val="BodyText"/>
        <w:spacing w:line="386" w:lineRule="auto"/>
        <w:ind w:left="574" w:right="170" w:hanging="1"/>
        <w:jc w:val="left"/>
      </w:pPr>
      <w:r>
        <w:rPr>
          <w:rFonts w:ascii="Times New Roman" w:hAnsi="Times New Roman" w:cs="Times New Roman" w:eastAsia="Times New Roman" w:hint="default"/>
        </w:rPr>
        <w:t>5</w:t>
      </w:r>
      <w:r>
        <w:rPr/>
        <w:t>、并购整合优势 相对于行业内其他竞争对手，公司融资渠道众多、融资能力强、资本运作手段灵活的优势较为明显，</w:t>
      </w:r>
    </w:p>
    <w:p>
      <w:pPr>
        <w:spacing w:after="0" w:line="386"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400" w:lineRule="auto" w:before="174"/>
        <w:ind w:left="153" w:right="102"/>
        <w:jc w:val="left"/>
      </w:pPr>
      <w:r>
        <w:rPr/>
        <w:t>便于公司借助资本市场的力量迅速拓展市场，推动主营业务发展，不断强化竞争优势。</w:t>
      </w:r>
      <w:r>
        <w:rPr>
          <w:rFonts w:ascii="Times New Roman" w:hAnsi="Times New Roman" w:cs="Times New Roman" w:eastAsia="Times New Roman" w:hint="default"/>
        </w:rPr>
        <w:t>2015</w:t>
      </w:r>
      <w:r>
        <w:rPr/>
        <w:t>年，公司先后 完成了对北京迪科远望科技有限公司和上海树维信息科技有限公司的收购工作，收购完成后公司在校园一 卡通领域的市场份额大幅提高，高校客户尤其是</w:t>
      </w:r>
      <w:r>
        <w:rPr>
          <w:rFonts w:ascii="Times New Roman" w:hAnsi="Times New Roman" w:cs="Times New Roman" w:eastAsia="Times New Roman" w:hint="default"/>
        </w:rPr>
        <w:t>“985</w:t>
      </w:r>
      <w:r>
        <w:rPr/>
        <w:t>工程</w:t>
      </w:r>
      <w:r>
        <w:rPr>
          <w:rFonts w:ascii="Times New Roman" w:hAnsi="Times New Roman" w:cs="Times New Roman" w:eastAsia="Times New Roman" w:hint="default"/>
        </w:rPr>
        <w:t>”</w:t>
      </w:r>
      <w:r>
        <w:rPr/>
        <w:t>院校、</w:t>
      </w:r>
      <w:r>
        <w:rPr>
          <w:rFonts w:ascii="Times New Roman" w:hAnsi="Times New Roman" w:cs="Times New Roman" w:eastAsia="Times New Roman" w:hint="default"/>
        </w:rPr>
        <w:t>“211</w:t>
      </w:r>
      <w:r>
        <w:rPr/>
        <w:t>工程</w:t>
      </w:r>
      <w:r>
        <w:rPr>
          <w:rFonts w:ascii="Times New Roman" w:hAnsi="Times New Roman" w:cs="Times New Roman" w:eastAsia="Times New Roman" w:hint="default"/>
        </w:rPr>
        <w:t>”</w:t>
      </w:r>
      <w:r>
        <w:rPr/>
        <w:t>院校等知名高校客户的数量大 幅增加，进一步夯实了公司校园移动互联网业务的高校客户资源基础。同时，提升了公司的业务规模和盈 </w:t>
      </w:r>
      <w:r>
        <w:rPr>
          <w:spacing w:val="-3"/>
        </w:rPr>
        <w:t>利水平，充分发挥并购双方在采购、生产、技术与研发、营销服务、产品与业务内容等多方面的整合效应，</w:t>
      </w:r>
      <w:r>
        <w:rPr>
          <w:spacing w:val="-94"/>
        </w:rPr>
        <w:t> </w:t>
      </w:r>
      <w:r>
        <w:rPr>
          <w:spacing w:val="-94"/>
        </w:rPr>
      </w:r>
      <w:r>
        <w:rPr/>
        <w:t>提高公司的核心竞争力和持续盈利能力。</w:t>
      </w:r>
    </w:p>
    <w:p>
      <w:pPr>
        <w:spacing w:after="0" w:line="400"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6" w:right="95"/>
        <w:jc w:val="left"/>
        <w:rPr>
          <w:b w:val="0"/>
          <w:bCs w:val="0"/>
        </w:rPr>
      </w:pPr>
      <w:bookmarkStart w:name="_TOC_250007" w:id="4"/>
      <w:r>
        <w:rPr/>
        <w:t>第四节</w:t>
      </w:r>
      <w:r>
        <w:rPr>
          <w:spacing w:val="-9"/>
        </w:rPr>
        <w:t> </w:t>
      </w:r>
      <w:r>
        <w:rPr/>
        <w:t>管理层讨论与分析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5"/>
        <w:jc w:val="left"/>
        <w:rPr>
          <w:b w:val="0"/>
          <w:bCs w:val="0"/>
        </w:rPr>
      </w:pPr>
      <w:r>
        <w:rPr/>
        <w:t>一、概述</w:t>
      </w:r>
      <w:r>
        <w:rPr>
          <w:b w:val="0"/>
          <w:bCs w:val="0"/>
        </w:rPr>
      </w:r>
    </w:p>
    <w:p>
      <w:pPr>
        <w:spacing w:line="240" w:lineRule="auto" w:before="8"/>
        <w:rPr>
          <w:rFonts w:ascii="宋体" w:hAnsi="宋体" w:cs="宋体" w:eastAsia="宋体" w:hint="default"/>
          <w:b/>
          <w:bCs/>
          <w:sz w:val="30"/>
          <w:szCs w:val="30"/>
        </w:rPr>
      </w:pPr>
    </w:p>
    <w:p>
      <w:pPr>
        <w:pStyle w:val="BodyText"/>
        <w:spacing w:line="400" w:lineRule="auto" w:before="0"/>
        <w:ind w:right="95" w:firstLine="420"/>
        <w:jc w:val="left"/>
      </w:pPr>
      <w:r>
        <w:rPr>
          <w:rFonts w:ascii="Times New Roman" w:hAnsi="Times New Roman" w:cs="Times New Roman" w:eastAsia="Times New Roman" w:hint="default"/>
          <w:spacing w:val="-1"/>
        </w:rPr>
        <w:t>2015</w:t>
      </w:r>
      <w:r>
        <w:rPr>
          <w:spacing w:val="-1"/>
        </w:rPr>
        <w:t>年度，公司积极贯彻年初制定的年度经营计划，继续完善行业应用平台建设，提升智能终端核心</w:t>
      </w:r>
      <w:r>
        <w:rPr/>
        <w:t> 技术开发及产业化能力，以丰富的线下应用解决方案为基础快速形成基于高校的移动互联网综合服务能 </w:t>
      </w:r>
      <w:r>
        <w:rPr>
          <w:spacing w:val="-1"/>
        </w:rPr>
        <w:t>力，逐步转型为高校基础服务商和运营商。报告期内，公司还积极布局互联网职业教育领域，为高校大学</w:t>
      </w:r>
      <w:r>
        <w:rPr>
          <w:spacing w:val="-82"/>
        </w:rPr>
        <w:t> </w:t>
      </w:r>
      <w:r>
        <w:rPr>
          <w:spacing w:val="-82"/>
        </w:rPr>
      </w:r>
      <w:r>
        <w:rPr>
          <w:spacing w:val="-1"/>
        </w:rPr>
        <w:t>生提供基于线上和线下的职业培训、就业服务、创业孵化，打造公司全方位的高校移动互联网综合服务体</w:t>
      </w:r>
      <w:r>
        <w:rPr>
          <w:spacing w:val="-83"/>
        </w:rPr>
        <w:t> </w:t>
      </w:r>
      <w:r>
        <w:rPr>
          <w:spacing w:val="-83"/>
        </w:rPr>
      </w:r>
      <w:r>
        <w:rPr>
          <w:spacing w:val="-1"/>
        </w:rPr>
        <w:t>系。</w:t>
      </w:r>
      <w:r>
        <w:rPr>
          <w:rFonts w:ascii="Times New Roman" w:hAnsi="Times New Roman" w:cs="Times New Roman" w:eastAsia="Times New Roman" w:hint="default"/>
          <w:spacing w:val="-1"/>
        </w:rPr>
        <w:t>2016</w:t>
      </w:r>
      <w:r>
        <w:rPr>
          <w:spacing w:val="-1"/>
        </w:rPr>
        <w:t>年及未来三年，公司将由目前国内领先的智能一卡通整体解决方案供应商快速转型为国内知名的</w:t>
      </w:r>
      <w:r>
        <w:rPr>
          <w:spacing w:val="-82"/>
        </w:rPr>
        <w:t> </w:t>
      </w:r>
      <w:r>
        <w:rPr>
          <w:spacing w:val="-82"/>
        </w:rPr>
      </w:r>
      <w:r>
        <w:rPr/>
        <w:t>高校信息化、互联网及人才事业服务商。</w:t>
      </w:r>
    </w:p>
    <w:p>
      <w:pPr>
        <w:pStyle w:val="BodyText"/>
        <w:spacing w:line="400" w:lineRule="auto" w:before="52"/>
        <w:ind w:left="153" w:right="95" w:firstLine="420"/>
        <w:jc w:val="left"/>
      </w:pPr>
      <w:r>
        <w:rPr/>
        <w:t>报告期内，公司实现营业收入</w:t>
      </w:r>
      <w:r>
        <w:rPr>
          <w:rFonts w:ascii="Times New Roman" w:hAnsi="Times New Roman" w:cs="Times New Roman" w:eastAsia="Times New Roman" w:hint="default"/>
        </w:rPr>
        <w:t>51,044.33</w:t>
      </w:r>
      <w:r>
        <w:rPr/>
        <w:t>万元，比上年同期增长</w:t>
      </w:r>
      <w:r>
        <w:rPr>
          <w:rFonts w:ascii="Times New Roman" w:hAnsi="Times New Roman" w:cs="Times New Roman" w:eastAsia="Times New Roman" w:hint="default"/>
        </w:rPr>
        <w:t>61.86%</w:t>
      </w:r>
      <w:r>
        <w:rPr/>
        <w:t>；实现营业利润</w:t>
      </w:r>
      <w:r>
        <w:rPr>
          <w:rFonts w:ascii="Times New Roman" w:hAnsi="Times New Roman" w:cs="Times New Roman" w:eastAsia="Times New Roman" w:hint="default"/>
        </w:rPr>
        <w:t>6,631.51</w:t>
      </w:r>
      <w:r>
        <w:rPr/>
        <w:t>万元， </w:t>
      </w:r>
      <w:r>
        <w:rPr>
          <w:spacing w:val="-2"/>
        </w:rPr>
        <w:t>比上年同期增长</w:t>
      </w:r>
      <w:r>
        <w:rPr>
          <w:rFonts w:ascii="Times New Roman" w:hAnsi="Times New Roman" w:cs="Times New Roman" w:eastAsia="Times New Roman" w:hint="default"/>
          <w:spacing w:val="-2"/>
        </w:rPr>
        <w:t>108.97%</w:t>
      </w:r>
      <w:r>
        <w:rPr>
          <w:spacing w:val="-2"/>
        </w:rPr>
        <w:t>；实现归属于上市公司股东的净利润</w:t>
      </w:r>
      <w:r>
        <w:rPr>
          <w:rFonts w:ascii="Times New Roman" w:hAnsi="Times New Roman" w:cs="Times New Roman" w:eastAsia="Times New Roman" w:hint="default"/>
          <w:spacing w:val="-2"/>
        </w:rPr>
        <w:t>6,040.20</w:t>
      </w:r>
      <w:r>
        <w:rPr>
          <w:spacing w:val="-2"/>
        </w:rPr>
        <w:t>万元，比上年同期增长</w:t>
      </w:r>
      <w:r>
        <w:rPr>
          <w:rFonts w:ascii="Times New Roman" w:hAnsi="Times New Roman" w:cs="Times New Roman" w:eastAsia="Times New Roman" w:hint="default"/>
          <w:spacing w:val="-2"/>
        </w:rPr>
        <w:t>59.98%</w:t>
      </w:r>
      <w:r>
        <w:rPr>
          <w:spacing w:val="-2"/>
        </w:rPr>
        <w:t>。公司</w:t>
      </w:r>
      <w:r>
        <w:rPr>
          <w:spacing w:val="-61"/>
        </w:rPr>
        <w:t> </w:t>
      </w:r>
      <w:r>
        <w:rPr>
          <w:spacing w:val="-61"/>
        </w:rPr>
      </w:r>
      <w:r>
        <w:rPr>
          <w:spacing w:val="-1"/>
        </w:rPr>
        <w:t>取得上述经营成果的主要原因如下：公司搭建了领先的智慧校园、智慧园区、城市公交及金融应用全产业</w:t>
      </w:r>
      <w:r>
        <w:rPr>
          <w:spacing w:val="-83"/>
        </w:rPr>
        <w:t> </w:t>
      </w:r>
      <w:r>
        <w:rPr>
          <w:spacing w:val="-83"/>
        </w:rPr>
      </w:r>
      <w:r>
        <w:rPr>
          <w:spacing w:val="-1"/>
        </w:rPr>
        <w:t>链，业务涵盖校园一卡通、数字化校园、教务系统、企事业一卡通、金融</w:t>
      </w:r>
      <w:r>
        <w:rPr>
          <w:rFonts w:ascii="Times New Roman" w:hAnsi="Times New Roman" w:cs="Times New Roman" w:eastAsia="Times New Roman" w:hint="default"/>
          <w:spacing w:val="-1"/>
        </w:rPr>
        <w:t>IC</w:t>
      </w:r>
      <w:r>
        <w:rPr>
          <w:spacing w:val="-1"/>
        </w:rPr>
        <w:t>卡多行业应用、</w:t>
      </w:r>
      <w:r>
        <w:rPr>
          <w:rFonts w:ascii="Times New Roman" w:hAnsi="Times New Roman" w:cs="Times New Roman" w:eastAsia="Times New Roman" w:hint="default"/>
          <w:spacing w:val="-1"/>
        </w:rPr>
        <w:t>NFC</w:t>
      </w:r>
      <w:r>
        <w:rPr>
          <w:spacing w:val="-1"/>
        </w:rPr>
        <w:t>手机支付</w:t>
      </w:r>
      <w:r>
        <w:rPr>
          <w:spacing w:val="-75"/>
        </w:rPr>
        <w:t> </w:t>
      </w:r>
      <w:r>
        <w:rPr>
          <w:spacing w:val="-75"/>
        </w:rPr>
      </w:r>
      <w:r>
        <w:rPr>
          <w:spacing w:val="-1"/>
        </w:rPr>
        <w:t>等产业，并全力推广系统解决方案的行业应用，取得了较好的经营业绩；同时，公司不断加大项目实施和</w:t>
      </w:r>
      <w:r>
        <w:rPr>
          <w:spacing w:val="-82"/>
        </w:rPr>
        <w:t> </w:t>
      </w:r>
      <w:r>
        <w:rPr>
          <w:spacing w:val="-82"/>
        </w:rPr>
      </w:r>
      <w:r>
        <w:rPr/>
        <w:t>验收力度，并推出符合市场需求的新技术、新应用，扩大市场份额</w:t>
      </w:r>
      <w:r>
        <w:rPr>
          <w:spacing w:val="-21"/>
        </w:rPr>
        <w:t> </w:t>
      </w:r>
      <w:r>
        <w:rPr/>
        <w:t>；在新增智能终端业务上，进一步拓</w:t>
      </w:r>
      <w:r>
        <w:rPr/>
        <w:t> </w:t>
      </w:r>
      <w:r>
        <w:rPr>
          <w:spacing w:val="-1"/>
        </w:rPr>
        <w:t>展了智能载波模块的业务份额；另外，公司加大投资并购力度，在原有一卡通市场业务销售的基础上进行</w:t>
      </w:r>
      <w:r>
        <w:rPr>
          <w:spacing w:val="-83"/>
        </w:rPr>
        <w:t> </w:t>
      </w:r>
      <w:r>
        <w:rPr>
          <w:spacing w:val="-83"/>
        </w:rPr>
      </w:r>
      <w:r>
        <w:rPr>
          <w:spacing w:val="-1"/>
        </w:rPr>
        <w:t>资源整合，完成了对迪科远望及上海树维的并购重组，加强公司综合服务体系建设，为公司长期良性发展</w:t>
      </w:r>
      <w:r>
        <w:rPr>
          <w:spacing w:val="-83"/>
        </w:rPr>
        <w:t> </w:t>
      </w:r>
      <w:r>
        <w:rPr>
          <w:spacing w:val="-83"/>
        </w:rPr>
      </w:r>
      <w:r>
        <w:rPr/>
        <w:t>奠定了坚实基础。</w:t>
      </w:r>
    </w:p>
    <w:p>
      <w:pPr>
        <w:pStyle w:val="BodyText"/>
        <w:spacing w:line="408" w:lineRule="auto" w:before="52"/>
        <w:ind w:left="574" w:right="95"/>
        <w:jc w:val="left"/>
      </w:pPr>
      <w:r>
        <w:rPr/>
        <w:t>（一）深耕校园一卡通市场，扩大市场占有率及产品渗透率 </w:t>
      </w:r>
      <w:r>
        <w:rPr>
          <w:spacing w:val="-1"/>
        </w:rPr>
        <w:t>在校园一卡通领域，校园信息化建设的不断完善，数字化校园、教务系统、大数据分析、</w:t>
      </w:r>
      <w:r>
        <w:rPr>
          <w:rFonts w:ascii="Times New Roman" w:hAnsi="Times New Roman" w:cs="Times New Roman" w:eastAsia="Times New Roman" w:hint="default"/>
          <w:spacing w:val="-1"/>
        </w:rPr>
        <w:t>NFC</w:t>
      </w:r>
      <w:r>
        <w:rPr>
          <w:spacing w:val="-1"/>
        </w:rPr>
        <w:t>移动支</w:t>
      </w:r>
    </w:p>
    <w:p>
      <w:pPr>
        <w:pStyle w:val="BodyText"/>
        <w:spacing w:line="393" w:lineRule="auto" w:before="14"/>
        <w:ind w:left="153" w:right="102"/>
        <w:jc w:val="left"/>
      </w:pPr>
      <w:r>
        <w:rPr/>
        <w:t>付及校园移动互联网服务兴起，为校园一卡通行业带来了新的增长动力。报告期内，凭借公司</w:t>
      </w:r>
      <w:r>
        <w:rPr>
          <w:rFonts w:ascii="Times New Roman" w:hAnsi="Times New Roman" w:cs="Times New Roman" w:eastAsia="Times New Roman" w:hint="default"/>
        </w:rPr>
        <w:t>“</w:t>
      </w:r>
      <w:r>
        <w:rPr/>
        <w:t>移动互 </w:t>
      </w:r>
      <w:r>
        <w:rPr>
          <w:spacing w:val="-2"/>
        </w:rPr>
        <w:t>联</w:t>
      </w:r>
      <w:r>
        <w:rPr>
          <w:rFonts w:ascii="Times New Roman" w:hAnsi="Times New Roman" w:cs="Times New Roman" w:eastAsia="Times New Roman" w:hint="default"/>
          <w:spacing w:val="-2"/>
        </w:rPr>
        <w:t>”+“</w:t>
      </w:r>
      <w:r>
        <w:rPr>
          <w:spacing w:val="-2"/>
        </w:rPr>
        <w:t>解决方案</w:t>
      </w:r>
      <w:r>
        <w:rPr>
          <w:rFonts w:ascii="Times New Roman" w:hAnsi="Times New Roman" w:cs="Times New Roman" w:eastAsia="Times New Roman" w:hint="default"/>
          <w:spacing w:val="-2"/>
        </w:rPr>
        <w:t>”+“</w:t>
      </w:r>
      <w:r>
        <w:rPr>
          <w:spacing w:val="-2"/>
        </w:rPr>
        <w:t>终端</w:t>
      </w:r>
      <w:r>
        <w:rPr>
          <w:rFonts w:ascii="Times New Roman" w:hAnsi="Times New Roman" w:cs="Times New Roman" w:eastAsia="Times New Roman" w:hint="default"/>
          <w:spacing w:val="-2"/>
        </w:rPr>
        <w:t>”</w:t>
      </w:r>
      <w:r>
        <w:rPr>
          <w:spacing w:val="-2"/>
        </w:rPr>
        <w:t>的核心规划、全面的产品线、优质的服务以及强大的研发实力，公司校园领域实现</w:t>
      </w:r>
      <w:r>
        <w:rPr>
          <w:spacing w:val="-103"/>
        </w:rPr>
        <w:t> </w:t>
      </w:r>
      <w:r>
        <w:rPr>
          <w:spacing w:val="-103"/>
        </w:rPr>
      </w:r>
      <w:r>
        <w:rPr/>
        <w:t>营业收入</w:t>
      </w:r>
      <w:r>
        <w:rPr>
          <w:rFonts w:ascii="Times New Roman" w:hAnsi="Times New Roman" w:cs="Times New Roman" w:eastAsia="Times New Roman" w:hint="default"/>
        </w:rPr>
        <w:t>26,897.36</w:t>
      </w:r>
      <w:r>
        <w:rPr/>
        <w:t>万元，较上年增长</w:t>
      </w:r>
      <w:r>
        <w:rPr>
          <w:rFonts w:ascii="Times New Roman" w:hAnsi="Times New Roman" w:cs="Times New Roman" w:eastAsia="Times New Roman" w:hint="default"/>
        </w:rPr>
        <w:t>73.49%</w:t>
      </w:r>
      <w:r>
        <w:rPr/>
        <w:t>，公司及子公司迪科远望、上海树维共新增包括新增了包括东 北林业大学、湖南工业大学、华东政法大学、西安理工大学等在内的</w:t>
      </w:r>
      <w:r>
        <w:rPr>
          <w:rFonts w:ascii="Times New Roman" w:hAnsi="Times New Roman" w:cs="Times New Roman" w:eastAsia="Times New Roman" w:hint="default"/>
        </w:rPr>
        <w:t>99</w:t>
      </w:r>
      <w:r>
        <w:rPr/>
        <w:t>个高校一卡通客户，新增持卡人用 户</w:t>
      </w:r>
      <w:r>
        <w:rPr>
          <w:rFonts w:ascii="Times New Roman" w:hAnsi="Times New Roman" w:cs="Times New Roman" w:eastAsia="Times New Roman" w:hint="default"/>
        </w:rPr>
        <w:t>100</w:t>
      </w:r>
      <w:r>
        <w:rPr/>
        <w:t>余万人。截至目前，公司已经为全国</w:t>
      </w:r>
      <w:r>
        <w:rPr>
          <w:rFonts w:ascii="Times New Roman" w:hAnsi="Times New Roman" w:cs="Times New Roman" w:eastAsia="Times New Roman" w:hint="default"/>
        </w:rPr>
        <w:t>850</w:t>
      </w:r>
      <w:r>
        <w:rPr/>
        <w:t>余所本专科院校及</w:t>
      </w:r>
      <w:r>
        <w:rPr>
          <w:rFonts w:ascii="Times New Roman" w:hAnsi="Times New Roman" w:cs="Times New Roman" w:eastAsia="Times New Roman" w:hint="default"/>
        </w:rPr>
        <w:t>950</w:t>
      </w:r>
      <w:r>
        <w:rPr/>
        <w:t>余所中职院校的</w:t>
      </w:r>
      <w:r>
        <w:rPr>
          <w:rFonts w:ascii="Times New Roman" w:hAnsi="Times New Roman" w:cs="Times New Roman" w:eastAsia="Times New Roman" w:hint="default"/>
        </w:rPr>
        <w:t>1,000</w:t>
      </w:r>
      <w:r>
        <w:rPr/>
        <w:t>余万持卡人用户 </w:t>
      </w:r>
      <w:r>
        <w:rPr>
          <w:spacing w:val="-3"/>
        </w:rPr>
        <w:t>提供了个性化、可持续的校园信息化服务。结合目前校园一卡通建设的深入及数字化校园建设的快速推进，</w:t>
      </w:r>
      <w:r>
        <w:rPr>
          <w:spacing w:val="-92"/>
        </w:rPr>
        <w:t> </w:t>
      </w:r>
      <w:r>
        <w:rPr>
          <w:spacing w:val="-92"/>
        </w:rPr>
      </w:r>
      <w:r>
        <w:rPr/>
        <w:t>公司同时具备了较强的校园一卡通建设经验、数字化校园整体解决方案、高效教务系统、高校移动互联网</w:t>
      </w:r>
      <w:r>
        <w:rPr/>
        <w:t> 的研发、集成、服务能力，因此在未来智慧校园产业升级建设中将具备较强优势。</w:t>
      </w:r>
    </w:p>
    <w:p>
      <w:pPr>
        <w:spacing w:after="0" w:line="393"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408" w:lineRule="auto" w:before="174"/>
        <w:ind w:left="573" w:right="0"/>
        <w:jc w:val="left"/>
      </w:pPr>
      <w:r>
        <w:rPr/>
        <w:t>（二）加快智慧园区信息化建设 </w:t>
      </w:r>
      <w:r>
        <w:rPr>
          <w:spacing w:val="-1"/>
        </w:rPr>
        <w:t>报告期内，随着企业信息化建设进程加快，大中型企业对整体解决方案的需求增加。另外，随着企事</w:t>
      </w:r>
    </w:p>
    <w:p>
      <w:pPr>
        <w:pStyle w:val="BodyText"/>
        <w:spacing w:line="400" w:lineRule="auto"/>
        <w:ind w:left="153" w:right="128"/>
        <w:jc w:val="both"/>
      </w:pPr>
      <w:r>
        <w:rPr>
          <w:spacing w:val="-1"/>
        </w:rPr>
        <w:t>业单位的节能意识增强，公司能源管控平台对水电气等能源管理的优势凸显。2015年度，公司在企事业领</w:t>
      </w:r>
      <w:r>
        <w:rPr>
          <w:spacing w:val="-83"/>
        </w:rPr>
        <w:t> </w:t>
      </w:r>
      <w:r>
        <w:rPr>
          <w:spacing w:val="-83"/>
        </w:rPr>
      </w:r>
      <w:r>
        <w:rPr/>
        <w:t>域实现营业收入</w:t>
      </w:r>
      <w:r>
        <w:rPr>
          <w:rFonts w:ascii="Times New Roman" w:hAnsi="Times New Roman" w:cs="Times New Roman" w:eastAsia="Times New Roman" w:hint="default"/>
        </w:rPr>
        <w:t>12,034.89</w:t>
      </w:r>
      <w:r>
        <w:rPr/>
        <w:t>万元，较上年同期增长</w:t>
      </w:r>
      <w:r>
        <w:rPr>
          <w:rFonts w:ascii="Times New Roman" w:hAnsi="Times New Roman" w:cs="Times New Roman" w:eastAsia="Times New Roman" w:hint="default"/>
        </w:rPr>
        <w:t>102.19%</w:t>
      </w:r>
      <w:r>
        <w:rPr/>
        <w:t>，新增腾讯科技、红豆电信、中兴、珠海伟创力 智慧园区、格力湖北园区、海航集团、海亮教育园等企业客户，为客户提供了包括考勤管理、餐饮收费、 楼宇门禁、办公室门锁、厂区出入通道、能源管控等方面的全方位服务。</w:t>
      </w:r>
    </w:p>
    <w:p>
      <w:pPr>
        <w:pStyle w:val="BodyText"/>
        <w:spacing w:line="240" w:lineRule="auto" w:before="52"/>
        <w:ind w:left="574" w:right="0"/>
        <w:jc w:val="left"/>
      </w:pPr>
      <w:r>
        <w:rPr/>
        <w:t>（三）紧跟智慧城市建设浪潮及金融</w:t>
      </w:r>
      <w:r>
        <w:rPr>
          <w:rFonts w:ascii="Times New Roman" w:hAnsi="Times New Roman" w:cs="Times New Roman" w:eastAsia="Times New Roman" w:hint="default"/>
        </w:rPr>
        <w:t>IC</w:t>
      </w:r>
      <w:r>
        <w:rPr/>
        <w:t>卡推广趋势，提供推进智慧支付大数据及金融业务</w:t>
      </w:r>
    </w:p>
    <w:p>
      <w:pPr>
        <w:pStyle w:val="BodyText"/>
        <w:spacing w:line="391" w:lineRule="auto" w:before="177"/>
        <w:ind w:left="153" w:right="111" w:firstLine="420"/>
        <w:jc w:val="left"/>
      </w:pPr>
      <w:r>
        <w:rPr>
          <w:rFonts w:ascii="Times New Roman" w:hAnsi="Times New Roman" w:cs="Times New Roman" w:eastAsia="Times New Roman" w:hint="default"/>
        </w:rPr>
        <w:t>2015</w:t>
      </w:r>
      <w:r>
        <w:rPr/>
        <w:t>年度，公司城市领域实现销售收入</w:t>
      </w:r>
      <w:r>
        <w:rPr>
          <w:rFonts w:ascii="Times New Roman" w:hAnsi="Times New Roman" w:cs="Times New Roman" w:eastAsia="Times New Roman" w:hint="default"/>
        </w:rPr>
        <w:t>1,496.44</w:t>
      </w:r>
      <w:r>
        <w:rPr/>
        <w:t>万元，较上年同期增长</w:t>
      </w:r>
      <w:r>
        <w:rPr>
          <w:rFonts w:ascii="Times New Roman" w:hAnsi="Times New Roman" w:cs="Times New Roman" w:eastAsia="Times New Roman" w:hint="default"/>
        </w:rPr>
        <w:t>14.78%</w:t>
      </w:r>
      <w:r>
        <w:rPr/>
        <w:t>。公司在智慧城市建设 </w:t>
      </w:r>
      <w:r>
        <w:rPr>
          <w:spacing w:val="-1"/>
        </w:rPr>
        <w:t>中，以市民卡、城市一卡通为切入点，建设覆盖公共交通、公共事业缴费、金融、商业、教育、社保、卫</w:t>
      </w:r>
      <w:r>
        <w:rPr>
          <w:spacing w:val="-86"/>
        </w:rPr>
        <w:t> </w:t>
      </w:r>
      <w:r>
        <w:rPr>
          <w:spacing w:val="-86"/>
        </w:rPr>
      </w:r>
      <w:r>
        <w:rPr/>
        <w:t>生、旅游、社区等领域的智能支付应用，通过</w:t>
      </w:r>
      <w:r>
        <w:rPr>
          <w:rFonts w:ascii="Times New Roman" w:hAnsi="Times New Roman" w:cs="Times New Roman" w:eastAsia="Times New Roman" w:hint="default"/>
        </w:rPr>
        <w:t>NFC</w:t>
      </w:r>
      <w:r>
        <w:rPr/>
        <w:t>移动支付技术实现，提升用户体验，为智慧城市提供详</w:t>
      </w:r>
      <w:r>
        <w:rPr>
          <w:w w:val="100"/>
        </w:rPr>
        <w:t> </w:t>
      </w:r>
      <w:r>
        <w:rPr/>
        <w:t>实的消费大数据，树立让</w:t>
      </w:r>
      <w:r>
        <w:rPr>
          <w:rFonts w:ascii="Times New Roman" w:hAnsi="Times New Roman" w:cs="Times New Roman" w:eastAsia="Times New Roman" w:hint="default"/>
        </w:rPr>
        <w:t>“</w:t>
      </w:r>
      <w:r>
        <w:rPr/>
        <w:t>城市生活更美好的</w:t>
      </w:r>
      <w:r>
        <w:rPr>
          <w:rFonts w:ascii="Times New Roman" w:hAnsi="Times New Roman" w:cs="Times New Roman" w:eastAsia="Times New Roman" w:hint="default"/>
        </w:rPr>
        <w:t>”</w:t>
      </w:r>
      <w:r>
        <w:rPr/>
        <w:t>城市形象；截至报告期末，公司共拓展了近百个城市的城市 及公交领域应用。报告期内，公司借助金融</w:t>
      </w:r>
      <w:r>
        <w:rPr>
          <w:rFonts w:ascii="Times New Roman" w:hAnsi="Times New Roman" w:cs="Times New Roman" w:eastAsia="Times New Roman" w:hint="default"/>
        </w:rPr>
        <w:t>IC</w:t>
      </w:r>
      <w:r>
        <w:rPr/>
        <w:t>卡区域平台的优势先后在湖南、湖北、河北、宁夏、云南、 新疆等</w:t>
      </w:r>
      <w:r>
        <w:rPr>
          <w:rFonts w:ascii="Times New Roman" w:hAnsi="Times New Roman" w:cs="Times New Roman" w:eastAsia="Times New Roman" w:hint="default"/>
        </w:rPr>
        <w:t>6</w:t>
      </w:r>
      <w:r>
        <w:rPr/>
        <w:t>个省与当地人民银行和银联建设省级金融</w:t>
      </w:r>
      <w:r>
        <w:rPr>
          <w:rFonts w:ascii="Times New Roman" w:hAnsi="Times New Roman" w:cs="Times New Roman" w:eastAsia="Times New Roman" w:hint="default"/>
        </w:rPr>
        <w:t>IC</w:t>
      </w:r>
      <w:r>
        <w:rPr/>
        <w:t>卡多行业应用平台为数以千万银行持卡人提供闪付服 </w:t>
      </w:r>
      <w:r>
        <w:rPr>
          <w:spacing w:val="-1"/>
        </w:rPr>
        <w:t>务，并随着市场发展，为众多银行机构提供个性化的金融</w:t>
      </w:r>
      <w:r>
        <w:rPr>
          <w:rFonts w:ascii="Times New Roman" w:hAnsi="Times New Roman" w:cs="Times New Roman" w:eastAsia="Times New Roman" w:hint="default"/>
          <w:spacing w:val="-1"/>
        </w:rPr>
        <w:t>IC</w:t>
      </w:r>
      <w:r>
        <w:rPr>
          <w:spacing w:val="-1"/>
        </w:rPr>
        <w:t>卡多行业应用服务，陆续与银行机构建立合作</w:t>
      </w:r>
      <w:r>
        <w:rPr>
          <w:spacing w:val="-83"/>
        </w:rPr>
        <w:t> </w:t>
      </w:r>
      <w:r>
        <w:rPr>
          <w:spacing w:val="-83"/>
        </w:rPr>
      </w:r>
      <w:r>
        <w:rPr>
          <w:spacing w:val="-1"/>
        </w:rPr>
        <w:t>包括河南邮政储蓄银行、河南邮政、广西省农村信用社、长春邮政、晋城银行、桂林银行等银行建设了基</w:t>
      </w:r>
      <w:r>
        <w:rPr>
          <w:spacing w:val="-83"/>
        </w:rPr>
        <w:t> </w:t>
      </w:r>
      <w:r>
        <w:rPr>
          <w:spacing w:val="-83"/>
        </w:rPr>
      </w:r>
      <w:r>
        <w:rPr/>
        <w:t>于金融</w:t>
      </w:r>
      <w:r>
        <w:rPr>
          <w:rFonts w:ascii="Times New Roman" w:hAnsi="Times New Roman" w:cs="Times New Roman" w:eastAsia="Times New Roman" w:hint="default"/>
        </w:rPr>
        <w:t>IC</w:t>
      </w:r>
      <w:r>
        <w:rPr/>
        <w:t>卡的多行业应用平台，为众多银行提供多元化的金融</w:t>
      </w:r>
      <w:r>
        <w:rPr>
          <w:rFonts w:ascii="Times New Roman" w:hAnsi="Times New Roman" w:cs="Times New Roman" w:eastAsia="Times New Roman" w:hint="default"/>
        </w:rPr>
        <w:t>IC</w:t>
      </w:r>
      <w:r>
        <w:rPr/>
        <w:t>卡应用服务。</w:t>
      </w:r>
    </w:p>
    <w:p>
      <w:pPr>
        <w:pStyle w:val="BodyText"/>
        <w:spacing w:line="386" w:lineRule="auto" w:before="30"/>
        <w:ind w:left="574" w:right="133"/>
        <w:jc w:val="left"/>
      </w:pPr>
      <w:r>
        <w:rPr/>
        <w:t>（四）</w:t>
      </w:r>
      <w:r>
        <w:rPr>
          <w:rFonts w:ascii="Times New Roman" w:hAnsi="Times New Roman" w:cs="Times New Roman" w:eastAsia="Times New Roman" w:hint="default"/>
        </w:rPr>
        <w:t>NFC</w:t>
      </w:r>
      <w:r>
        <w:rPr/>
        <w:t>移动支付应用，为智能一卡通行业带来了新的增长动力 报告期内，公司紧抓</w:t>
      </w:r>
      <w:r>
        <w:rPr>
          <w:rFonts w:ascii="Times New Roman" w:hAnsi="Times New Roman" w:cs="Times New Roman" w:eastAsia="Times New Roman" w:hint="default"/>
        </w:rPr>
        <w:t>NFC</w:t>
      </w:r>
      <w:r>
        <w:rPr/>
        <w:t>移动支付行业发展机遇，快速响应</w:t>
      </w:r>
      <w:r>
        <w:rPr>
          <w:rFonts w:ascii="Times New Roman" w:hAnsi="Times New Roman" w:cs="Times New Roman" w:eastAsia="Times New Roman" w:hint="default"/>
        </w:rPr>
        <w:t>NFC</w:t>
      </w:r>
      <w:r>
        <w:rPr/>
        <w:t>近场支付市场需求，具备了在移动支</w:t>
      </w:r>
    </w:p>
    <w:p>
      <w:pPr>
        <w:pStyle w:val="BodyText"/>
        <w:spacing w:line="393" w:lineRule="auto" w:before="35"/>
        <w:ind w:right="140"/>
        <w:jc w:val="both"/>
      </w:pPr>
      <w:r>
        <w:rPr>
          <w:spacing w:val="-1"/>
        </w:rPr>
        <w:t>付相关关键环节上提供相应解决方案的能力和技术储备，业务拓展实现突破，并与三大电信运营商建立了</w:t>
      </w:r>
      <w:r>
        <w:rPr>
          <w:spacing w:val="-81"/>
        </w:rPr>
        <w:t> </w:t>
      </w:r>
      <w:r>
        <w:rPr>
          <w:spacing w:val="-81"/>
        </w:rPr>
      </w:r>
      <w:r>
        <w:rPr/>
        <w:t>良好的合作关系。公司实施的包头钢铁职业技术学院、北京邮电大学等</w:t>
      </w:r>
      <w:r>
        <w:rPr>
          <w:rFonts w:ascii="Times New Roman" w:hAnsi="Times New Roman" w:cs="Times New Roman" w:eastAsia="Times New Roman" w:hint="default"/>
        </w:rPr>
        <w:t>NFC</w:t>
      </w:r>
      <w:r>
        <w:rPr/>
        <w:t>手机校园一卡通项目已先后投 入使用，加之城市领域实施的基于</w:t>
      </w:r>
      <w:r>
        <w:rPr>
          <w:rFonts w:ascii="Times New Roman" w:hAnsi="Times New Roman" w:cs="Times New Roman" w:eastAsia="Times New Roman" w:hint="default"/>
        </w:rPr>
        <w:t>NFC</w:t>
      </w:r>
      <w:r>
        <w:rPr/>
        <w:t>近场支付的西安城市通、汉中城市公交系统等项目，公司在校园、 城市、企事业等领域基于</w:t>
      </w:r>
      <w:r>
        <w:rPr>
          <w:rFonts w:ascii="Times New Roman" w:hAnsi="Times New Roman" w:cs="Times New Roman" w:eastAsia="Times New Roman" w:hint="default"/>
        </w:rPr>
        <w:t>NFC</w:t>
      </w:r>
      <w:r>
        <w:rPr/>
        <w:t>的一卡通解决方案在业界建立了显著的竞争优势。</w:t>
      </w:r>
    </w:p>
    <w:p>
      <w:pPr>
        <w:pStyle w:val="BodyText"/>
        <w:spacing w:line="386" w:lineRule="auto" w:before="28"/>
        <w:ind w:left="574" w:right="0"/>
        <w:jc w:val="left"/>
      </w:pPr>
      <w:r>
        <w:rPr/>
        <w:t>（五）以</w:t>
      </w:r>
      <w:r>
        <w:rPr>
          <w:rFonts w:ascii="Times New Roman" w:hAnsi="Times New Roman" w:cs="Times New Roman" w:eastAsia="Times New Roman" w:hint="default"/>
        </w:rPr>
        <w:t>“</w:t>
      </w:r>
      <w:r>
        <w:rPr/>
        <w:t>玩校</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完美校园</w:t>
      </w:r>
      <w:r>
        <w:rPr>
          <w:rFonts w:ascii="Times New Roman" w:hAnsi="Times New Roman" w:cs="Times New Roman" w:eastAsia="Times New Roman" w:hint="default"/>
        </w:rPr>
        <w:t>”</w:t>
      </w:r>
      <w:r>
        <w:rPr/>
        <w:t>公众号为核心载体，开启</w:t>
      </w:r>
      <w:r>
        <w:rPr>
          <w:rFonts w:ascii="Times New Roman" w:hAnsi="Times New Roman" w:cs="Times New Roman" w:eastAsia="Times New Roman" w:hint="default"/>
        </w:rPr>
        <w:t>O2O</w:t>
      </w:r>
      <w:r>
        <w:rPr/>
        <w:t>高校移动互联云服务模式 </w:t>
      </w:r>
      <w:r>
        <w:rPr>
          <w:spacing w:val="-1"/>
        </w:rPr>
        <w:t>公司凭借与大量高校客户良好的合作关系、庞大的校园卡持卡人用户群体以及对学校及学生群体的个</w:t>
      </w:r>
    </w:p>
    <w:p>
      <w:pPr>
        <w:pStyle w:val="BodyText"/>
        <w:spacing w:line="391" w:lineRule="auto" w:before="65"/>
        <w:ind w:right="149"/>
        <w:jc w:val="both"/>
      </w:pPr>
      <w:r>
        <w:rPr>
          <w:spacing w:val="-1"/>
        </w:rPr>
        <w:t>性化需求和校园线下应用场景的精确理解，公司以服务校园一卡通应用为切入点，推出了整合校园一卡通</w:t>
      </w:r>
      <w:r>
        <w:rPr>
          <w:spacing w:val="-81"/>
        </w:rPr>
        <w:t> </w:t>
      </w:r>
      <w:r>
        <w:rPr>
          <w:spacing w:val="-81"/>
        </w:rPr>
      </w:r>
      <w:r>
        <w:rPr/>
        <w:t>应用及学生学习、生活、交友、娱乐、消费、求职等功能于一体的校园</w:t>
      </w:r>
      <w:r>
        <w:rPr>
          <w:rFonts w:ascii="Times New Roman" w:hAnsi="Times New Roman" w:cs="Times New Roman" w:eastAsia="Times New Roman" w:hint="default"/>
        </w:rPr>
        <w:t>APP“</w:t>
      </w:r>
      <w:r>
        <w:rPr/>
        <w:t>玩校</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完美校园</w:t>
      </w:r>
      <w:r>
        <w:rPr>
          <w:rFonts w:ascii="Times New Roman" w:hAnsi="Times New Roman" w:cs="Times New Roman" w:eastAsia="Times New Roman" w:hint="default"/>
        </w:rPr>
        <w:t>”</w:t>
      </w:r>
      <w:r>
        <w:rPr/>
        <w:t>公众号， 推动商业运营模式由</w:t>
      </w:r>
      <w:r>
        <w:rPr>
          <w:rFonts w:ascii="Times New Roman" w:hAnsi="Times New Roman" w:cs="Times New Roman" w:eastAsia="Times New Roman" w:hint="default"/>
        </w:rPr>
        <w:t>B2B</w:t>
      </w:r>
      <w:r>
        <w:rPr/>
        <w:t>向</w:t>
      </w:r>
      <w:r>
        <w:rPr>
          <w:rFonts w:ascii="Times New Roman" w:hAnsi="Times New Roman" w:cs="Times New Roman" w:eastAsia="Times New Roman" w:hint="default"/>
        </w:rPr>
        <w:t>B2C</w:t>
      </w:r>
      <w:r>
        <w:rPr/>
        <w:t>转型，将线下优质资源向线上转移。截至报告期末，公司移动互联平台已 </w:t>
      </w:r>
      <w:r>
        <w:rPr>
          <w:spacing w:val="-1"/>
        </w:rPr>
        <w:t>经与</w:t>
      </w:r>
      <w:r>
        <w:rPr>
          <w:rFonts w:ascii="Times New Roman" w:hAnsi="Times New Roman" w:cs="Times New Roman" w:eastAsia="Times New Roman" w:hint="default"/>
          <w:spacing w:val="-1"/>
        </w:rPr>
        <w:t>400</w:t>
      </w:r>
      <w:r>
        <w:rPr>
          <w:spacing w:val="-1"/>
        </w:rPr>
        <w:t>余家高等院校的校园一卡通系统实现线上与线下对接，覆盖用户</w:t>
      </w:r>
      <w:r>
        <w:rPr>
          <w:rFonts w:ascii="Times New Roman" w:hAnsi="Times New Roman" w:cs="Times New Roman" w:eastAsia="Times New Roman" w:hint="default"/>
          <w:spacing w:val="-1"/>
        </w:rPr>
        <w:t>400</w:t>
      </w:r>
      <w:r>
        <w:rPr>
          <w:spacing w:val="-1"/>
        </w:rPr>
        <w:t>余万人，上线实名注册用户超</w:t>
      </w:r>
      <w:r>
        <w:rPr>
          <w:spacing w:val="-84"/>
        </w:rPr>
        <w:t> </w:t>
      </w:r>
      <w:r>
        <w:rPr>
          <w:spacing w:val="-84"/>
        </w:rPr>
      </w:r>
      <w:r>
        <w:rPr/>
        <w:t>过</w:t>
      </w:r>
      <w:r>
        <w:rPr>
          <w:rFonts w:ascii="Times New Roman" w:hAnsi="Times New Roman" w:cs="Times New Roman" w:eastAsia="Times New Roman" w:hint="default"/>
        </w:rPr>
        <w:t>100</w:t>
      </w:r>
      <w:r>
        <w:rPr/>
        <w:t>万人，且持续增长。</w:t>
      </w:r>
    </w:p>
    <w:p>
      <w:pPr>
        <w:pStyle w:val="BodyText"/>
        <w:spacing w:line="240" w:lineRule="auto" w:before="30"/>
        <w:ind w:left="574" w:right="0"/>
        <w:jc w:val="left"/>
      </w:pPr>
      <w:r>
        <w:rPr/>
        <w:t>同时，为了进一步提升校园用户对公司移动互联服务平台的使用粘性，公司不断与第三方支付机构、</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408" w:lineRule="auto" w:before="174"/>
        <w:ind w:right="150"/>
        <w:jc w:val="both"/>
      </w:pPr>
      <w:r>
        <w:rPr>
          <w:spacing w:val="-1"/>
        </w:rPr>
        <w:t>金融机构、校园服务内容提供商以及其他合作机构沟通合作意向，深入探讨合作模式，目前已经与微信支</w:t>
      </w:r>
      <w:r>
        <w:rPr>
          <w:spacing w:val="-83"/>
        </w:rPr>
        <w:t> </w:t>
      </w:r>
      <w:r>
        <w:rPr>
          <w:spacing w:val="-83"/>
        </w:rPr>
      </w:r>
      <w:r>
        <w:rPr/>
        <w:t>付、支付宝、翼支付、招商银行等合作机构签署了战略合作协议、框架协议或初步达成合作意向。</w:t>
      </w:r>
    </w:p>
    <w:p>
      <w:pPr>
        <w:pStyle w:val="BodyText"/>
        <w:spacing w:line="408" w:lineRule="auto"/>
        <w:ind w:left="153" w:right="0" w:firstLine="420"/>
        <w:jc w:val="left"/>
      </w:pPr>
      <w:r>
        <w:rPr>
          <w:spacing w:val="-1"/>
        </w:rPr>
        <w:t>此外，报告期内，公司还通过参股方式投资北京乐智、成都兰途高校移动互联服务的相关企业，加之</w:t>
      </w:r>
      <w:r>
        <w:rPr/>
        <w:t> 公司</w:t>
      </w:r>
      <w:r>
        <w:rPr>
          <w:rFonts w:ascii="Times New Roman" w:hAnsi="Times New Roman" w:cs="Times New Roman" w:eastAsia="Times New Roman" w:hint="default"/>
        </w:rPr>
        <w:t>2014</w:t>
      </w:r>
      <w:r>
        <w:rPr/>
        <w:t>年投资的上海微令，更好地为校园用户提供综合服务。</w:t>
      </w:r>
    </w:p>
    <w:p>
      <w:pPr>
        <w:pStyle w:val="BodyText"/>
        <w:spacing w:line="386" w:lineRule="auto" w:before="14"/>
        <w:ind w:left="574" w:right="0" w:hanging="105"/>
        <w:jc w:val="left"/>
      </w:pPr>
      <w:r>
        <w:rPr/>
        <w:t>（六）布局泛</w:t>
      </w:r>
      <w:r>
        <w:rPr>
          <w:rFonts w:ascii="Times New Roman" w:hAnsi="Times New Roman" w:cs="Times New Roman" w:eastAsia="Times New Roman" w:hint="default"/>
        </w:rPr>
        <w:t>IT</w:t>
      </w:r>
      <w:r>
        <w:rPr/>
        <w:t>类职业教育，拓展公司业务链，培养新的利润增长点 </w:t>
      </w:r>
      <w:r>
        <w:rPr>
          <w:spacing w:val="-1"/>
        </w:rPr>
        <w:t>自</w:t>
      </w:r>
      <w:r>
        <w:rPr>
          <w:rFonts w:ascii="Times New Roman" w:hAnsi="Times New Roman" w:cs="Times New Roman" w:eastAsia="Times New Roman" w:hint="default"/>
          <w:spacing w:val="-1"/>
        </w:rPr>
        <w:t>2014</w:t>
      </w:r>
      <w:r>
        <w:rPr>
          <w:spacing w:val="-1"/>
        </w:rPr>
        <w:t>年国务院发布《关于加快发展现代职业教育的决定》以来，与职业教育相关的推动与促进政策</w:t>
      </w:r>
    </w:p>
    <w:p>
      <w:pPr>
        <w:pStyle w:val="BodyText"/>
        <w:spacing w:line="408" w:lineRule="auto" w:before="35"/>
        <w:ind w:right="149"/>
        <w:jc w:val="both"/>
      </w:pPr>
      <w:r>
        <w:rPr>
          <w:spacing w:val="-1"/>
        </w:rPr>
        <w:t>频出，整体利好现代职业教育产业的快速发展，持续增长的需求和消费能力为行业升级提供了广阔的市场</w:t>
      </w:r>
      <w:r>
        <w:rPr>
          <w:spacing w:val="-81"/>
        </w:rPr>
        <w:t> </w:t>
      </w:r>
      <w:r>
        <w:rPr>
          <w:spacing w:val="-81"/>
        </w:rPr>
      </w:r>
      <w:r>
        <w:rPr/>
        <w:t>空间。</w:t>
      </w:r>
    </w:p>
    <w:p>
      <w:pPr>
        <w:pStyle w:val="BodyText"/>
        <w:spacing w:line="400" w:lineRule="auto"/>
        <w:ind w:right="110" w:firstLine="420"/>
        <w:jc w:val="left"/>
      </w:pP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月正式成立职业教育事业部，配备了从事职业教育业务的专项人员。依托公司在大数 据、云计算、物联网、智能硬件、现代电子工艺与可靠性等产业背景，结合公司在高校市场的资源优势， </w:t>
      </w:r>
      <w:r>
        <w:rPr>
          <w:spacing w:val="-1"/>
        </w:rPr>
        <w:t>通过与校园及行业企业合作成立校企联盟，打通企业人才需求体系与院校人才培养体系，形成全新的信息</w:t>
      </w:r>
      <w:r>
        <w:rPr>
          <w:spacing w:val="-81"/>
        </w:rPr>
        <w:t> </w:t>
      </w:r>
      <w:r>
        <w:rPr>
          <w:spacing w:val="-81"/>
        </w:rPr>
      </w:r>
      <w:r>
        <w:rPr>
          <w:spacing w:val="-1"/>
        </w:rPr>
        <w:t>技术产业职业教育平台。公司通过对信息技术行业企业的人才需求分析，以专业的角度在知识架构、培养</w:t>
      </w:r>
      <w:r>
        <w:rPr>
          <w:spacing w:val="-83"/>
        </w:rPr>
        <w:t> </w:t>
      </w:r>
      <w:r>
        <w:rPr>
          <w:spacing w:val="-83"/>
        </w:rPr>
      </w:r>
      <w:r>
        <w:rPr>
          <w:spacing w:val="-1"/>
        </w:rPr>
        <w:t>流程、教学内容、实践方法等方面进行整合和创新，形成以提高技能、促进就业、服务发展为导向的校企</w:t>
      </w:r>
      <w:r>
        <w:rPr>
          <w:spacing w:val="-83"/>
        </w:rPr>
        <w:t> </w:t>
      </w:r>
      <w:r>
        <w:rPr>
          <w:spacing w:val="-83"/>
        </w:rPr>
      </w:r>
      <w:r>
        <w:rPr>
          <w:spacing w:val="-1"/>
        </w:rPr>
        <w:t>合作模式；通过联合办学、科研合作、专业共建、职业培训、实训实习、在线教育等方案连接高校，通过</w:t>
      </w:r>
      <w:r>
        <w:rPr>
          <w:spacing w:val="-85"/>
        </w:rPr>
        <w:t> </w:t>
      </w:r>
      <w:r>
        <w:rPr>
          <w:spacing w:val="-85"/>
        </w:rPr>
      </w:r>
      <w:r>
        <w:rPr>
          <w:spacing w:val="-1"/>
        </w:rPr>
        <w:t>人才协作、企业联盟、产业合作等方案连接企业，培养信息技术产业实用型人才。本项目可结合公司移动</w:t>
      </w:r>
      <w:r>
        <w:rPr>
          <w:spacing w:val="-82"/>
        </w:rPr>
        <w:t> </w:t>
      </w:r>
      <w:r>
        <w:rPr>
          <w:spacing w:val="-82"/>
        </w:rPr>
      </w:r>
      <w:r>
        <w:rPr/>
        <w:t>互联网战略的实施，逐步形成</w:t>
      </w:r>
      <w:r>
        <w:rPr>
          <w:rFonts w:ascii="Times New Roman" w:hAnsi="Times New Roman" w:cs="Times New Roman" w:eastAsia="Times New Roman" w:hint="default"/>
        </w:rPr>
        <w:t>O2O</w:t>
      </w:r>
      <w:r>
        <w:rPr/>
        <w:t>的职业教育模式和</w:t>
      </w:r>
      <w:r>
        <w:rPr>
          <w:rFonts w:ascii="Times New Roman" w:hAnsi="Times New Roman" w:cs="Times New Roman" w:eastAsia="Times New Roman" w:hint="default"/>
        </w:rPr>
        <w:t>B2B/B2C</w:t>
      </w:r>
      <w:r>
        <w:rPr/>
        <w:t>的创新运营模式。目前，公司已经与</w:t>
      </w:r>
      <w:r>
        <w:rPr>
          <w:rFonts w:ascii="Times New Roman" w:hAnsi="Times New Roman" w:cs="Times New Roman" w:eastAsia="Times New Roman" w:hint="default"/>
        </w:rPr>
        <w:t>60</w:t>
      </w:r>
      <w:r>
        <w:rPr/>
        <w:t>余家 </w:t>
      </w:r>
      <w:r>
        <w:rPr>
          <w:spacing w:val="-1"/>
        </w:rPr>
        <w:t>高等院校、</w:t>
      </w:r>
      <w:r>
        <w:rPr>
          <w:rFonts w:ascii="Times New Roman" w:hAnsi="Times New Roman" w:cs="Times New Roman" w:eastAsia="Times New Roman" w:hint="default"/>
          <w:spacing w:val="-1"/>
        </w:rPr>
        <w:t>10</w:t>
      </w:r>
      <w:r>
        <w:rPr>
          <w:spacing w:val="-1"/>
        </w:rPr>
        <w:t>余家培训机构和</w:t>
      </w:r>
      <w:r>
        <w:rPr>
          <w:rFonts w:ascii="Times New Roman" w:hAnsi="Times New Roman" w:cs="Times New Roman" w:eastAsia="Times New Roman" w:hint="default"/>
          <w:spacing w:val="-1"/>
        </w:rPr>
        <w:t>10</w:t>
      </w:r>
      <w:r>
        <w:rPr>
          <w:spacing w:val="-1"/>
        </w:rPr>
        <w:t>余家创业就业培训机构、金融服务机构等商谈合作意向或进行进一步的沟</w:t>
      </w:r>
      <w:r>
        <w:rPr>
          <w:spacing w:val="-84"/>
        </w:rPr>
        <w:t> </w:t>
      </w:r>
      <w:r>
        <w:rPr>
          <w:spacing w:val="-84"/>
        </w:rPr>
      </w:r>
      <w:r>
        <w:rPr/>
        <w:t>通，并与部分合作机构签订了战略合作协议。</w:t>
      </w:r>
    </w:p>
    <w:p>
      <w:pPr>
        <w:pStyle w:val="BodyText"/>
        <w:spacing w:line="386" w:lineRule="auto" w:before="52"/>
        <w:ind w:left="574" w:right="0"/>
        <w:jc w:val="left"/>
      </w:pPr>
      <w:r>
        <w:rPr/>
        <w:t>（七）围绕公司线下</w:t>
      </w:r>
      <w:r>
        <w:rPr>
          <w:rFonts w:ascii="Times New Roman" w:hAnsi="Times New Roman" w:cs="Times New Roman" w:eastAsia="Times New Roman" w:hint="default"/>
        </w:rPr>
        <w:t>+</w:t>
      </w:r>
      <w:r>
        <w:rPr/>
        <w:t>线上、产品</w:t>
      </w:r>
      <w:r>
        <w:rPr>
          <w:rFonts w:ascii="Times New Roman" w:hAnsi="Times New Roman" w:cs="Times New Roman" w:eastAsia="Times New Roman" w:hint="default"/>
        </w:rPr>
        <w:t>+</w:t>
      </w:r>
      <w:r>
        <w:rPr/>
        <w:t>服务的发展战略，加大投资并购规模 </w:t>
      </w:r>
      <w:r>
        <w:rPr>
          <w:spacing w:val="-1"/>
        </w:rPr>
        <w:t>报告期内，公司开展资本运作与行业整合，收购了迪科远望，上海树维，公司在校园一卡通领域的市</w:t>
      </w:r>
    </w:p>
    <w:p>
      <w:pPr>
        <w:pStyle w:val="BodyText"/>
        <w:spacing w:line="400" w:lineRule="auto" w:before="65"/>
        <w:ind w:right="149" w:hanging="1"/>
        <w:jc w:val="both"/>
      </w:pPr>
      <w:r>
        <w:rPr/>
        <w:t>场份额大幅提高，高校客户尤其是</w:t>
      </w:r>
      <w:r>
        <w:rPr>
          <w:rFonts w:ascii="Times New Roman" w:hAnsi="Times New Roman" w:cs="Times New Roman" w:eastAsia="Times New Roman" w:hint="default"/>
        </w:rPr>
        <w:t>“985</w:t>
      </w:r>
      <w:r>
        <w:rPr/>
        <w:t>工程</w:t>
      </w:r>
      <w:r>
        <w:rPr>
          <w:rFonts w:ascii="Times New Roman" w:hAnsi="Times New Roman" w:cs="Times New Roman" w:eastAsia="Times New Roman" w:hint="default"/>
        </w:rPr>
        <w:t>”</w:t>
      </w:r>
      <w:r>
        <w:rPr/>
        <w:t>院校、</w:t>
      </w:r>
      <w:r>
        <w:rPr>
          <w:rFonts w:ascii="Times New Roman" w:hAnsi="Times New Roman" w:cs="Times New Roman" w:eastAsia="Times New Roman" w:hint="default"/>
        </w:rPr>
        <w:t>“211</w:t>
      </w:r>
      <w:r>
        <w:rPr/>
        <w:t>工程</w:t>
      </w:r>
      <w:r>
        <w:rPr>
          <w:rFonts w:ascii="Times New Roman" w:hAnsi="Times New Roman" w:cs="Times New Roman" w:eastAsia="Times New Roman" w:hint="default"/>
        </w:rPr>
        <w:t>”</w:t>
      </w:r>
      <w:r>
        <w:rPr/>
        <w:t>院校等知名高校客户的数量大幅增加，服务 </w:t>
      </w:r>
      <w:r>
        <w:rPr>
          <w:spacing w:val="-1"/>
        </w:rPr>
        <w:t>千万级的大学生用户，进一步夯实了公司校园移动互联网业务的高校客户资源基础。同时，提升了公司的</w:t>
      </w:r>
      <w:r>
        <w:rPr>
          <w:spacing w:val="-84"/>
        </w:rPr>
        <w:t> </w:t>
      </w:r>
      <w:r>
        <w:rPr>
          <w:spacing w:val="-84"/>
        </w:rPr>
      </w:r>
      <w:r>
        <w:rPr>
          <w:spacing w:val="-1"/>
        </w:rPr>
        <w:t>业务规模和盈利水平，充分发挥双方在采购、生产、技术与研发、营销服务、产品与业务内容等多方面的</w:t>
      </w:r>
      <w:r>
        <w:rPr>
          <w:spacing w:val="-84"/>
        </w:rPr>
        <w:t> </w:t>
      </w:r>
      <w:r>
        <w:rPr>
          <w:spacing w:val="-84"/>
        </w:rPr>
      </w:r>
      <w:r>
        <w:rPr/>
        <w:t>整合效应，提高公司的核心竞争力和持续盈利能力。</w:t>
      </w:r>
    </w:p>
    <w:p>
      <w:pPr>
        <w:pStyle w:val="BodyText"/>
        <w:spacing w:line="408" w:lineRule="auto" w:before="52"/>
        <w:ind w:right="149" w:firstLine="420"/>
        <w:jc w:val="both"/>
      </w:pPr>
      <w:r>
        <w:rPr>
          <w:spacing w:val="-1"/>
        </w:rPr>
        <w:t>报告期内，公司对外投资了北京乐智，其业务主要包括众创空间、创业大赛、人才孵化等，其主要业</w:t>
      </w:r>
      <w:r>
        <w:rPr/>
        <w:t> </w:t>
      </w:r>
      <w:r>
        <w:rPr>
          <w:spacing w:val="-1"/>
        </w:rPr>
        <w:t>务及产品服务方向是公司高校移动互联网生态圈的重要补充，符合公司业务转型的需要，有利于增强公司</w:t>
      </w:r>
      <w:r>
        <w:rPr>
          <w:spacing w:val="-81"/>
        </w:rPr>
        <w:t> </w:t>
      </w:r>
      <w:r>
        <w:rPr>
          <w:spacing w:val="-81"/>
        </w:rPr>
      </w:r>
      <w:r>
        <w:rPr/>
        <w:t>对高校大学生的服务能力及用户黏性，从而为公司的转型奠定良好的基础。</w:t>
      </w:r>
    </w:p>
    <w:p>
      <w:pPr>
        <w:pStyle w:val="BodyText"/>
        <w:spacing w:line="398" w:lineRule="auto"/>
        <w:ind w:right="0" w:firstLine="42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月，公司对外投资了成都兰途，其主要产品为移动校园门户系统，其利用官方服务应用群的 </w:t>
      </w:r>
      <w:r>
        <w:rPr>
          <w:spacing w:val="-1"/>
        </w:rPr>
        <w:t>天然黏性和不可替代性，成为高校移动信息服务时代的唯一官方入口。公司投资兰途科技后，可以借助于</w:t>
      </w:r>
      <w:r>
        <w:rPr>
          <w:spacing w:val="-83"/>
        </w:rPr>
        <w:t> </w:t>
      </w:r>
      <w:r>
        <w:rPr>
          <w:spacing w:val="-83"/>
        </w:rPr>
      </w:r>
      <w:r>
        <w:rPr>
          <w:spacing w:val="-1"/>
        </w:rPr>
        <w:t>其已布局的移动校园门户业务，更加精准得切入入口，同时公司将借助其行业经验和优势，依托公司自身</w:t>
      </w:r>
    </w:p>
    <w:p>
      <w:pPr>
        <w:spacing w:after="0" w:line="398" w:lineRule="auto"/>
        <w:jc w:val="left"/>
        <w:sectPr>
          <w:footerReference w:type="default" r:id="rId14"/>
          <w:pgSz w:w="11910" w:h="16840"/>
          <w:pgMar w:footer="982" w:header="747" w:top="1060" w:bottom="1180" w:left="980" w:right="980"/>
          <w:pgNumType w:start="19"/>
        </w:sectPr>
      </w:pPr>
    </w:p>
    <w:p>
      <w:pPr>
        <w:spacing w:line="240" w:lineRule="auto" w:before="0"/>
        <w:rPr>
          <w:rFonts w:ascii="宋体" w:hAnsi="宋体" w:cs="宋体" w:eastAsia="宋体" w:hint="default"/>
          <w:sz w:val="20"/>
          <w:szCs w:val="20"/>
        </w:rPr>
      </w:pPr>
    </w:p>
    <w:p>
      <w:pPr>
        <w:pStyle w:val="BodyText"/>
        <w:spacing w:line="408" w:lineRule="auto" w:before="174"/>
        <w:ind w:left="573" w:right="95" w:hanging="420"/>
        <w:jc w:val="left"/>
      </w:pPr>
      <w:r>
        <w:rPr/>
        <w:t>在高校的客户资源优势，完善公司高校移动互联网生态圈建设。 </w:t>
      </w:r>
      <w:r>
        <w:rPr>
          <w:spacing w:val="-1"/>
        </w:rPr>
        <w:t>另外，公司与丹诚资管共同设立了丹诚开普合伙企业，合伙企业作为公司投资平台以公司所经营业务</w:t>
      </w:r>
    </w:p>
    <w:p>
      <w:pPr>
        <w:pStyle w:val="BodyText"/>
        <w:spacing w:line="400" w:lineRule="auto"/>
        <w:ind w:left="153" w:right="210"/>
        <w:jc w:val="both"/>
      </w:pPr>
      <w:r>
        <w:rPr>
          <w:spacing w:val="-1"/>
        </w:rPr>
        <w:t>对应产业及其上下游产业内的企业为主要投资方向，聚焦职业技术教育和大学生消费两大领域及上下游的</w:t>
      </w:r>
      <w:r>
        <w:rPr>
          <w:spacing w:val="-81"/>
        </w:rPr>
        <w:t> </w:t>
      </w:r>
      <w:r>
        <w:rPr>
          <w:spacing w:val="-81"/>
        </w:rPr>
      </w:r>
      <w:r>
        <w:rPr>
          <w:spacing w:val="-1"/>
        </w:rPr>
        <w:t>优质企业，有利于公司借助专业机构的资源，提高对投资标的相关运作的专业性。丹诚开普合伙企业目前</w:t>
      </w:r>
      <w:r>
        <w:rPr>
          <w:spacing w:val="-83"/>
        </w:rPr>
        <w:t> </w:t>
      </w:r>
      <w:r>
        <w:rPr>
          <w:spacing w:val="-83"/>
        </w:rPr>
      </w:r>
      <w:r>
        <w:rPr>
          <w:spacing w:val="-1"/>
        </w:rPr>
        <w:t>分别投资了北京优才及云和数据，上述企业均属于</w:t>
      </w:r>
      <w:r>
        <w:rPr>
          <w:rFonts w:ascii="Times New Roman" w:hAnsi="Times New Roman" w:cs="Times New Roman" w:eastAsia="Times New Roman" w:hint="default"/>
          <w:spacing w:val="-1"/>
        </w:rPr>
        <w:t>IT</w:t>
      </w:r>
      <w:r>
        <w:rPr>
          <w:spacing w:val="-1"/>
        </w:rPr>
        <w:t>职业教育领域具备区域优势资源企业，有利于公司面</w:t>
      </w:r>
      <w:r>
        <w:rPr>
          <w:spacing w:val="-69"/>
        </w:rPr>
        <w:t> </w:t>
      </w:r>
      <w:r>
        <w:rPr>
          <w:spacing w:val="-69"/>
        </w:rPr>
      </w:r>
      <w:r>
        <w:rPr/>
        <w:t>向大学生开展泛</w:t>
      </w:r>
      <w:r>
        <w:rPr>
          <w:rFonts w:ascii="Times New Roman" w:hAnsi="Times New Roman" w:cs="Times New Roman" w:eastAsia="Times New Roman" w:hint="default"/>
        </w:rPr>
        <w:t>IT</w:t>
      </w:r>
      <w:r>
        <w:rPr/>
        <w:t>类职业教育战略的实施。</w:t>
      </w:r>
    </w:p>
    <w:p>
      <w:pPr>
        <w:pStyle w:val="BodyText"/>
        <w:spacing w:line="386" w:lineRule="auto" w:before="21"/>
        <w:ind w:left="153" w:right="208" w:firstLine="420"/>
        <w:jc w:val="both"/>
      </w:pPr>
      <w:r>
        <w:rPr>
          <w:spacing w:val="-5"/>
        </w:rPr>
        <w:t>报告期内，公司还参股了华夏海纳，设立了山西新开普，基本构建形成了全方位的</w:t>
      </w:r>
      <w:r>
        <w:rPr>
          <w:rFonts w:ascii="Times New Roman" w:hAnsi="Times New Roman" w:cs="Times New Roman" w:eastAsia="Times New Roman" w:hint="default"/>
          <w:spacing w:val="-5"/>
        </w:rPr>
        <w:t>“</w:t>
      </w:r>
      <w:r>
        <w:rPr>
          <w:spacing w:val="-5"/>
        </w:rPr>
        <w:t>高校互联网</w:t>
      </w:r>
      <w:r>
        <w:rPr>
          <w:rFonts w:ascii="Times New Roman" w:hAnsi="Times New Roman" w:cs="Times New Roman" w:eastAsia="Times New Roman" w:hint="default"/>
          <w:spacing w:val="-5"/>
        </w:rPr>
        <w:t>+”</w:t>
      </w:r>
      <w:r>
        <w:rPr>
          <w:spacing w:val="-5"/>
        </w:rPr>
        <w:t>及</w:t>
      </w:r>
      <w:r>
        <w:rPr>
          <w:rFonts w:ascii="Times New Roman" w:hAnsi="Times New Roman" w:cs="Times New Roman" w:eastAsia="Times New Roman" w:hint="default"/>
          <w:spacing w:val="-5"/>
        </w:rPr>
        <w:t>“</w:t>
      </w:r>
      <w:r>
        <w:rPr>
          <w:spacing w:val="-5"/>
        </w:rPr>
        <w:t>新</w:t>
      </w:r>
      <w:r>
        <w:rPr/>
        <w:t> 开普教育</w:t>
      </w:r>
      <w:r>
        <w:rPr>
          <w:rFonts w:ascii="Times New Roman" w:hAnsi="Times New Roman" w:cs="Times New Roman" w:eastAsia="Times New Roman" w:hint="default"/>
        </w:rPr>
        <w:t>”</w:t>
      </w:r>
      <w:r>
        <w:rPr/>
        <w:t>产业生态圈。</w:t>
      </w:r>
    </w:p>
    <w:p>
      <w:pPr>
        <w:pStyle w:val="BodyText"/>
        <w:spacing w:line="408" w:lineRule="auto" w:before="35"/>
        <w:ind w:left="573" w:right="95"/>
        <w:jc w:val="left"/>
      </w:pPr>
      <w:r>
        <w:rPr/>
        <w:t>（八）加大产品和模式创新，增强解决方案开发能力，为公司持续发展提供技术保障 </w:t>
      </w:r>
      <w:r>
        <w:rPr>
          <w:spacing w:val="-1"/>
        </w:rPr>
        <w:t>持续创新是企业发展的核心动力，报告期内，公司将技术创新的着眼点立足于符合需求、符合公司资</w:t>
      </w:r>
    </w:p>
    <w:p>
      <w:pPr>
        <w:pStyle w:val="BodyText"/>
        <w:spacing w:line="408" w:lineRule="auto"/>
        <w:ind w:left="153" w:right="210"/>
        <w:jc w:val="both"/>
      </w:pPr>
      <w:r>
        <w:rPr>
          <w:spacing w:val="-1"/>
        </w:rPr>
        <w:t>源现状、符合行业特点的应用技术创新上，更加突出市场需求对产品研发和服务的导向作用，突出集成创</w:t>
      </w:r>
      <w:r>
        <w:rPr>
          <w:spacing w:val="-83"/>
        </w:rPr>
        <w:t> </w:t>
      </w:r>
      <w:r>
        <w:rPr>
          <w:spacing w:val="-83"/>
        </w:rPr>
      </w:r>
      <w:r>
        <w:rPr/>
        <w:t>新和成果的转化应用，努力制造出具有行业特点、公司特色和富有竞争力的产品。</w:t>
      </w:r>
    </w:p>
    <w:p>
      <w:pPr>
        <w:pStyle w:val="BodyText"/>
        <w:spacing w:line="408" w:lineRule="auto"/>
        <w:ind w:left="153" w:right="188" w:firstLine="420"/>
        <w:jc w:val="both"/>
      </w:pPr>
      <w:r>
        <w:rPr/>
        <w:t>报告期内，公司不断完善研发管理制度同时，研发部门和营销部门、客服部门建立有效的沟通机制， </w:t>
      </w:r>
      <w:r>
        <w:rPr>
          <w:spacing w:val="-1"/>
        </w:rPr>
        <w:t>将研发过程和销售过程、服务过程紧密结合起来，提高研发部门对业务的支持能力。为增强自身把握市场</w:t>
      </w:r>
      <w:r>
        <w:rPr>
          <w:spacing w:val="-83"/>
        </w:rPr>
        <w:t> </w:t>
      </w:r>
      <w:r>
        <w:rPr>
          <w:spacing w:val="-83"/>
        </w:rPr>
      </w:r>
      <w:r>
        <w:rPr>
          <w:spacing w:val="-1"/>
        </w:rPr>
        <w:t>需求趋势的能力，营销部门和研发部门联合建立主动的客户需求调研机制，保持产品在市场上的先进性和</w:t>
      </w:r>
      <w:r>
        <w:rPr>
          <w:spacing w:val="-81"/>
        </w:rPr>
        <w:t> </w:t>
      </w:r>
      <w:r>
        <w:rPr>
          <w:spacing w:val="-81"/>
        </w:rPr>
      </w:r>
      <w:r>
        <w:rPr/>
        <w:t>在行业领域的前瞻性。</w:t>
      </w:r>
    </w:p>
    <w:p>
      <w:pPr>
        <w:pStyle w:val="BodyText"/>
        <w:spacing w:line="386" w:lineRule="auto"/>
        <w:ind w:left="573" w:right="95"/>
        <w:jc w:val="left"/>
      </w:pPr>
      <w:r>
        <w:rPr/>
        <w:t>（九）启动</w:t>
      </w:r>
      <w:r>
        <w:rPr>
          <w:rFonts w:ascii="Times New Roman" w:hAnsi="Times New Roman" w:cs="Times New Roman" w:eastAsia="Times New Roman" w:hint="default"/>
        </w:rPr>
        <w:t>2015</w:t>
      </w:r>
      <w:r>
        <w:rPr/>
        <w:t>年非公开发行</w:t>
      </w:r>
      <w:r>
        <w:rPr>
          <w:rFonts w:ascii="Times New Roman" w:hAnsi="Times New Roman" w:cs="Times New Roman" w:eastAsia="Times New Roman" w:hint="default"/>
        </w:rPr>
        <w:t>A</w:t>
      </w:r>
      <w:r>
        <w:rPr/>
        <w:t>股股票事项 </w:t>
      </w:r>
      <w:r>
        <w:rPr>
          <w:spacing w:val="-1"/>
        </w:rPr>
        <w:t>报告期内，公司启动了</w:t>
      </w:r>
      <w:r>
        <w:rPr>
          <w:rFonts w:ascii="Times New Roman" w:hAnsi="Times New Roman" w:cs="Times New Roman" w:eastAsia="Times New Roman" w:hint="default"/>
          <w:spacing w:val="-1"/>
        </w:rPr>
        <w:t>2015</w:t>
      </w:r>
      <w:r>
        <w:rPr>
          <w:spacing w:val="-1"/>
        </w:rPr>
        <w:t>年非公开发行</w:t>
      </w:r>
      <w:r>
        <w:rPr>
          <w:rFonts w:ascii="Times New Roman" w:hAnsi="Times New Roman" w:cs="Times New Roman" w:eastAsia="Times New Roman" w:hint="default"/>
          <w:spacing w:val="-1"/>
        </w:rPr>
        <w:t>A</w:t>
      </w:r>
      <w:r>
        <w:rPr>
          <w:spacing w:val="-1"/>
        </w:rPr>
        <w:t>股股票事项，公司拟非公开发行的股票数量不超过</w:t>
      </w:r>
      <w:r>
        <w:rPr>
          <w:rFonts w:ascii="Times New Roman" w:hAnsi="Times New Roman" w:cs="Times New Roman" w:eastAsia="Times New Roman" w:hint="default"/>
          <w:spacing w:val="-1"/>
        </w:rPr>
        <w:t>1,300</w:t>
      </w:r>
      <w:r>
        <w:rPr>
          <w:spacing w:val="-1"/>
        </w:rPr>
        <w:t>万</w:t>
      </w:r>
    </w:p>
    <w:p>
      <w:pPr>
        <w:pStyle w:val="BodyText"/>
        <w:spacing w:line="396" w:lineRule="auto" w:before="35"/>
        <w:ind w:right="95"/>
        <w:jc w:val="left"/>
      </w:pPr>
      <w:r>
        <w:rPr/>
        <w:t>股（含</w:t>
      </w:r>
      <w:r>
        <w:rPr>
          <w:rFonts w:ascii="Times New Roman" w:hAnsi="Times New Roman" w:cs="Times New Roman" w:eastAsia="Times New Roman" w:hint="default"/>
        </w:rPr>
        <w:t>1,300</w:t>
      </w:r>
      <w:r>
        <w:rPr/>
        <w:t>万股），募集资金总额不超过</w:t>
      </w:r>
      <w:r>
        <w:rPr>
          <w:rFonts w:ascii="Times New Roman" w:hAnsi="Times New Roman" w:cs="Times New Roman" w:eastAsia="Times New Roman" w:hint="default"/>
        </w:rPr>
        <w:t>40,500</w:t>
      </w:r>
      <w:r>
        <w:rPr/>
        <w:t>万元（含</w:t>
      </w:r>
      <w:r>
        <w:rPr>
          <w:rFonts w:ascii="Times New Roman" w:hAnsi="Times New Roman" w:cs="Times New Roman" w:eastAsia="Times New Roman" w:hint="default"/>
        </w:rPr>
        <w:t>40,500</w:t>
      </w:r>
      <w:r>
        <w:rPr/>
        <w:t>万元），扣除发行费用后将用于高校移动 </w:t>
      </w:r>
      <w:r>
        <w:rPr>
          <w:spacing w:val="-1"/>
        </w:rPr>
        <w:t>互联服务平台项目、职业教育产业基地建设项目和补充流动资金。</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8</w:t>
      </w:r>
      <w:r>
        <w:rPr>
          <w:spacing w:val="-1"/>
        </w:rPr>
        <w:t>日，中国证监会创业板发行</w:t>
      </w:r>
      <w:r>
        <w:rPr>
          <w:spacing w:val="-85"/>
        </w:rPr>
        <w:t> </w:t>
      </w:r>
      <w:r>
        <w:rPr>
          <w:spacing w:val="-85"/>
        </w:rPr>
      </w:r>
      <w:r>
        <w:rPr/>
        <w:t>审核委员会对公司非公开发行</w:t>
      </w:r>
      <w:r>
        <w:rPr>
          <w:rFonts w:ascii="Times New Roman" w:hAnsi="Times New Roman" w:cs="Times New Roman" w:eastAsia="Times New Roman" w:hint="default"/>
        </w:rPr>
        <w:t>A</w:t>
      </w:r>
      <w:r>
        <w:rPr/>
        <w:t>股股票的申请进行了审核。根据会议审核结果，公司本次非公开发行</w:t>
      </w:r>
      <w:r>
        <w:rPr>
          <w:rFonts w:ascii="Times New Roman" w:hAnsi="Times New Roman" w:cs="Times New Roman" w:eastAsia="Times New Roman" w:hint="default"/>
        </w:rPr>
        <w:t>A</w:t>
      </w:r>
      <w:r>
        <w:rPr/>
        <w:t>股 </w:t>
      </w:r>
      <w:r>
        <w:rPr>
          <w:spacing w:val="-1"/>
        </w:rPr>
        <w:t>股票的申请获得通过。本次募集资金投资项目符合国家有关的产业政策以及公司整体战略发展方向，具有</w:t>
      </w:r>
      <w:r>
        <w:rPr>
          <w:spacing w:val="-81"/>
        </w:rPr>
        <w:t> </w:t>
      </w:r>
      <w:r>
        <w:rPr>
          <w:spacing w:val="-81"/>
        </w:rPr>
      </w:r>
      <w:r>
        <w:rPr>
          <w:spacing w:val="-1"/>
        </w:rPr>
        <w:t>良好的市场发展前景和经济效益。本次募投项目的实施，能够进一步提升公司的核心竞争能力，拓展收入</w:t>
      </w:r>
      <w:r>
        <w:rPr>
          <w:spacing w:val="-83"/>
        </w:rPr>
        <w:t> </w:t>
      </w:r>
      <w:r>
        <w:rPr>
          <w:spacing w:val="-83"/>
        </w:rPr>
      </w:r>
      <w:r>
        <w:rPr/>
        <w:t>来源，提高盈利水平，有利于公司的长远可持续发展。</w:t>
      </w:r>
    </w:p>
    <w:p>
      <w:pPr>
        <w:pStyle w:val="BodyText"/>
        <w:spacing w:line="408" w:lineRule="auto" w:before="56"/>
        <w:ind w:left="574" w:right="95"/>
        <w:jc w:val="left"/>
      </w:pPr>
      <w:r>
        <w:rPr/>
        <w:t>（十）完善公司治理结构，加强内部控制，保证规范运作 </w:t>
      </w:r>
      <w:r>
        <w:rPr>
          <w:spacing w:val="-3"/>
        </w:rPr>
        <w:t>报告期内，公司更加明确的界定了各部门的目标、职责和权限，建立了相应的授权、检查和问责制度，</w:t>
      </w:r>
    </w:p>
    <w:p>
      <w:pPr>
        <w:pStyle w:val="BodyText"/>
        <w:spacing w:line="398" w:lineRule="auto"/>
        <w:ind w:right="209"/>
        <w:jc w:val="both"/>
      </w:pPr>
      <w:r>
        <w:rPr>
          <w:spacing w:val="-1"/>
        </w:rPr>
        <w:t>确保其在授权范围内履行职责；公司上述内部组织机构能够按照公司制订的管理制度，在各经营管理层的</w:t>
      </w:r>
      <w:r>
        <w:rPr>
          <w:spacing w:val="-81"/>
        </w:rPr>
        <w:t> </w:t>
      </w:r>
      <w:r>
        <w:rPr>
          <w:spacing w:val="-81"/>
        </w:rPr>
      </w:r>
      <w:r>
        <w:rPr/>
        <w:t>领导下有效执行和运作，公司倡导的</w:t>
      </w:r>
      <w:r>
        <w:rPr>
          <w:rFonts w:ascii="Times New Roman" w:hAnsi="Times New Roman" w:cs="Times New Roman" w:eastAsia="Times New Roman" w:hint="default"/>
        </w:rPr>
        <w:t>“</w:t>
      </w:r>
      <w:r>
        <w:rPr/>
        <w:t>精细化的管理模式</w:t>
      </w:r>
      <w:r>
        <w:rPr>
          <w:rFonts w:ascii="Times New Roman" w:hAnsi="Times New Roman" w:cs="Times New Roman" w:eastAsia="Times New Roman" w:hint="default"/>
        </w:rPr>
        <w:t>”</w:t>
      </w:r>
      <w:r>
        <w:rPr/>
        <w:t>也持续提升了内控体系的健全性、合理性和遵循 性。</w:t>
      </w:r>
    </w:p>
    <w:p>
      <w:pPr>
        <w:pStyle w:val="BodyText"/>
        <w:spacing w:line="240" w:lineRule="auto" w:before="54"/>
        <w:ind w:left="574" w:right="95"/>
        <w:jc w:val="left"/>
      </w:pPr>
      <w:r>
        <w:rPr/>
        <w:t>（十一）加强投资者关系管理，维护市值增长，打造公司良好的资本市场形象</w:t>
      </w:r>
    </w:p>
    <w:p>
      <w:pPr>
        <w:spacing w:after="0" w:line="240"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408" w:lineRule="auto" w:before="174"/>
        <w:ind w:right="151" w:firstLine="420"/>
        <w:jc w:val="both"/>
      </w:pPr>
      <w:r>
        <w:rPr>
          <w:spacing w:val="-1"/>
        </w:rPr>
        <w:t>公司一直非常重视三会的规范运作，加强信息披露的合规。报告期内，公司注重投资者关系管理、机</w:t>
      </w:r>
      <w:r>
        <w:rPr/>
        <w:t> </w:t>
      </w:r>
      <w:r>
        <w:rPr>
          <w:spacing w:val="-1"/>
        </w:rPr>
        <w:t>构调研计划管理工作，认真对待投资者提问，与投资者保持密切的联系。为与投资者保持良好的沟通，使</w:t>
      </w:r>
      <w:r>
        <w:rPr>
          <w:spacing w:val="-82"/>
        </w:rPr>
        <w:t> </w:t>
      </w:r>
      <w:r>
        <w:rPr>
          <w:spacing w:val="-82"/>
        </w:rPr>
      </w:r>
      <w:r>
        <w:rPr/>
        <w:t>得投资者对公司未来的发展有更进一步的了解。</w:t>
      </w:r>
    </w:p>
    <w:p>
      <w:pPr>
        <w:pStyle w:val="BodyText"/>
        <w:spacing w:line="386" w:lineRule="auto"/>
        <w:ind w:left="153" w:right="150" w:firstLine="420"/>
        <w:jc w:val="both"/>
      </w:pPr>
      <w:r>
        <w:rPr>
          <w:spacing w:val="-1"/>
        </w:rPr>
        <w:t>回望</w:t>
      </w:r>
      <w:r>
        <w:rPr>
          <w:rFonts w:ascii="Times New Roman" w:hAnsi="Times New Roman" w:cs="Times New Roman" w:eastAsia="Times New Roman" w:hint="default"/>
          <w:spacing w:val="-1"/>
        </w:rPr>
        <w:t>2015</w:t>
      </w:r>
      <w:r>
        <w:rPr>
          <w:spacing w:val="-1"/>
        </w:rPr>
        <w:t>年，公司内生与外延发展兼修，产业与资本双轮驱动，为公司继续推进转型升级发挥了承前</w:t>
      </w:r>
      <w:r>
        <w:rPr/>
        <w:t> 启后的重要作用。</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r>
        <w:rPr/>
        <w:t>二、主营业务分析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4" w:right="0"/>
        <w:jc w:val="left"/>
      </w:pPr>
      <w:r>
        <w:rPr/>
        <w:t>参见</w:t>
      </w:r>
      <w:r>
        <w:rPr>
          <w:rFonts w:ascii="Times New Roman" w:hAnsi="Times New Roman" w:cs="Times New Roman" w:eastAsia="Times New Roman" w:hint="default"/>
        </w:rPr>
        <w:t>“</w:t>
      </w:r>
      <w:r>
        <w:rPr/>
        <w:t>管理层讨论与分析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line="240" w:lineRule="auto" w:before="6"/>
        <w:rPr>
          <w:rFonts w:ascii="宋体" w:hAnsi="宋体" w:cs="宋体" w:eastAsia="宋体" w:hint="default"/>
          <w:sz w:val="30"/>
          <w:szCs w:val="30"/>
        </w:rPr>
      </w:pPr>
    </w:p>
    <w:p>
      <w:pPr>
        <w:pStyle w:val="Heading4"/>
        <w:spacing w:line="240" w:lineRule="auto"/>
        <w:ind w:left="153" w:right="0"/>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3D3D3"/>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510,443,267.47</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315,360,861.85</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61.86%</w:t>
            </w:r>
            <w:r>
              <w:rPr>
                <w:rFonts w:ascii="Times New Roman"/>
                <w:sz w:val="18"/>
              </w:rPr>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学校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268,973,639.00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52.69%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155,035,695.77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49.16%</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73.49%</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企事业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120,348,864.60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23.58%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59,522,153.98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18.88%</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102.19%</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14,964,408.95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2.93%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13,037,808.27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4.13%</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14.78%</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经销商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106,156,354.92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20.80%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87,765,203.83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27.83%</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20.95%</w:t>
            </w:r>
            <w:r>
              <w:rPr>
                <w:rFonts w:ascii="Times New Roman"/>
                <w:sz w:val="18"/>
              </w:rPr>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身份识别</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46,066,567.99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9.02%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26,796,365.67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8.50%</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71.91%</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小额支付</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81,488,760.31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15.97%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59,811,335.54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18.96%</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36.24%</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资源管控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112,118,731.15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21.97%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72,280,354.14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22.92%</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55.12%</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信息集成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270,769,208.02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53.04%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156,472,806.50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49.62%</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73.05%</w:t>
            </w:r>
            <w:r>
              <w:rPr>
                <w:rFonts w:ascii="Times New Roman"/>
                <w:sz w:val="18"/>
              </w:rPr>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152,986,810.82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29.97%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116,703,192.09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37.01%</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31.09%</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133,283,283.69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26.11%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68,257,440.67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21.64%</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95.27%</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87,983,924.54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17.24%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39,827,404.54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12.63%</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120.91%</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40,448,491.09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7.92%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29,425,510.95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9.33%</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37.46%</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37,806,637.86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7.41%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32,792,115.49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10.40%</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15.29%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28,556,068.25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5.59%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12,308,359.03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3.90%</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132.01%</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29,378,051.22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5.76%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16,046,839.08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5.09%</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83.08%</w:t>
            </w:r>
            <w:r>
              <w:rPr>
                <w:rFonts w:ascii="Times New Roman"/>
                <w:sz w:val="18"/>
              </w:rPr>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学校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268,973,639.00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125,026,391.79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53.52%</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73.49%</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70.78%</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0.74%</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企事业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120,348,864.60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57,511,720.27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52.21%</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102.19%</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107.73%</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-1.27%</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14,964,408.95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4,292,903.83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71.31%</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14.78%</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-8.94%</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7.47%</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经销商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106,156,354.92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50,528,011.76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52.40%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20.95%</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16.08%</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2.00%</w:t>
            </w:r>
            <w:r>
              <w:rPr>
                <w:rFonts w:ascii="Times New Roman"/>
                <w:sz w:val="18"/>
              </w:rPr>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身份识别</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46,066,567.99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15,425,447.47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66.51%</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71.91%</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96.49%</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-4.19%</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小额支付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81,488,760.31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29,289,048.28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64.06%</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36.24%</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44.78%</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-2.12%</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资源管控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112,118,731.15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56,759,435.32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49.38%</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55.12%</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43.96%</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3.92%</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270,769,208.02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135,885,096.58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49.82%</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70.77%</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66.47%</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1.98%</w:t>
            </w:r>
            <w:r>
              <w:rPr>
                <w:rFonts w:ascii="Times New Roman"/>
                <w:sz w:val="18"/>
              </w:rPr>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152,986,810.82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78,114,076.94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48.94%</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31.09%</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33.22%</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-1.45%</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133,283,283.69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57,096,837.93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57.16%</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95.27%</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92.76%</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0.56%</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87,983,924.54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35,070,137.46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60.14%</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120.91%</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91.29%</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6.17%</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40,448,491.09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16,456,816.36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59.31%</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37.46%</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46.92%</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-2.62%</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37,806,637.86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17,291,475.77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54.26%</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15.29%</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-12.60%</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14.59%</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28,556,068.25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14,805,086.64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48.15%</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132.01%</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132.91%</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-0.20%</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29,378,051.22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18,524,596.55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36.94%</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83.08%</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256.05%</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-30.63%</w:t>
            </w:r>
            <w:r>
              <w:rPr>
                <w:rFonts w:ascii="Times New Roman"/>
                <w:sz w:val="18"/>
              </w:rPr>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智能一卡通行业</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1,507,720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555,316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171.51%</w:t>
            </w:r>
            <w:r>
              <w:rPr>
                <w:rFonts w:ascii="Times New Roman"/>
                <w:sz w:val="18"/>
              </w:rPr>
            </w:r>
          </w:p>
        </w:tc>
      </w:tr>
      <w:tr>
        <w:trPr>
          <w:trHeight w:val="403"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1,572,859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846,723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85.76%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6" w:right="0"/>
              <w:jc w:val="left"/>
              <w:rPr>
                <w:rFonts w:ascii="Times New Roman" w:hAnsi="Times New Roman" w:cs="Times New Roman" w:eastAsia="Times New Roman" w:hint="default"/>
                <w:sz w:val="18"/>
                <w:szCs w:val="18"/>
              </w:rPr>
            </w:pPr>
            <w:r>
              <w:rPr>
                <w:rFonts w:ascii="Times New Roman"/>
                <w:sz w:val="18"/>
              </w:rPr>
              <w:t>508,360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6" w:right="0"/>
              <w:jc w:val="left"/>
              <w:rPr>
                <w:rFonts w:ascii="Times New Roman" w:hAnsi="Times New Roman" w:cs="Times New Roman" w:eastAsia="Times New Roman" w:hint="default"/>
                <w:sz w:val="18"/>
                <w:szCs w:val="18"/>
              </w:rPr>
            </w:pPr>
            <w:r>
              <w:rPr>
                <w:rFonts w:ascii="Times New Roman"/>
                <w:sz w:val="18"/>
              </w:rPr>
              <w:t>443,221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14.70%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3"/>
        <w:ind w:right="0" w:firstLine="420"/>
        <w:jc w:val="left"/>
      </w:pPr>
      <w:r>
        <w:rPr>
          <w:rFonts w:ascii="Times New Roman" w:hAnsi="Times New Roman" w:cs="Times New Roman" w:eastAsia="Times New Roman" w:hint="default"/>
          <w:spacing w:val="-1"/>
        </w:rPr>
        <w:t>2015</w:t>
      </w:r>
      <w:r>
        <w:rPr>
          <w:spacing w:val="-1"/>
        </w:rPr>
        <w:t>年度，公司一卡通系统建设需求稳定增长，另外智能电力载波模块销售大幅度增加，为了满足市</w:t>
      </w:r>
      <w:r>
        <w:rPr/>
        <w:t> 场需求，公司生产量与销售量均出现了大幅增加。</w:t>
      </w:r>
    </w:p>
    <w:p>
      <w:pPr>
        <w:spacing w:line="240" w:lineRule="auto" w:before="0"/>
        <w:rPr>
          <w:rFonts w:ascii="宋体" w:hAnsi="宋体" w:cs="宋体" w:eastAsia="宋体" w:hint="default"/>
          <w:sz w:val="22"/>
          <w:szCs w:val="22"/>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身份识别</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14,007,927.03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90.82%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7,156,085.83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91.16%</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95.75%</w:t>
            </w:r>
            <w:r>
              <w:rPr>
                <w:rFonts w:ascii="Times New Roman"/>
                <w:sz w:val="18"/>
              </w:rPr>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1,029,607.31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6.67%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473,542.84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6.03%</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117.43%</w:t>
            </w:r>
          </w:p>
        </w:tc>
      </w:tr>
      <w:tr>
        <w:trPr>
          <w:trHeight w:val="402" w:hRule="exact"/>
        </w:trPr>
        <w:tc>
          <w:tcPr>
            <w:tcW w:w="1369"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387,913.13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2.51%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220,677.39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2.81%</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75.78%</w:t>
            </w:r>
            <w:r>
              <w:rPr>
                <w:rFonts w:ascii="Times New Roman"/>
                <w:sz w:val="18"/>
              </w:rPr>
            </w:r>
          </w:p>
        </w:tc>
      </w:tr>
      <w:tr>
        <w:trPr>
          <w:trHeight w:val="402" w:hRule="exact"/>
        </w:trPr>
        <w:tc>
          <w:tcPr>
            <w:tcW w:w="13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小额支付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26,969,927.27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92.08%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18,788,105.54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92.88%</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43.55%</w:t>
            </w:r>
            <w:r>
              <w:rPr>
                <w:rFonts w:ascii="Times New Roman"/>
                <w:sz w:val="18"/>
              </w:rPr>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1,673,884.68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5.72%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973,189.75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4.81%</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72.00%</w:t>
            </w:r>
            <w:r>
              <w:rPr>
                <w:rFonts w:ascii="Times New Roman"/>
                <w:sz w:val="18"/>
              </w:rPr>
            </w:r>
          </w:p>
        </w:tc>
      </w:tr>
      <w:tr>
        <w:trPr>
          <w:trHeight w:val="402" w:hRule="exact"/>
        </w:trPr>
        <w:tc>
          <w:tcPr>
            <w:tcW w:w="1369"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645,236.33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468,249.89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2.31%</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37.80%</w:t>
            </w:r>
            <w:r>
              <w:rPr>
                <w:rFonts w:ascii="Times New Roman"/>
                <w:sz w:val="18"/>
              </w:rPr>
            </w:r>
          </w:p>
        </w:tc>
      </w:tr>
      <w:tr>
        <w:trPr>
          <w:trHeight w:val="402" w:hRule="exact"/>
        </w:trPr>
        <w:tc>
          <w:tcPr>
            <w:tcW w:w="13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资源管控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50,047,230.59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88.18%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35,224,459.80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89.33%</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42.08%</w:t>
            </w:r>
            <w:r>
              <w:rPr>
                <w:rFonts w:ascii="Times New Roman"/>
                <w:sz w:val="18"/>
              </w:rPr>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5,025,949.86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8.85%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2,773,892.64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7.04%</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81.19%</w:t>
            </w:r>
            <w:r>
              <w:rPr>
                <w:rFonts w:ascii="Times New Roman"/>
                <w:sz w:val="18"/>
              </w:rPr>
            </w:r>
          </w:p>
        </w:tc>
      </w:tr>
      <w:tr>
        <w:trPr>
          <w:trHeight w:val="402" w:hRule="exact"/>
        </w:trPr>
        <w:tc>
          <w:tcPr>
            <w:tcW w:w="1369"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1,686,254.87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2.97%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1,430,104.46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3.63%</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17.91%</w:t>
            </w:r>
            <w:r>
              <w:rPr>
                <w:rFonts w:ascii="Times New Roman"/>
                <w:sz w:val="18"/>
              </w:rPr>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1"/>
        <w:rPr>
          <w:rFonts w:ascii="宋体" w:hAnsi="宋体" w:cs="宋体" w:eastAsia="宋体" w:hint="default"/>
          <w:sz w:val="8"/>
          <w:szCs w:val="8"/>
        </w:rPr>
      </w:pPr>
    </w:p>
    <w:tbl>
      <w:tblPr>
        <w:tblW w:w="0" w:type="auto"/>
        <w:jc w:val="left"/>
        <w:tblInd w:w="375" w:type="dxa"/>
        <w:tblLayout w:type="fixed"/>
        <w:tblCellMar>
          <w:top w:w="0" w:type="dxa"/>
          <w:left w:w="0" w:type="dxa"/>
          <w:bottom w:w="0" w:type="dxa"/>
          <w:right w:w="0" w:type="dxa"/>
        </w:tblCellMar>
        <w:tblLook w:val="01E0"/>
      </w:tblPr>
      <w:tblGrid>
        <w:gridCol w:w="1148"/>
        <w:gridCol w:w="1986"/>
        <w:gridCol w:w="1345"/>
        <w:gridCol w:w="2057"/>
        <w:gridCol w:w="1423"/>
        <w:gridCol w:w="1220"/>
      </w:tblGrid>
      <w:tr>
        <w:trPr>
          <w:trHeight w:val="347" w:hRule="exact"/>
        </w:trPr>
        <w:tc>
          <w:tcPr>
            <w:tcW w:w="1148" w:type="dxa"/>
            <w:vMerge w:val="restart"/>
            <w:tcBorders>
              <w:top w:val="single" w:sz="6" w:space="0" w:color="000000"/>
              <w:left w:val="single" w:sz="6" w:space="0" w:color="000000"/>
              <w:right w:val="single" w:sz="6" w:space="0" w:color="000000"/>
            </w:tcBorders>
            <w:shd w:val="clear" w:color="auto" w:fill="BFBFBF"/>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31" w:type="dxa"/>
            <w:gridSpan w:val="2"/>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3480" w:type="dxa"/>
            <w:gridSpan w:val="2"/>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1220" w:type="dxa"/>
            <w:vMerge w:val="restart"/>
            <w:tcBorders>
              <w:top w:val="single" w:sz="6" w:space="0" w:color="000000"/>
              <w:left w:val="single" w:sz="6" w:space="0" w:color="000000"/>
              <w:right w:val="single" w:sz="6" w:space="0" w:color="000000"/>
            </w:tcBorders>
            <w:shd w:val="clear" w:color="auto" w:fill="BFBFBF"/>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47" w:hRule="exact"/>
        </w:trPr>
        <w:tc>
          <w:tcPr>
            <w:tcW w:w="1148" w:type="dxa"/>
            <w:vMerge/>
            <w:tcBorders>
              <w:left w:val="single" w:sz="6" w:space="0" w:color="000000"/>
              <w:bottom w:val="single" w:sz="6" w:space="0" w:color="000000"/>
              <w:right w:val="single" w:sz="6" w:space="0" w:color="000000"/>
            </w:tcBorders>
            <w:shd w:val="clear" w:color="auto" w:fill="BFBFBF"/>
          </w:tcPr>
          <w:p>
            <w:pPr/>
          </w:p>
        </w:tc>
        <w:tc>
          <w:tcPr>
            <w:tcW w:w="1986"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45"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right="35"/>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2057"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23"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right="72"/>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220" w:type="dxa"/>
            <w:vMerge/>
            <w:tcBorders>
              <w:left w:val="single" w:sz="6" w:space="0" w:color="000000"/>
              <w:bottom w:val="single" w:sz="6" w:space="0" w:color="000000"/>
              <w:right w:val="single" w:sz="6" w:space="0" w:color="000000"/>
            </w:tcBorders>
            <w:shd w:val="clear" w:color="auto" w:fill="BFBFBF"/>
          </w:tcPr>
          <w:p>
            <w:pPr/>
          </w:p>
        </w:tc>
      </w:tr>
      <w:tr>
        <w:trPr>
          <w:trHeight w:val="348" w:hRule="exact"/>
        </w:trPr>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210,740,439.02</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88.78%</w:t>
            </w:r>
            <w:r>
              <w:rPr>
                <w:rFonts w:ascii="Times New Roman"/>
                <w:sz w:val="18"/>
              </w:rPr>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132,817,819.81</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89.06%</w:t>
            </w:r>
            <w:r>
              <w:rPr>
                <w:rFonts w:ascii="Times New Roman"/>
                <w:sz w:val="18"/>
              </w:rPr>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58.67%</w:t>
            </w:r>
            <w:r>
              <w:rPr>
                <w:rFonts w:ascii="Times New Roman"/>
                <w:sz w:val="18"/>
              </w:rPr>
            </w:r>
          </w:p>
        </w:tc>
      </w:tr>
      <w:tr>
        <w:trPr>
          <w:trHeight w:val="347" w:hRule="exact"/>
        </w:trPr>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5,362,392.75</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2.26%</w:t>
            </w:r>
            <w:r>
              <w:rPr>
                <w:rFonts w:ascii="Times New Roman"/>
                <w:sz w:val="18"/>
              </w:rPr>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4,483,915.66</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3.01%</w:t>
            </w:r>
            <w:r>
              <w:rPr>
                <w:rFonts w:ascii="Times New Roman"/>
                <w:sz w:val="18"/>
              </w:rPr>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19.59%</w:t>
            </w:r>
            <w:r>
              <w:rPr>
                <w:rFonts w:ascii="Times New Roman"/>
                <w:sz w:val="18"/>
              </w:rPr>
            </w:r>
          </w:p>
        </w:tc>
      </w:tr>
      <w:tr>
        <w:trPr>
          <w:trHeight w:val="347" w:hRule="exact"/>
        </w:trPr>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21,256,195.88</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8.96%</w:t>
            </w:r>
            <w:r>
              <w:rPr>
                <w:rFonts w:ascii="Times New Roman"/>
                <w:sz w:val="18"/>
              </w:rPr>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11,833,784.67</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7.93%</w:t>
            </w:r>
            <w:r>
              <w:rPr>
                <w:rFonts w:ascii="Times New Roman"/>
                <w:sz w:val="18"/>
              </w:rPr>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79.62%</w:t>
            </w:r>
            <w:r>
              <w:rPr>
                <w:rFonts w:ascii="Times New Roman"/>
                <w:sz w:val="18"/>
              </w:rPr>
            </w:r>
          </w:p>
        </w:tc>
      </w:tr>
    </w:tbl>
    <w:p>
      <w:pPr>
        <w:pStyle w:val="BodyText"/>
        <w:spacing w:line="240" w:lineRule="auto" w:before="63"/>
        <w:ind w:left="574" w:right="0"/>
        <w:jc w:val="left"/>
      </w:pPr>
      <w:r>
        <w:rPr>
          <w:rFonts w:ascii="Times New Roman" w:hAnsi="Times New Roman" w:cs="Times New Roman" w:eastAsia="Times New Roman" w:hint="default"/>
        </w:rPr>
        <w:t>1</w:t>
      </w:r>
      <w:r>
        <w:rPr/>
        <w:t>、公司自产硬件产品营业成本占比分析如上表； </w:t>
      </w:r>
    </w:p>
    <w:p>
      <w:pPr>
        <w:pStyle w:val="BodyText"/>
        <w:spacing w:line="386" w:lineRule="auto" w:before="177"/>
        <w:ind w:right="215" w:firstLine="420"/>
        <w:jc w:val="left"/>
      </w:pPr>
      <w:r>
        <w:rPr>
          <w:rFonts w:ascii="Times New Roman" w:hAnsi="Times New Roman" w:cs="Times New Roman" w:eastAsia="Times New Roman" w:hint="default"/>
        </w:rPr>
        <w:t>2</w:t>
      </w:r>
      <w:r>
        <w:rPr/>
        <w:t>、公司为一卡通系统方案解决商，最终用户行业销售包含各种软、硬件产品及集成服务，无法按产 品项目进行列示营业成本比重； </w:t>
      </w:r>
    </w:p>
    <w:p>
      <w:pPr>
        <w:pStyle w:val="BodyText"/>
        <w:spacing w:line="240" w:lineRule="auto" w:before="65"/>
        <w:ind w:left="574" w:right="0"/>
        <w:jc w:val="left"/>
      </w:pPr>
      <w:r>
        <w:rPr>
          <w:rFonts w:ascii="Times New Roman" w:hAnsi="Times New Roman" w:cs="Times New Roman" w:eastAsia="Times New Roman" w:hint="default"/>
        </w:rPr>
        <w:t>3</w:t>
      </w:r>
      <w:r>
        <w:rPr/>
        <w:t>、信息集成产品分类包含自产软件产品、外购商品及集成服务，不涉及自产硬件产品。</w:t>
      </w:r>
    </w:p>
    <w:p>
      <w:pPr>
        <w:spacing w:after="0" w:line="24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386" w:lineRule="auto" w:before="153"/>
        <w:ind w:right="216" w:firstLine="419"/>
        <w:jc w:val="left"/>
      </w:pPr>
      <w:r>
        <w:rPr/>
        <w:t>报告期内，公司财务报表合并范围新增</w:t>
      </w:r>
      <w:r>
        <w:rPr>
          <w:rFonts w:ascii="Times New Roman" w:hAnsi="Times New Roman" w:cs="Times New Roman" w:eastAsia="Times New Roman" w:hint="default"/>
        </w:rPr>
        <w:t>2</w:t>
      </w:r>
      <w:r>
        <w:rPr/>
        <w:t>家，分别为迪科远望、上海树维。由于</w:t>
      </w:r>
      <w:r>
        <w:rPr>
          <w:rFonts w:ascii="Times New Roman" w:hAnsi="Times New Roman" w:cs="Times New Roman" w:eastAsia="Times New Roman" w:hint="default"/>
        </w:rPr>
        <w:t>2015</w:t>
      </w:r>
      <w:r>
        <w:rPr/>
        <w:t>年度，公司对山 西新开普的投资款未到位，故其未纳入公司合并报表范围。</w:t>
      </w:r>
    </w:p>
    <w:p>
      <w:pPr>
        <w:spacing w:line="240" w:lineRule="auto" w:before="0"/>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43,030,853.62</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中国建设银行股份有限公司大连市分行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11,633,581.63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中国科学院大学</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9,816,126.35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郑州航天赛世特电子有限公司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8,779,489.74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杭州西力电能表制造有限公司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7,100,478.64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安徽新开普智能技术有限公司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5,701,177.26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1.12%</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43,030,853.62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31,923,327.74</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13.68%</w:t>
            </w:r>
            <w:r>
              <w:rPr>
                <w:rFonts w:ascii="Times New Roman"/>
                <w:sz w:val="18"/>
              </w:rPr>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714"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北京宏通万达智能科技有限公司（原北 京芙蓉电子产品有限公司）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8,668,598.14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3.72%</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上海复旦微电子集团股份有限公司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6,630,383.87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苏州工业园区迪隆科技发展有限公司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6,557,388.47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2.81%</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万沙电气有限公司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5,118,298.28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杭州希贤科技有限公司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4,948,658.98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31,923,327.74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13.68%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5"/>
        <w:gridCol w:w="1637"/>
        <w:gridCol w:w="1637"/>
        <w:gridCol w:w="1462"/>
        <w:gridCol w:w="2917"/>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50"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124,357,399.12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83,117,790.64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49.62%</w:t>
            </w:r>
            <w:r>
              <w:rPr>
                <w:rFonts w:ascii="Times New Roman"/>
                <w:sz w:val="18"/>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）主要系随公司业务增长而相应 </w:t>
            </w:r>
            <w:r>
              <w:rPr>
                <w:rFonts w:ascii="宋体" w:hAnsi="宋体" w:cs="宋体" w:eastAsia="宋体" w:hint="default"/>
                <w:spacing w:val="-2"/>
                <w:sz w:val="18"/>
                <w:szCs w:val="18"/>
              </w:rPr>
              <w:t>增加的人工、招待、办公、差旅、系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7"/>
                <w:sz w:val="18"/>
                <w:szCs w:val="18"/>
              </w:rPr>
              <w:t>统实施等费用；（</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）移动互联业务推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7"/>
                <w:sz w:val="18"/>
                <w:szCs w:val="18"/>
              </w:rPr>
              <w:t>广费用增加；（</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）本报告期合并范围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变化的影响。</w:t>
            </w:r>
          </w:p>
        </w:tc>
      </w:tr>
      <w:tr>
        <w:trPr>
          <w:trHeight w:val="1026"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67,529,711.60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40,993,554.37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64.73%</w:t>
            </w:r>
            <w:r>
              <w:rPr>
                <w:rFonts w:ascii="Times New Roman"/>
                <w:sz w:val="18"/>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主要系公司报告期固定资产投入带 </w:t>
            </w:r>
            <w:r>
              <w:rPr>
                <w:rFonts w:ascii="宋体" w:hAnsi="宋体" w:cs="宋体" w:eastAsia="宋体" w:hint="default"/>
                <w:spacing w:val="-2"/>
                <w:sz w:val="18"/>
                <w:szCs w:val="18"/>
              </w:rPr>
              <w:t>来的折旧费用、相关税费的增加以及</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并购业务的中介费用的增加</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-47,687.64</w:t>
            </w:r>
            <w:r>
              <w:rPr>
                <w:rFonts w:ascii="Times New Roman"/>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-2,878,156.45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98.34%</w:t>
            </w:r>
            <w:r>
              <w:rPr>
                <w:rFonts w:ascii="Times New Roman"/>
                <w:sz w:val="18"/>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2"/>
              <w:jc w:val="left"/>
              <w:rPr>
                <w:rFonts w:ascii="宋体" w:hAnsi="宋体" w:cs="宋体" w:eastAsia="宋体" w:hint="default"/>
                <w:sz w:val="18"/>
                <w:szCs w:val="18"/>
              </w:rPr>
            </w:pPr>
            <w:r>
              <w:rPr>
                <w:rFonts w:ascii="宋体" w:hAnsi="宋体" w:cs="宋体" w:eastAsia="宋体" w:hint="default"/>
                <w:sz w:val="18"/>
                <w:szCs w:val="18"/>
              </w:rPr>
              <w:t>主要系报告期内存款利息下降及新 增借款发生的利息支出影响</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left="139" w:right="301"/>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spacing w:before="0"/>
        <w:ind w:left="139" w:right="3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left="139" w:right="301" w:firstLine="420"/>
        <w:jc w:val="left"/>
      </w:pPr>
      <w:r>
        <w:rPr/>
        <w:t>公司是国家重点支持的高新技术企业、火炬计划重点高新技术企业，持续的研发与创新是公司保持核心竞争力的重要保证，长期以来公司一直非常 重视研发投入，报告期内，公司仍保持了较大的技术开发与研究投入力度，公司进行的研发项目进展情况如下：</w:t>
      </w:r>
    </w:p>
    <w:tbl>
      <w:tblPr>
        <w:tblW w:w="0" w:type="auto"/>
        <w:jc w:val="left"/>
        <w:tblInd w:w="132" w:type="dxa"/>
        <w:tblLayout w:type="fixed"/>
        <w:tblCellMar>
          <w:top w:w="0" w:type="dxa"/>
          <w:left w:w="0" w:type="dxa"/>
          <w:bottom w:w="0" w:type="dxa"/>
          <w:right w:w="0" w:type="dxa"/>
        </w:tblCellMar>
        <w:tblLook w:val="01E0"/>
      </w:tblPr>
      <w:tblGrid>
        <w:gridCol w:w="560"/>
        <w:gridCol w:w="2028"/>
        <w:gridCol w:w="919"/>
        <w:gridCol w:w="1770"/>
        <w:gridCol w:w="1194"/>
        <w:gridCol w:w="7574"/>
      </w:tblGrid>
      <w:tr>
        <w:trPr>
          <w:trHeight w:val="659" w:hRule="exact"/>
        </w:trPr>
        <w:tc>
          <w:tcPr>
            <w:tcW w:w="56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60"/>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2028"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60"/>
              <w:ind w:left="64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919"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60"/>
              <w:ind w:left="92" w:right="0"/>
              <w:jc w:val="left"/>
              <w:rPr>
                <w:rFonts w:ascii="宋体" w:hAnsi="宋体" w:cs="宋体" w:eastAsia="宋体" w:hint="default"/>
                <w:sz w:val="18"/>
                <w:szCs w:val="18"/>
              </w:rPr>
            </w:pPr>
            <w:r>
              <w:rPr>
                <w:rFonts w:ascii="宋体" w:hAnsi="宋体" w:cs="宋体" w:eastAsia="宋体" w:hint="default"/>
                <w:sz w:val="18"/>
                <w:szCs w:val="18"/>
              </w:rPr>
              <w:t>对应功能</w:t>
            </w:r>
          </w:p>
        </w:tc>
        <w:tc>
          <w:tcPr>
            <w:tcW w:w="177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所处阶段</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（截止到</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194"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60"/>
              <w:ind w:left="50" w:right="0"/>
              <w:jc w:val="left"/>
              <w:rPr>
                <w:rFonts w:ascii="宋体" w:hAnsi="宋体" w:cs="宋体" w:eastAsia="宋体" w:hint="default"/>
                <w:sz w:val="18"/>
                <w:szCs w:val="18"/>
              </w:rPr>
            </w:pPr>
            <w:r>
              <w:rPr>
                <w:rFonts w:ascii="宋体" w:hAnsi="宋体" w:cs="宋体" w:eastAsia="宋体" w:hint="default"/>
                <w:sz w:val="18"/>
                <w:szCs w:val="18"/>
              </w:rPr>
              <w:t>计划起止时间</w:t>
            </w:r>
          </w:p>
        </w:tc>
        <w:tc>
          <w:tcPr>
            <w:tcW w:w="7574"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开发功能及技术创新</w:t>
            </w:r>
          </w:p>
        </w:tc>
      </w:tr>
      <w:tr>
        <w:trPr>
          <w:trHeight w:val="332" w:hRule="exact"/>
        </w:trPr>
        <w:tc>
          <w:tcPr>
            <w:tcW w:w="560" w:type="dxa"/>
            <w:tcBorders>
              <w:top w:val="single" w:sz="6" w:space="0" w:color="000000"/>
              <w:left w:val="single" w:sz="6" w:space="0" w:color="000000"/>
              <w:bottom w:val="nil" w:sz="6" w:space="0" w:color="auto"/>
              <w:right w:val="single" w:sz="6" w:space="0" w:color="000000"/>
            </w:tcBorders>
          </w:tcPr>
          <w:p>
            <w:pPr/>
          </w:p>
        </w:tc>
        <w:tc>
          <w:tcPr>
            <w:tcW w:w="2028" w:type="dxa"/>
            <w:tcBorders>
              <w:top w:val="single" w:sz="6" w:space="0" w:color="000000"/>
              <w:left w:val="single" w:sz="6" w:space="0" w:color="000000"/>
              <w:bottom w:val="nil" w:sz="6" w:space="0" w:color="auto"/>
              <w:right w:val="single" w:sz="6" w:space="0" w:color="000000"/>
            </w:tcBorders>
          </w:tcPr>
          <w:p>
            <w:pPr/>
          </w:p>
        </w:tc>
        <w:tc>
          <w:tcPr>
            <w:tcW w:w="919" w:type="dxa"/>
            <w:tcBorders>
              <w:top w:val="single" w:sz="6" w:space="0" w:color="000000"/>
              <w:left w:val="single" w:sz="6" w:space="0" w:color="000000"/>
              <w:bottom w:val="nil" w:sz="6" w:space="0" w:color="auto"/>
              <w:right w:val="single" w:sz="6" w:space="0" w:color="000000"/>
            </w:tcBorders>
          </w:tcPr>
          <w:p>
            <w:pPr/>
          </w:p>
        </w:tc>
        <w:tc>
          <w:tcPr>
            <w:tcW w:w="1770" w:type="dxa"/>
            <w:tcBorders>
              <w:top w:val="single" w:sz="6" w:space="0" w:color="000000"/>
              <w:left w:val="single" w:sz="6" w:space="0" w:color="000000"/>
              <w:bottom w:val="nil" w:sz="6" w:space="0" w:color="auto"/>
              <w:right w:val="single" w:sz="6" w:space="0" w:color="000000"/>
            </w:tcBorders>
          </w:tcPr>
          <w:p>
            <w:pPr/>
          </w:p>
        </w:tc>
        <w:tc>
          <w:tcPr>
            <w:tcW w:w="1194" w:type="dxa"/>
            <w:tcBorders>
              <w:top w:val="single" w:sz="6" w:space="0" w:color="000000"/>
              <w:left w:val="single" w:sz="6" w:space="0" w:color="000000"/>
              <w:bottom w:val="nil" w:sz="6" w:space="0" w:color="auto"/>
              <w:right w:val="single" w:sz="6" w:space="0" w:color="000000"/>
            </w:tcBorders>
          </w:tcPr>
          <w:p>
            <w:pPr/>
          </w:p>
        </w:tc>
        <w:tc>
          <w:tcPr>
            <w:tcW w:w="757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7"/>
              <w:ind w:left="3" w:right="0"/>
              <w:jc w:val="left"/>
              <w:rPr>
                <w:rFonts w:ascii="宋体" w:hAnsi="宋体" w:cs="宋体" w:eastAsia="宋体" w:hint="default"/>
                <w:sz w:val="15"/>
                <w:szCs w:val="15"/>
              </w:rPr>
            </w:pPr>
            <w:r>
              <w:rPr>
                <w:rFonts w:ascii="Times New Roman" w:hAnsi="Times New Roman" w:cs="Times New Roman" w:eastAsia="Times New Roman" w:hint="default"/>
                <w:spacing w:val="-2"/>
                <w:sz w:val="15"/>
                <w:szCs w:val="15"/>
              </w:rPr>
              <w:t>1</w:t>
            </w:r>
            <w:r>
              <w:rPr>
                <w:rFonts w:ascii="宋体" w:hAnsi="宋体" w:cs="宋体" w:eastAsia="宋体" w:hint="default"/>
                <w:spacing w:val="-2"/>
                <w:sz w:val="15"/>
                <w:szCs w:val="15"/>
              </w:rPr>
              <w:t>、空中下载：采用国际</w:t>
            </w:r>
            <w:r>
              <w:rPr>
                <w:rFonts w:ascii="Times New Roman" w:hAnsi="Times New Roman" w:cs="Times New Roman" w:eastAsia="Times New Roman" w:hint="default"/>
                <w:spacing w:val="-2"/>
                <w:sz w:val="15"/>
                <w:szCs w:val="15"/>
              </w:rPr>
              <w:t>GP</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1"/>
                <w:sz w:val="15"/>
                <w:szCs w:val="15"/>
              </w:rPr>
              <w:t>Spec</w:t>
            </w:r>
            <w:r>
              <w:rPr>
                <w:rFonts w:ascii="Times New Roman" w:hAnsi="Times New Roman" w:cs="Times New Roman" w:eastAsia="Times New Roman" w:hint="default"/>
                <w:spacing w:val="11"/>
                <w:sz w:val="15"/>
                <w:szCs w:val="15"/>
              </w:rPr>
              <w:t> </w:t>
            </w:r>
            <w:r>
              <w:rPr>
                <w:rFonts w:ascii="Times New Roman" w:hAnsi="Times New Roman" w:cs="Times New Roman" w:eastAsia="Times New Roman" w:hint="default"/>
                <w:spacing w:val="-1"/>
                <w:sz w:val="15"/>
                <w:szCs w:val="15"/>
              </w:rPr>
              <w:t>Card</w:t>
            </w:r>
            <w:r>
              <w:rPr>
                <w:rFonts w:ascii="宋体" w:hAnsi="宋体" w:cs="宋体" w:eastAsia="宋体" w:hint="default"/>
                <w:spacing w:val="-1"/>
                <w:sz w:val="15"/>
                <w:szCs w:val="15"/>
              </w:rPr>
              <w:t>规范打破原有行业应用预置的方式，实现</w:t>
            </w:r>
            <w:r>
              <w:rPr>
                <w:rFonts w:ascii="Times New Roman" w:hAnsi="Times New Roman" w:cs="Times New Roman" w:eastAsia="Times New Roman" w:hint="default"/>
                <w:spacing w:val="-1"/>
                <w:sz w:val="15"/>
                <w:szCs w:val="15"/>
              </w:rPr>
              <w:t>CAP</w:t>
            </w:r>
            <w:r>
              <w:rPr>
                <w:rFonts w:ascii="宋体" w:hAnsi="宋体" w:cs="宋体" w:eastAsia="宋体" w:hint="default"/>
                <w:spacing w:val="-1"/>
                <w:sz w:val="15"/>
                <w:szCs w:val="15"/>
              </w:rPr>
              <w:t>、</w:t>
            </w:r>
            <w:r>
              <w:rPr>
                <w:rFonts w:ascii="Times New Roman" w:hAnsi="Times New Roman" w:cs="Times New Roman" w:eastAsia="Times New Roman" w:hint="default"/>
                <w:spacing w:val="-1"/>
                <w:sz w:val="15"/>
                <w:szCs w:val="15"/>
              </w:rPr>
              <w:t>Applet</w:t>
            </w:r>
            <w:r>
              <w:rPr>
                <w:rFonts w:ascii="宋体" w:hAnsi="宋体" w:cs="宋体" w:eastAsia="宋体" w:hint="default"/>
                <w:spacing w:val="-1"/>
                <w:sz w:val="15"/>
                <w:szCs w:val="15"/>
              </w:rPr>
              <w:t>和行业</w:t>
            </w:r>
            <w:r>
              <w:rPr>
                <w:rFonts w:ascii="Times New Roman" w:hAnsi="Times New Roman" w:cs="Times New Roman" w:eastAsia="Times New Roman" w:hint="default"/>
                <w:spacing w:val="-1"/>
                <w:sz w:val="15"/>
                <w:szCs w:val="15"/>
              </w:rPr>
              <w:t>APP</w:t>
            </w:r>
            <w:r>
              <w:rPr>
                <w:rFonts w:ascii="宋体" w:hAnsi="宋体" w:cs="宋体" w:eastAsia="宋体" w:hint="default"/>
                <w:spacing w:val="-1"/>
                <w:sz w:val="15"/>
                <w:szCs w:val="15"/>
              </w:rPr>
              <w:t>的无线下载技</w:t>
            </w:r>
          </w:p>
        </w:tc>
      </w:tr>
      <w:tr>
        <w:trPr>
          <w:trHeight w:val="234"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left="3" w:right="0"/>
              <w:jc w:val="left"/>
              <w:rPr>
                <w:rFonts w:ascii="宋体" w:hAnsi="宋体" w:cs="宋体" w:eastAsia="宋体" w:hint="default"/>
                <w:sz w:val="15"/>
                <w:szCs w:val="15"/>
              </w:rPr>
            </w:pPr>
            <w:r>
              <w:rPr>
                <w:rFonts w:ascii="宋体" w:hAnsi="宋体" w:cs="宋体" w:eastAsia="宋体" w:hint="default"/>
                <w:sz w:val="15"/>
                <w:szCs w:val="15"/>
              </w:rPr>
              <w:t>术，解决用户无法修改和删除</w:t>
            </w:r>
            <w:r>
              <w:rPr>
                <w:rFonts w:ascii="Times New Roman" w:hAnsi="Times New Roman" w:cs="Times New Roman" w:eastAsia="Times New Roman" w:hint="default"/>
                <w:sz w:val="15"/>
                <w:szCs w:val="15"/>
              </w:rPr>
              <w:t>NFC-SIM</w:t>
            </w:r>
            <w:r>
              <w:rPr>
                <w:rFonts w:ascii="宋体" w:hAnsi="宋体" w:cs="宋体" w:eastAsia="宋体" w:hint="default"/>
                <w:sz w:val="15"/>
                <w:szCs w:val="15"/>
              </w:rPr>
              <w:t>卡内应用的问题；</w:t>
            </w:r>
          </w:p>
        </w:tc>
      </w:tr>
      <w:tr>
        <w:trPr>
          <w:trHeight w:val="152"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Style w:val="TableParagraph"/>
              <w:spacing w:line="133" w:lineRule="exact"/>
              <w:ind w:left="3" w:right="-17"/>
              <w:jc w:val="left"/>
              <w:rPr>
                <w:rFonts w:ascii="宋体" w:hAnsi="宋体" w:cs="宋体" w:eastAsia="宋体" w:hint="default"/>
                <w:sz w:val="15"/>
                <w:szCs w:val="15"/>
              </w:rPr>
            </w:pPr>
            <w:r>
              <w:rPr>
                <w:rFonts w:ascii="宋体" w:hAnsi="宋体" w:cs="宋体" w:eastAsia="宋体" w:hint="default"/>
                <w:spacing w:val="17"/>
                <w:sz w:val="15"/>
                <w:szCs w:val="15"/>
              </w:rPr>
              <w:t>计划起止日期：</w:t>
            </w:r>
            <w:r>
              <w:rPr>
                <w:rFonts w:ascii="宋体" w:hAnsi="宋体" w:cs="宋体" w:eastAsia="宋体" w:hint="default"/>
                <w:spacing w:val="-55"/>
                <w:sz w:val="15"/>
                <w:szCs w:val="15"/>
              </w:rPr>
              <w:t> </w:t>
            </w:r>
            <w:r>
              <w:rPr>
                <w:rFonts w:ascii="宋体" w:hAnsi="宋体" w:cs="宋体" w:eastAsia="宋体" w:hint="default"/>
                <w:sz w:val="15"/>
                <w:szCs w:val="15"/>
              </w:rPr>
            </w:r>
          </w:p>
        </w:tc>
        <w:tc>
          <w:tcPr>
            <w:tcW w:w="7574" w:type="dxa"/>
            <w:tcBorders>
              <w:top w:val="nil" w:sz="6" w:space="0" w:color="auto"/>
              <w:left w:val="single" w:sz="6" w:space="0" w:color="000000"/>
              <w:bottom w:val="nil" w:sz="6" w:space="0" w:color="auto"/>
              <w:right w:val="single" w:sz="6" w:space="0" w:color="000000"/>
            </w:tcBorders>
          </w:tcPr>
          <w:p>
            <w:pPr/>
          </w:p>
        </w:tc>
      </w:tr>
      <w:tr>
        <w:trPr>
          <w:trHeight w:val="160"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148" w:lineRule="exact"/>
              <w:ind w:left="3" w:right="0"/>
              <w:jc w:val="left"/>
              <w:rPr>
                <w:rFonts w:ascii="宋体" w:hAnsi="宋体" w:cs="宋体" w:eastAsia="宋体" w:hint="default"/>
                <w:sz w:val="15"/>
                <w:szCs w:val="15"/>
              </w:rPr>
            </w:pPr>
            <w:r>
              <w:rPr>
                <w:rFonts w:ascii="Times New Roman" w:hAnsi="Times New Roman" w:cs="Times New Roman" w:eastAsia="Times New Roman" w:hint="default"/>
                <w:spacing w:val="-1"/>
                <w:sz w:val="15"/>
                <w:szCs w:val="15"/>
              </w:rPr>
              <w:t>2</w:t>
            </w:r>
            <w:r>
              <w:rPr>
                <w:rFonts w:ascii="宋体" w:hAnsi="宋体" w:cs="宋体" w:eastAsia="宋体" w:hint="default"/>
                <w:spacing w:val="-1"/>
                <w:sz w:val="15"/>
                <w:szCs w:val="15"/>
              </w:rPr>
              <w:t>、空中发卡：采用公司独有密文传输方式，实现各行业卡应用目录结构、密钥信息、用户信息的无线写入技术，解</w:t>
            </w:r>
          </w:p>
        </w:tc>
      </w:tr>
      <w:tr>
        <w:trPr>
          <w:trHeight w:val="156" w:hRule="exact"/>
        </w:trPr>
        <w:tc>
          <w:tcPr>
            <w:tcW w:w="560" w:type="dxa"/>
            <w:tcBorders>
              <w:top w:val="nil" w:sz="6" w:space="0" w:color="auto"/>
              <w:left w:val="single" w:sz="6" w:space="0" w:color="000000"/>
              <w:bottom w:val="nil" w:sz="6" w:space="0" w:color="auto"/>
              <w:right w:val="single" w:sz="6" w:space="0" w:color="000000"/>
            </w:tcBorders>
          </w:tcPr>
          <w:p>
            <w:pPr>
              <w:pStyle w:val="TableParagraph"/>
              <w:spacing w:line="143" w:lineRule="exact"/>
              <w:ind w:right="0"/>
              <w:jc w:val="center"/>
              <w:rPr>
                <w:rFonts w:ascii="Times New Roman" w:hAnsi="Times New Roman" w:cs="Times New Roman" w:eastAsia="Times New Roman" w:hint="default"/>
                <w:sz w:val="15"/>
                <w:szCs w:val="15"/>
              </w:rPr>
            </w:pPr>
            <w:r>
              <w:rPr>
                <w:rFonts w:ascii="Times New Roman"/>
                <w:sz w:val="15"/>
              </w:rPr>
              <w:t>1</w:t>
            </w:r>
          </w:p>
        </w:tc>
        <w:tc>
          <w:tcPr>
            <w:tcW w:w="2028" w:type="dxa"/>
            <w:tcBorders>
              <w:top w:val="nil" w:sz="6" w:space="0" w:color="auto"/>
              <w:left w:val="single" w:sz="6" w:space="0" w:color="000000"/>
              <w:bottom w:val="nil" w:sz="6" w:space="0" w:color="auto"/>
              <w:right w:val="single" w:sz="6" w:space="0" w:color="000000"/>
            </w:tcBorders>
          </w:tcPr>
          <w:p>
            <w:pPr>
              <w:pStyle w:val="TableParagraph"/>
              <w:spacing w:line="144" w:lineRule="exact"/>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NFC</w:t>
            </w:r>
            <w:r>
              <w:rPr>
                <w:rFonts w:ascii="宋体" w:hAnsi="宋体" w:cs="宋体" w:eastAsia="宋体" w:hint="default"/>
                <w:sz w:val="15"/>
                <w:szCs w:val="15"/>
              </w:rPr>
              <w:t>移动支付运营平台</w:t>
            </w:r>
          </w:p>
        </w:tc>
        <w:tc>
          <w:tcPr>
            <w:tcW w:w="919" w:type="dxa"/>
            <w:tcBorders>
              <w:top w:val="nil" w:sz="6" w:space="0" w:color="auto"/>
              <w:left w:val="single" w:sz="6" w:space="0" w:color="000000"/>
              <w:bottom w:val="nil" w:sz="6" w:space="0" w:color="auto"/>
              <w:right w:val="single" w:sz="6" w:space="0" w:color="000000"/>
            </w:tcBorders>
          </w:tcPr>
          <w:p>
            <w:pPr>
              <w:pStyle w:val="TableParagraph"/>
              <w:spacing w:line="133" w:lineRule="exact"/>
              <w:ind w:left="2" w:right="0"/>
              <w:jc w:val="left"/>
              <w:rPr>
                <w:rFonts w:ascii="宋体" w:hAnsi="宋体" w:cs="宋体" w:eastAsia="宋体" w:hint="default"/>
                <w:sz w:val="15"/>
                <w:szCs w:val="15"/>
              </w:rPr>
            </w:pPr>
            <w:r>
              <w:rPr>
                <w:rFonts w:ascii="宋体" w:hAnsi="宋体" w:cs="宋体" w:eastAsia="宋体" w:hint="default"/>
                <w:sz w:val="15"/>
                <w:szCs w:val="15"/>
              </w:rPr>
              <w:t>移动互联</w:t>
            </w:r>
          </w:p>
        </w:tc>
        <w:tc>
          <w:tcPr>
            <w:tcW w:w="1770" w:type="dxa"/>
            <w:tcBorders>
              <w:top w:val="nil" w:sz="6" w:space="0" w:color="auto"/>
              <w:left w:val="single" w:sz="6" w:space="0" w:color="000000"/>
              <w:bottom w:val="nil" w:sz="6" w:space="0" w:color="auto"/>
              <w:right w:val="single" w:sz="6" w:space="0" w:color="000000"/>
            </w:tcBorders>
          </w:tcPr>
          <w:p>
            <w:pPr>
              <w:pStyle w:val="TableParagraph"/>
              <w:spacing w:line="133" w:lineRule="exact"/>
              <w:ind w:left="3" w:right="0"/>
              <w:jc w:val="left"/>
              <w:rPr>
                <w:rFonts w:ascii="宋体" w:hAnsi="宋体" w:cs="宋体" w:eastAsia="宋体" w:hint="default"/>
                <w:sz w:val="15"/>
                <w:szCs w:val="15"/>
              </w:rPr>
            </w:pPr>
            <w:r>
              <w:rPr>
                <w:rFonts w:ascii="宋体" w:hAnsi="宋体" w:cs="宋体" w:eastAsia="宋体" w:hint="default"/>
                <w:sz w:val="15"/>
                <w:szCs w:val="15"/>
              </w:rPr>
              <w:t>结项，已经开始销售</w:t>
            </w:r>
          </w:p>
        </w:tc>
        <w:tc>
          <w:tcPr>
            <w:tcW w:w="1194" w:type="dxa"/>
            <w:tcBorders>
              <w:top w:val="nil" w:sz="6" w:space="0" w:color="auto"/>
              <w:left w:val="single" w:sz="6" w:space="0" w:color="000000"/>
              <w:bottom w:val="nil" w:sz="6" w:space="0" w:color="auto"/>
              <w:right w:val="single" w:sz="6" w:space="0" w:color="000000"/>
            </w:tcBorders>
          </w:tcPr>
          <w:p>
            <w:pPr>
              <w:pStyle w:val="TableParagraph"/>
              <w:spacing w:line="143" w:lineRule="exact"/>
              <w:ind w:left="3" w:right="0"/>
              <w:jc w:val="left"/>
              <w:rPr>
                <w:rFonts w:ascii="Times New Roman" w:hAnsi="Times New Roman" w:cs="Times New Roman" w:eastAsia="Times New Roman" w:hint="default"/>
                <w:sz w:val="15"/>
                <w:szCs w:val="15"/>
              </w:rPr>
            </w:pPr>
            <w:r>
              <w:rPr>
                <w:rFonts w:ascii="Times New Roman"/>
                <w:sz w:val="15"/>
              </w:rPr>
              <w:t>2014/3/1-</w:t>
            </w:r>
          </w:p>
        </w:tc>
        <w:tc>
          <w:tcPr>
            <w:tcW w:w="7574" w:type="dxa"/>
            <w:tcBorders>
              <w:top w:val="nil" w:sz="6" w:space="0" w:color="auto"/>
              <w:left w:val="single" w:sz="6" w:space="0" w:color="000000"/>
              <w:bottom w:val="nil" w:sz="6" w:space="0" w:color="auto"/>
              <w:right w:val="single" w:sz="6" w:space="0" w:color="000000"/>
            </w:tcBorders>
          </w:tcPr>
          <w:p>
            <w:pPr/>
          </w:p>
        </w:tc>
      </w:tr>
      <w:tr>
        <w:trPr>
          <w:trHeight w:val="155"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133" w:lineRule="exact"/>
              <w:ind w:left="3" w:right="0"/>
              <w:jc w:val="left"/>
              <w:rPr>
                <w:rFonts w:ascii="宋体" w:hAnsi="宋体" w:cs="宋体" w:eastAsia="宋体" w:hint="default"/>
                <w:sz w:val="15"/>
                <w:szCs w:val="15"/>
              </w:rPr>
            </w:pPr>
            <w:r>
              <w:rPr>
                <w:rFonts w:ascii="宋体" w:hAnsi="宋体" w:cs="宋体" w:eastAsia="宋体" w:hint="default"/>
                <w:sz w:val="15"/>
                <w:szCs w:val="15"/>
              </w:rPr>
              <w:t>决用户必须到指定设备上才能进行发卡的难题；</w:t>
            </w:r>
          </w:p>
        </w:tc>
      </w:tr>
      <w:tr>
        <w:trPr>
          <w:trHeight w:val="156"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Style w:val="TableParagraph"/>
              <w:spacing w:line="143" w:lineRule="exact"/>
              <w:ind w:left="3" w:right="0"/>
              <w:jc w:val="left"/>
              <w:rPr>
                <w:rFonts w:ascii="Times New Roman" w:hAnsi="Times New Roman" w:cs="Times New Roman" w:eastAsia="Times New Roman" w:hint="default"/>
                <w:sz w:val="15"/>
                <w:szCs w:val="15"/>
              </w:rPr>
            </w:pPr>
            <w:r>
              <w:rPr>
                <w:rFonts w:ascii="Times New Roman"/>
                <w:sz w:val="15"/>
              </w:rPr>
              <w:t>2015/2/28</w:t>
            </w:r>
          </w:p>
        </w:tc>
        <w:tc>
          <w:tcPr>
            <w:tcW w:w="7574" w:type="dxa"/>
            <w:tcBorders>
              <w:top w:val="nil" w:sz="6" w:space="0" w:color="auto"/>
              <w:left w:val="single" w:sz="6" w:space="0" w:color="000000"/>
              <w:bottom w:val="nil" w:sz="6" w:space="0" w:color="auto"/>
              <w:right w:val="single" w:sz="6" w:space="0" w:color="000000"/>
            </w:tcBorders>
          </w:tcPr>
          <w:p>
            <w:pPr/>
          </w:p>
        </w:tc>
      </w:tr>
      <w:tr>
        <w:trPr>
          <w:trHeight w:val="235"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145" w:lineRule="exact"/>
              <w:ind w:left="3" w:right="0"/>
              <w:jc w:val="left"/>
              <w:rPr>
                <w:rFonts w:ascii="宋体" w:hAnsi="宋体" w:cs="宋体" w:eastAsia="宋体" w:hint="default"/>
                <w:sz w:val="15"/>
                <w:szCs w:val="15"/>
              </w:rPr>
            </w:pPr>
            <w:r>
              <w:rPr>
                <w:rFonts w:ascii="Times New Roman" w:hAnsi="Times New Roman" w:cs="Times New Roman" w:eastAsia="Times New Roman" w:hint="default"/>
                <w:spacing w:val="-1"/>
                <w:sz w:val="15"/>
                <w:szCs w:val="15"/>
              </w:rPr>
              <w:t>3</w:t>
            </w:r>
            <w:r>
              <w:rPr>
                <w:rFonts w:ascii="宋体" w:hAnsi="宋体" w:cs="宋体" w:eastAsia="宋体" w:hint="default"/>
                <w:spacing w:val="-1"/>
                <w:sz w:val="15"/>
                <w:szCs w:val="15"/>
              </w:rPr>
              <w:t>、空中圈存：采用公司独有数据加密技术，实现行业应用系统无线识别、验证和管理行业钱包的数据交互技术，解</w:t>
            </w:r>
          </w:p>
        </w:tc>
      </w:tr>
      <w:tr>
        <w:trPr>
          <w:trHeight w:val="327" w:hRule="exact"/>
        </w:trPr>
        <w:tc>
          <w:tcPr>
            <w:tcW w:w="560" w:type="dxa"/>
            <w:tcBorders>
              <w:top w:val="nil" w:sz="6" w:space="0" w:color="auto"/>
              <w:left w:val="single" w:sz="6" w:space="0" w:color="000000"/>
              <w:bottom w:val="single" w:sz="6" w:space="0" w:color="000000"/>
              <w:right w:val="single" w:sz="6" w:space="0" w:color="000000"/>
            </w:tcBorders>
          </w:tcPr>
          <w:p>
            <w:pPr/>
          </w:p>
        </w:tc>
        <w:tc>
          <w:tcPr>
            <w:tcW w:w="2028" w:type="dxa"/>
            <w:tcBorders>
              <w:top w:val="nil" w:sz="6" w:space="0" w:color="auto"/>
              <w:left w:val="single" w:sz="6" w:space="0" w:color="000000"/>
              <w:bottom w:val="single" w:sz="6" w:space="0" w:color="000000"/>
              <w:right w:val="single" w:sz="6" w:space="0" w:color="000000"/>
            </w:tcBorders>
          </w:tcPr>
          <w:p>
            <w:pPr/>
          </w:p>
        </w:tc>
        <w:tc>
          <w:tcPr>
            <w:tcW w:w="919" w:type="dxa"/>
            <w:tcBorders>
              <w:top w:val="nil" w:sz="6" w:space="0" w:color="auto"/>
              <w:left w:val="single" w:sz="6" w:space="0" w:color="000000"/>
              <w:bottom w:val="single" w:sz="6" w:space="0" w:color="000000"/>
              <w:right w:val="single" w:sz="6" w:space="0" w:color="000000"/>
            </w:tcBorders>
          </w:tcPr>
          <w:p>
            <w:pPr/>
          </w:p>
        </w:tc>
        <w:tc>
          <w:tcPr>
            <w:tcW w:w="1770" w:type="dxa"/>
            <w:tcBorders>
              <w:top w:val="nil" w:sz="6" w:space="0" w:color="auto"/>
              <w:left w:val="single" w:sz="6" w:space="0" w:color="000000"/>
              <w:bottom w:val="single" w:sz="6" w:space="0" w:color="000000"/>
              <w:right w:val="single" w:sz="6" w:space="0" w:color="000000"/>
            </w:tcBorders>
          </w:tcPr>
          <w:p>
            <w:pPr/>
          </w:p>
        </w:tc>
        <w:tc>
          <w:tcPr>
            <w:tcW w:w="1194" w:type="dxa"/>
            <w:tcBorders>
              <w:top w:val="nil" w:sz="6" w:space="0" w:color="auto"/>
              <w:left w:val="single" w:sz="6" w:space="0" w:color="000000"/>
              <w:bottom w:val="single" w:sz="6" w:space="0" w:color="000000"/>
              <w:right w:val="single" w:sz="6" w:space="0" w:color="000000"/>
            </w:tcBorders>
          </w:tcPr>
          <w:p>
            <w:pPr/>
          </w:p>
        </w:tc>
        <w:tc>
          <w:tcPr>
            <w:tcW w:w="757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4"/>
              <w:ind w:left="3" w:right="0"/>
              <w:jc w:val="left"/>
              <w:rPr>
                <w:rFonts w:ascii="宋体" w:hAnsi="宋体" w:cs="宋体" w:eastAsia="宋体" w:hint="default"/>
                <w:sz w:val="15"/>
                <w:szCs w:val="15"/>
              </w:rPr>
            </w:pPr>
            <w:r>
              <w:rPr>
                <w:rFonts w:ascii="宋体" w:hAnsi="宋体" w:cs="宋体" w:eastAsia="宋体" w:hint="default"/>
                <w:sz w:val="15"/>
                <w:szCs w:val="15"/>
              </w:rPr>
              <w:t>决用户必须到圈存机、领款机等特定设备上排除充值的问题。</w:t>
            </w:r>
          </w:p>
        </w:tc>
      </w:tr>
      <w:tr>
        <w:trPr>
          <w:trHeight w:val="333" w:hRule="exact"/>
        </w:trPr>
        <w:tc>
          <w:tcPr>
            <w:tcW w:w="560" w:type="dxa"/>
            <w:tcBorders>
              <w:top w:val="single" w:sz="6" w:space="0" w:color="000000"/>
              <w:left w:val="single" w:sz="6" w:space="0" w:color="000000"/>
              <w:bottom w:val="nil" w:sz="6" w:space="0" w:color="auto"/>
              <w:right w:val="single" w:sz="6" w:space="0" w:color="000000"/>
            </w:tcBorders>
          </w:tcPr>
          <w:p>
            <w:pPr/>
          </w:p>
        </w:tc>
        <w:tc>
          <w:tcPr>
            <w:tcW w:w="2028" w:type="dxa"/>
            <w:tcBorders>
              <w:top w:val="single" w:sz="6" w:space="0" w:color="000000"/>
              <w:left w:val="single" w:sz="6" w:space="0" w:color="000000"/>
              <w:bottom w:val="nil" w:sz="6" w:space="0" w:color="auto"/>
              <w:right w:val="single" w:sz="6" w:space="0" w:color="000000"/>
            </w:tcBorders>
          </w:tcPr>
          <w:p>
            <w:pPr/>
          </w:p>
        </w:tc>
        <w:tc>
          <w:tcPr>
            <w:tcW w:w="919" w:type="dxa"/>
            <w:tcBorders>
              <w:top w:val="single" w:sz="6" w:space="0" w:color="000000"/>
              <w:left w:val="single" w:sz="6" w:space="0" w:color="000000"/>
              <w:bottom w:val="nil" w:sz="6" w:space="0" w:color="auto"/>
              <w:right w:val="single" w:sz="6" w:space="0" w:color="000000"/>
            </w:tcBorders>
          </w:tcPr>
          <w:p>
            <w:pPr/>
          </w:p>
        </w:tc>
        <w:tc>
          <w:tcPr>
            <w:tcW w:w="1770" w:type="dxa"/>
            <w:tcBorders>
              <w:top w:val="single" w:sz="6" w:space="0" w:color="000000"/>
              <w:left w:val="single" w:sz="6" w:space="0" w:color="000000"/>
              <w:bottom w:val="nil" w:sz="6" w:space="0" w:color="auto"/>
              <w:right w:val="single" w:sz="6" w:space="0" w:color="000000"/>
            </w:tcBorders>
          </w:tcPr>
          <w:p>
            <w:pPr/>
          </w:p>
        </w:tc>
        <w:tc>
          <w:tcPr>
            <w:tcW w:w="1194" w:type="dxa"/>
            <w:tcBorders>
              <w:top w:val="single" w:sz="6" w:space="0" w:color="000000"/>
              <w:left w:val="single" w:sz="6" w:space="0" w:color="000000"/>
              <w:bottom w:val="nil" w:sz="6" w:space="0" w:color="auto"/>
              <w:right w:val="single" w:sz="6" w:space="0" w:color="000000"/>
            </w:tcBorders>
          </w:tcPr>
          <w:p>
            <w:pPr/>
          </w:p>
        </w:tc>
        <w:tc>
          <w:tcPr>
            <w:tcW w:w="757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8"/>
              <w:ind w:left="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、同时支持</w:t>
            </w:r>
            <w:r>
              <w:rPr>
                <w:rFonts w:ascii="Times New Roman" w:hAnsi="Times New Roman" w:cs="Times New Roman" w:eastAsia="Times New Roman" w:hint="default"/>
                <w:sz w:val="15"/>
                <w:szCs w:val="15"/>
              </w:rPr>
              <w:t>ISO14443</w:t>
            </w:r>
            <w:r>
              <w:rPr>
                <w:rFonts w:ascii="宋体" w:hAnsi="宋体" w:cs="宋体" w:eastAsia="宋体" w:hint="default"/>
                <w:sz w:val="15"/>
                <w:szCs w:val="15"/>
              </w:rPr>
              <w:t>规范、</w:t>
            </w:r>
            <w:r>
              <w:rPr>
                <w:rFonts w:ascii="Times New Roman" w:hAnsi="Times New Roman" w:cs="Times New Roman" w:eastAsia="Times New Roman" w:hint="default"/>
                <w:sz w:val="15"/>
                <w:szCs w:val="15"/>
              </w:rPr>
              <w:t>ISO7816</w:t>
            </w:r>
            <w:r>
              <w:rPr>
                <w:rFonts w:ascii="宋体" w:hAnsi="宋体" w:cs="宋体" w:eastAsia="宋体" w:hint="default"/>
                <w:sz w:val="15"/>
                <w:szCs w:val="15"/>
              </w:rPr>
              <w:t>规范、</w:t>
            </w:r>
            <w:r>
              <w:rPr>
                <w:rFonts w:ascii="Times New Roman" w:hAnsi="Times New Roman" w:cs="Times New Roman" w:eastAsia="Times New Roman" w:hint="default"/>
                <w:sz w:val="15"/>
                <w:szCs w:val="15"/>
              </w:rPr>
              <w:t>PBOC3.0</w:t>
            </w:r>
            <w:r>
              <w:rPr>
                <w:rFonts w:ascii="宋体" w:hAnsi="宋体" w:cs="宋体" w:eastAsia="宋体" w:hint="default"/>
                <w:sz w:val="15"/>
                <w:szCs w:val="15"/>
              </w:rPr>
              <w:t>和住建部规范，增加专用指令和从属指令，在保证智能卡交易</w:t>
            </w:r>
          </w:p>
        </w:tc>
      </w:tr>
      <w:tr>
        <w:trPr>
          <w:trHeight w:val="308"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left="3" w:right="-17"/>
              <w:jc w:val="left"/>
              <w:rPr>
                <w:rFonts w:ascii="宋体" w:hAnsi="宋体" w:cs="宋体" w:eastAsia="宋体" w:hint="default"/>
                <w:sz w:val="15"/>
                <w:szCs w:val="15"/>
              </w:rPr>
            </w:pPr>
            <w:r>
              <w:rPr>
                <w:rFonts w:ascii="宋体" w:hAnsi="宋体" w:cs="宋体" w:eastAsia="宋体" w:hint="default"/>
                <w:spacing w:val="17"/>
                <w:sz w:val="15"/>
                <w:szCs w:val="15"/>
              </w:rPr>
              <w:t>计划起止日期：</w:t>
            </w:r>
            <w:r>
              <w:rPr>
                <w:rFonts w:ascii="宋体" w:hAnsi="宋体" w:cs="宋体" w:eastAsia="宋体" w:hint="default"/>
                <w:spacing w:val="-55"/>
                <w:sz w:val="15"/>
                <w:szCs w:val="15"/>
              </w:rPr>
              <w:t> </w:t>
            </w:r>
            <w:r>
              <w:rPr>
                <w:rFonts w:ascii="宋体" w:hAnsi="宋体" w:cs="宋体" w:eastAsia="宋体" w:hint="default"/>
                <w:sz w:val="15"/>
                <w:szCs w:val="15"/>
              </w:rPr>
            </w: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left="3" w:right="0"/>
              <w:jc w:val="left"/>
              <w:rPr>
                <w:rFonts w:ascii="宋体" w:hAnsi="宋体" w:cs="宋体" w:eastAsia="宋体" w:hint="default"/>
                <w:sz w:val="15"/>
                <w:szCs w:val="15"/>
              </w:rPr>
            </w:pPr>
            <w:r>
              <w:rPr>
                <w:rFonts w:ascii="宋体" w:hAnsi="宋体" w:cs="宋体" w:eastAsia="宋体" w:hint="default"/>
                <w:sz w:val="15"/>
                <w:szCs w:val="15"/>
              </w:rPr>
              <w:t>完整性方面进行了重大创新；</w:t>
            </w:r>
          </w:p>
        </w:tc>
      </w:tr>
      <w:tr>
        <w:trPr>
          <w:trHeight w:val="316" w:hRule="exact"/>
        </w:trPr>
        <w:tc>
          <w:tcPr>
            <w:tcW w:w="560" w:type="dxa"/>
            <w:tcBorders>
              <w:top w:val="nil" w:sz="6" w:space="0" w:color="auto"/>
              <w:left w:val="single" w:sz="6" w:space="0" w:color="000000"/>
              <w:bottom w:val="nil" w:sz="6" w:space="0" w:color="auto"/>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5"/>
                <w:szCs w:val="15"/>
              </w:rPr>
            </w:pPr>
            <w:r>
              <w:rPr>
                <w:rFonts w:ascii="Times New Roman"/>
                <w:sz w:val="15"/>
              </w:rPr>
              <w:t>2</w:t>
            </w:r>
          </w:p>
        </w:tc>
        <w:tc>
          <w:tcPr>
            <w:tcW w:w="2028"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left="2" w:right="0"/>
              <w:jc w:val="left"/>
              <w:rPr>
                <w:rFonts w:ascii="宋体" w:hAnsi="宋体" w:cs="宋体" w:eastAsia="宋体" w:hint="default"/>
                <w:sz w:val="15"/>
                <w:szCs w:val="15"/>
              </w:rPr>
            </w:pPr>
            <w:r>
              <w:rPr>
                <w:rFonts w:ascii="宋体" w:hAnsi="宋体" w:cs="宋体" w:eastAsia="宋体" w:hint="default"/>
                <w:sz w:val="15"/>
                <w:szCs w:val="15"/>
              </w:rPr>
              <w:t>新开普智能卡</w:t>
            </w:r>
            <w:r>
              <w:rPr>
                <w:rFonts w:ascii="Times New Roman" w:hAnsi="Times New Roman" w:cs="Times New Roman" w:eastAsia="Times New Roman" w:hint="default"/>
                <w:sz w:val="15"/>
                <w:szCs w:val="15"/>
              </w:rPr>
              <w:t>COS</w:t>
            </w:r>
            <w:r>
              <w:rPr>
                <w:rFonts w:ascii="宋体" w:hAnsi="宋体" w:cs="宋体" w:eastAsia="宋体" w:hint="default"/>
                <w:sz w:val="15"/>
                <w:szCs w:val="15"/>
              </w:rPr>
              <w:t>系统</w:t>
            </w:r>
          </w:p>
        </w:tc>
        <w:tc>
          <w:tcPr>
            <w:tcW w:w="919"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left="2" w:right="0"/>
              <w:jc w:val="left"/>
              <w:rPr>
                <w:rFonts w:ascii="宋体" w:hAnsi="宋体" w:cs="宋体" w:eastAsia="宋体" w:hint="default"/>
                <w:sz w:val="15"/>
                <w:szCs w:val="15"/>
              </w:rPr>
            </w:pPr>
            <w:r>
              <w:rPr>
                <w:rFonts w:ascii="宋体" w:hAnsi="宋体" w:cs="宋体" w:eastAsia="宋体" w:hint="default"/>
                <w:sz w:val="15"/>
                <w:szCs w:val="15"/>
              </w:rPr>
              <w:t>小额支付</w:t>
            </w:r>
          </w:p>
        </w:tc>
        <w:tc>
          <w:tcPr>
            <w:tcW w:w="1770"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left="3" w:right="0"/>
              <w:jc w:val="left"/>
              <w:rPr>
                <w:rFonts w:ascii="宋体" w:hAnsi="宋体" w:cs="宋体" w:eastAsia="宋体" w:hint="default"/>
                <w:sz w:val="15"/>
                <w:szCs w:val="15"/>
              </w:rPr>
            </w:pPr>
            <w:r>
              <w:rPr>
                <w:rFonts w:ascii="宋体" w:hAnsi="宋体" w:cs="宋体" w:eastAsia="宋体" w:hint="default"/>
                <w:sz w:val="15"/>
                <w:szCs w:val="15"/>
              </w:rPr>
              <w:t>结项，已经开始销售</w:t>
            </w:r>
          </w:p>
        </w:tc>
        <w:tc>
          <w:tcPr>
            <w:tcW w:w="1194" w:type="dxa"/>
            <w:tcBorders>
              <w:top w:val="nil" w:sz="6" w:space="0" w:color="auto"/>
              <w:left w:val="single" w:sz="6" w:space="0" w:color="000000"/>
              <w:bottom w:val="nil" w:sz="6" w:space="0" w:color="auto"/>
              <w:right w:val="single" w:sz="6" w:space="0" w:color="000000"/>
            </w:tcBorders>
          </w:tcPr>
          <w:p>
            <w:pPr>
              <w:pStyle w:val="TableParagraph"/>
              <w:spacing w:line="240" w:lineRule="auto" w:before="52"/>
              <w:ind w:left="3" w:right="0"/>
              <w:jc w:val="left"/>
              <w:rPr>
                <w:rFonts w:ascii="Times New Roman" w:hAnsi="Times New Roman" w:cs="Times New Roman" w:eastAsia="Times New Roman" w:hint="default"/>
                <w:sz w:val="15"/>
                <w:szCs w:val="15"/>
              </w:rPr>
            </w:pPr>
            <w:r>
              <w:rPr>
                <w:rFonts w:ascii="Times New Roman"/>
                <w:sz w:val="15"/>
              </w:rPr>
              <w:t>2014/3/15-2015/5/</w:t>
            </w: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left="3" w:right="0"/>
              <w:jc w:val="left"/>
              <w:rPr>
                <w:rFonts w:ascii="宋体" w:hAnsi="宋体" w:cs="宋体" w:eastAsia="宋体" w:hint="default"/>
                <w:sz w:val="15"/>
                <w:szCs w:val="15"/>
              </w:rPr>
            </w:pPr>
            <w:r>
              <w:rPr>
                <w:rFonts w:ascii="Times New Roman" w:hAnsi="Times New Roman" w:cs="Times New Roman" w:eastAsia="Times New Roman" w:hint="default"/>
                <w:spacing w:val="-1"/>
                <w:sz w:val="15"/>
                <w:szCs w:val="15"/>
              </w:rPr>
              <w:t>2</w:t>
            </w:r>
            <w:r>
              <w:rPr>
                <w:rFonts w:ascii="宋体" w:hAnsi="宋体" w:cs="宋体" w:eastAsia="宋体" w:hint="default"/>
                <w:spacing w:val="-1"/>
                <w:sz w:val="15"/>
                <w:szCs w:val="15"/>
              </w:rPr>
              <w:t>、自主设计并实现了</w:t>
            </w:r>
            <w:r>
              <w:rPr>
                <w:rFonts w:ascii="Times New Roman" w:hAnsi="Times New Roman" w:cs="Times New Roman" w:eastAsia="Times New Roman" w:hint="default"/>
                <w:spacing w:val="-1"/>
                <w:sz w:val="15"/>
                <w:szCs w:val="15"/>
              </w:rPr>
              <w:t>CPU</w:t>
            </w:r>
            <w:r>
              <w:rPr>
                <w:rFonts w:ascii="宋体" w:hAnsi="宋体" w:cs="宋体" w:eastAsia="宋体" w:hint="default"/>
                <w:spacing w:val="-1"/>
                <w:sz w:val="15"/>
                <w:szCs w:val="15"/>
              </w:rPr>
              <w:t>卡的传输管理、文件管理、安全体系和命令解释等功能模块，结合不同类型的应用系统的</w:t>
            </w:r>
          </w:p>
        </w:tc>
      </w:tr>
      <w:tr>
        <w:trPr>
          <w:trHeight w:val="312"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Style w:val="TableParagraph"/>
              <w:spacing w:line="240" w:lineRule="auto" w:before="48"/>
              <w:ind w:left="3" w:right="0"/>
              <w:jc w:val="left"/>
              <w:rPr>
                <w:rFonts w:ascii="Times New Roman" w:hAnsi="Times New Roman" w:cs="Times New Roman" w:eastAsia="Times New Roman" w:hint="default"/>
                <w:sz w:val="15"/>
                <w:szCs w:val="15"/>
              </w:rPr>
            </w:pPr>
            <w:r>
              <w:rPr>
                <w:rFonts w:ascii="Times New Roman"/>
                <w:sz w:val="15"/>
              </w:rPr>
              <w:t>25</w:t>
            </w: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left="3" w:right="0"/>
              <w:jc w:val="left"/>
              <w:rPr>
                <w:rFonts w:ascii="宋体" w:hAnsi="宋体" w:cs="宋体" w:eastAsia="宋体" w:hint="default"/>
                <w:sz w:val="15"/>
                <w:szCs w:val="15"/>
              </w:rPr>
            </w:pPr>
            <w:r>
              <w:rPr>
                <w:rFonts w:ascii="宋体" w:hAnsi="宋体" w:cs="宋体" w:eastAsia="宋体" w:hint="default"/>
                <w:sz w:val="15"/>
                <w:szCs w:val="15"/>
              </w:rPr>
              <w:t>特点，实现了将业务指令融合到</w:t>
            </w:r>
            <w:r>
              <w:rPr>
                <w:rFonts w:ascii="Times New Roman" w:hAnsi="Times New Roman" w:cs="Times New Roman" w:eastAsia="Times New Roman" w:hint="default"/>
                <w:sz w:val="15"/>
                <w:szCs w:val="15"/>
              </w:rPr>
              <w:t>PBOC</w:t>
            </w:r>
            <w:r>
              <w:rPr>
                <w:rFonts w:ascii="宋体" w:hAnsi="宋体" w:cs="宋体" w:eastAsia="宋体" w:hint="default"/>
                <w:sz w:val="15"/>
                <w:szCs w:val="15"/>
              </w:rPr>
              <w:t>交易指令的创新，提升了交易和业务处理速度；</w:t>
            </w:r>
          </w:p>
        </w:tc>
      </w:tr>
      <w:tr>
        <w:trPr>
          <w:trHeight w:val="326" w:hRule="exact"/>
        </w:trPr>
        <w:tc>
          <w:tcPr>
            <w:tcW w:w="560" w:type="dxa"/>
            <w:tcBorders>
              <w:top w:val="nil" w:sz="6" w:space="0" w:color="auto"/>
              <w:left w:val="single" w:sz="6" w:space="0" w:color="000000"/>
              <w:bottom w:val="single" w:sz="6" w:space="0" w:color="000000"/>
              <w:right w:val="single" w:sz="6" w:space="0" w:color="000000"/>
            </w:tcBorders>
          </w:tcPr>
          <w:p>
            <w:pPr/>
          </w:p>
        </w:tc>
        <w:tc>
          <w:tcPr>
            <w:tcW w:w="2028" w:type="dxa"/>
            <w:tcBorders>
              <w:top w:val="nil" w:sz="6" w:space="0" w:color="auto"/>
              <w:left w:val="single" w:sz="6" w:space="0" w:color="000000"/>
              <w:bottom w:val="single" w:sz="6" w:space="0" w:color="000000"/>
              <w:right w:val="single" w:sz="6" w:space="0" w:color="000000"/>
            </w:tcBorders>
          </w:tcPr>
          <w:p>
            <w:pPr/>
          </w:p>
        </w:tc>
        <w:tc>
          <w:tcPr>
            <w:tcW w:w="919" w:type="dxa"/>
            <w:tcBorders>
              <w:top w:val="nil" w:sz="6" w:space="0" w:color="auto"/>
              <w:left w:val="single" w:sz="6" w:space="0" w:color="000000"/>
              <w:bottom w:val="single" w:sz="6" w:space="0" w:color="000000"/>
              <w:right w:val="single" w:sz="6" w:space="0" w:color="000000"/>
            </w:tcBorders>
          </w:tcPr>
          <w:p>
            <w:pPr/>
          </w:p>
        </w:tc>
        <w:tc>
          <w:tcPr>
            <w:tcW w:w="1770" w:type="dxa"/>
            <w:tcBorders>
              <w:top w:val="nil" w:sz="6" w:space="0" w:color="auto"/>
              <w:left w:val="single" w:sz="6" w:space="0" w:color="000000"/>
              <w:bottom w:val="single" w:sz="6" w:space="0" w:color="000000"/>
              <w:right w:val="single" w:sz="6" w:space="0" w:color="000000"/>
            </w:tcBorders>
          </w:tcPr>
          <w:p>
            <w:pPr/>
          </w:p>
        </w:tc>
        <w:tc>
          <w:tcPr>
            <w:tcW w:w="1194" w:type="dxa"/>
            <w:tcBorders>
              <w:top w:val="nil" w:sz="6" w:space="0" w:color="auto"/>
              <w:left w:val="single" w:sz="6" w:space="0" w:color="000000"/>
              <w:bottom w:val="single" w:sz="6" w:space="0" w:color="000000"/>
              <w:right w:val="single" w:sz="6" w:space="0" w:color="000000"/>
            </w:tcBorders>
          </w:tcPr>
          <w:p>
            <w:pPr/>
          </w:p>
        </w:tc>
        <w:tc>
          <w:tcPr>
            <w:tcW w:w="757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4"/>
              <w:ind w:left="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、支持国产密码算法</w:t>
            </w:r>
            <w:r>
              <w:rPr>
                <w:rFonts w:ascii="Times New Roman" w:hAnsi="Times New Roman" w:cs="Times New Roman" w:eastAsia="Times New Roman" w:hint="default"/>
                <w:sz w:val="15"/>
                <w:szCs w:val="15"/>
              </w:rPr>
              <w:t>SM1</w:t>
            </w:r>
            <w:r>
              <w:rPr>
                <w:rFonts w:ascii="宋体" w:hAnsi="宋体" w:cs="宋体" w:eastAsia="宋体" w:hint="default"/>
                <w:sz w:val="15"/>
                <w:szCs w:val="15"/>
              </w:rPr>
              <w:t>、</w:t>
            </w:r>
            <w:r>
              <w:rPr>
                <w:rFonts w:ascii="Times New Roman" w:hAnsi="Times New Roman" w:cs="Times New Roman" w:eastAsia="Times New Roman" w:hint="default"/>
                <w:sz w:val="15"/>
                <w:szCs w:val="15"/>
              </w:rPr>
              <w:t>SM2</w:t>
            </w:r>
            <w:r>
              <w:rPr>
                <w:rFonts w:ascii="宋体" w:hAnsi="宋体" w:cs="宋体" w:eastAsia="宋体" w:hint="default"/>
                <w:sz w:val="15"/>
                <w:szCs w:val="15"/>
              </w:rPr>
              <w:t>、</w:t>
            </w:r>
            <w:r>
              <w:rPr>
                <w:rFonts w:ascii="Times New Roman" w:hAnsi="Times New Roman" w:cs="Times New Roman" w:eastAsia="Times New Roman" w:hint="default"/>
                <w:sz w:val="15"/>
                <w:szCs w:val="15"/>
              </w:rPr>
              <w:t>SM3</w:t>
            </w:r>
            <w:r>
              <w:rPr>
                <w:rFonts w:ascii="宋体" w:hAnsi="宋体" w:cs="宋体" w:eastAsia="宋体" w:hint="default"/>
                <w:sz w:val="15"/>
                <w:szCs w:val="15"/>
              </w:rPr>
              <w:t>、</w:t>
            </w:r>
            <w:r>
              <w:rPr>
                <w:rFonts w:ascii="Times New Roman" w:hAnsi="Times New Roman" w:cs="Times New Roman" w:eastAsia="Times New Roman" w:hint="default"/>
                <w:sz w:val="15"/>
                <w:szCs w:val="15"/>
              </w:rPr>
              <w:t>SM4</w:t>
            </w:r>
            <w:r>
              <w:rPr>
                <w:rFonts w:ascii="宋体" w:hAnsi="宋体" w:cs="宋体" w:eastAsia="宋体" w:hint="default"/>
                <w:sz w:val="15"/>
                <w:szCs w:val="15"/>
              </w:rPr>
              <w:t>、</w:t>
            </w:r>
            <w:r>
              <w:rPr>
                <w:rFonts w:ascii="Times New Roman" w:hAnsi="Times New Roman" w:cs="Times New Roman" w:eastAsia="Times New Roman" w:hint="default"/>
                <w:sz w:val="15"/>
                <w:szCs w:val="15"/>
              </w:rPr>
              <w:t>SM7</w:t>
            </w:r>
            <w:r>
              <w:rPr>
                <w:rFonts w:ascii="宋体" w:hAnsi="宋体" w:cs="宋体" w:eastAsia="宋体" w:hint="default"/>
                <w:sz w:val="15"/>
                <w:szCs w:val="15"/>
              </w:rPr>
              <w:t>等，是国内最先支持多种国密算法的智能卡系统。</w:t>
            </w:r>
          </w:p>
        </w:tc>
      </w:tr>
      <w:tr>
        <w:trPr>
          <w:trHeight w:val="333" w:hRule="exact"/>
        </w:trPr>
        <w:tc>
          <w:tcPr>
            <w:tcW w:w="560" w:type="dxa"/>
            <w:tcBorders>
              <w:top w:val="single" w:sz="6" w:space="0" w:color="000000"/>
              <w:left w:val="single" w:sz="6" w:space="0" w:color="000000"/>
              <w:bottom w:val="nil" w:sz="6" w:space="0" w:color="auto"/>
              <w:right w:val="single" w:sz="6" w:space="0" w:color="000000"/>
            </w:tcBorders>
          </w:tcPr>
          <w:p>
            <w:pPr/>
          </w:p>
        </w:tc>
        <w:tc>
          <w:tcPr>
            <w:tcW w:w="2028" w:type="dxa"/>
            <w:tcBorders>
              <w:top w:val="single" w:sz="6" w:space="0" w:color="000000"/>
              <w:left w:val="single" w:sz="6" w:space="0" w:color="000000"/>
              <w:bottom w:val="nil" w:sz="6" w:space="0" w:color="auto"/>
              <w:right w:val="single" w:sz="6" w:space="0" w:color="000000"/>
            </w:tcBorders>
          </w:tcPr>
          <w:p>
            <w:pPr/>
          </w:p>
        </w:tc>
        <w:tc>
          <w:tcPr>
            <w:tcW w:w="919" w:type="dxa"/>
            <w:tcBorders>
              <w:top w:val="single" w:sz="6" w:space="0" w:color="000000"/>
              <w:left w:val="single" w:sz="6" w:space="0" w:color="000000"/>
              <w:bottom w:val="nil" w:sz="6" w:space="0" w:color="auto"/>
              <w:right w:val="single" w:sz="6" w:space="0" w:color="000000"/>
            </w:tcBorders>
          </w:tcPr>
          <w:p>
            <w:pPr/>
          </w:p>
        </w:tc>
        <w:tc>
          <w:tcPr>
            <w:tcW w:w="1770" w:type="dxa"/>
            <w:tcBorders>
              <w:top w:val="single" w:sz="6" w:space="0" w:color="000000"/>
              <w:left w:val="single" w:sz="6" w:space="0" w:color="000000"/>
              <w:bottom w:val="nil" w:sz="6" w:space="0" w:color="auto"/>
              <w:right w:val="single" w:sz="6" w:space="0" w:color="000000"/>
            </w:tcBorders>
          </w:tcPr>
          <w:p>
            <w:pPr/>
          </w:p>
        </w:tc>
        <w:tc>
          <w:tcPr>
            <w:tcW w:w="1194" w:type="dxa"/>
            <w:tcBorders>
              <w:top w:val="single" w:sz="6" w:space="0" w:color="000000"/>
              <w:left w:val="single" w:sz="6" w:space="0" w:color="000000"/>
              <w:bottom w:val="nil" w:sz="6" w:space="0" w:color="auto"/>
              <w:right w:val="single" w:sz="6" w:space="0" w:color="000000"/>
            </w:tcBorders>
          </w:tcPr>
          <w:p>
            <w:pPr/>
          </w:p>
        </w:tc>
        <w:tc>
          <w:tcPr>
            <w:tcW w:w="757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8"/>
              <w:ind w:left="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、国内首创、独立自主版权的调制解调算法，与国内电网环境进行无缝对接；</w:t>
            </w:r>
          </w:p>
        </w:tc>
      </w:tr>
      <w:tr>
        <w:trPr>
          <w:trHeight w:val="312"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left="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、采用高效超窄带调制技术，支持多频点通信，频点低至</w:t>
            </w:r>
            <w:r>
              <w:rPr>
                <w:rFonts w:ascii="Times New Roman" w:hAnsi="Times New Roman" w:cs="Times New Roman" w:eastAsia="Times New Roman" w:hint="default"/>
                <w:sz w:val="15"/>
                <w:szCs w:val="15"/>
              </w:rPr>
              <w:t>12kHZ</w:t>
            </w:r>
            <w:r>
              <w:rPr>
                <w:rFonts w:ascii="宋体" w:hAnsi="宋体" w:cs="宋体" w:eastAsia="宋体" w:hint="default"/>
                <w:sz w:val="15"/>
                <w:szCs w:val="15"/>
              </w:rPr>
              <w:t>，抗衰减能力强，点对点通信能力强，通信距离是</w:t>
            </w:r>
          </w:p>
        </w:tc>
      </w:tr>
      <w:tr>
        <w:trPr>
          <w:trHeight w:val="234"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left="3" w:right="0"/>
              <w:jc w:val="left"/>
              <w:rPr>
                <w:rFonts w:ascii="宋体" w:hAnsi="宋体" w:cs="宋体" w:eastAsia="宋体" w:hint="default"/>
                <w:sz w:val="15"/>
                <w:szCs w:val="15"/>
              </w:rPr>
            </w:pPr>
            <w:r>
              <w:rPr>
                <w:rFonts w:ascii="宋体" w:hAnsi="宋体" w:cs="宋体" w:eastAsia="宋体" w:hint="default"/>
                <w:sz w:val="15"/>
                <w:szCs w:val="15"/>
              </w:rPr>
              <w:t>其他同类载波产品的</w:t>
            </w:r>
            <w:r>
              <w:rPr>
                <w:rFonts w:ascii="Times New Roman" w:hAnsi="Times New Roman" w:cs="Times New Roman" w:eastAsia="Times New Roman" w:hint="default"/>
                <w:sz w:val="15"/>
                <w:szCs w:val="15"/>
              </w:rPr>
              <w:t>2~3</w:t>
            </w:r>
            <w:r>
              <w:rPr>
                <w:rFonts w:ascii="宋体" w:hAnsi="宋体" w:cs="宋体" w:eastAsia="宋体" w:hint="default"/>
                <w:sz w:val="15"/>
                <w:szCs w:val="15"/>
              </w:rPr>
              <w:t>倍；</w:t>
            </w:r>
          </w:p>
        </w:tc>
      </w:tr>
      <w:tr>
        <w:trPr>
          <w:trHeight w:val="152"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Style w:val="TableParagraph"/>
              <w:spacing w:line="133" w:lineRule="exact"/>
              <w:ind w:left="3" w:right="-17"/>
              <w:jc w:val="left"/>
              <w:rPr>
                <w:rFonts w:ascii="宋体" w:hAnsi="宋体" w:cs="宋体" w:eastAsia="宋体" w:hint="default"/>
                <w:sz w:val="15"/>
                <w:szCs w:val="15"/>
              </w:rPr>
            </w:pPr>
            <w:r>
              <w:rPr>
                <w:rFonts w:ascii="宋体" w:hAnsi="宋体" w:cs="宋体" w:eastAsia="宋体" w:hint="default"/>
                <w:spacing w:val="17"/>
                <w:sz w:val="15"/>
                <w:szCs w:val="15"/>
              </w:rPr>
              <w:t>计划起止日期：</w:t>
            </w:r>
            <w:r>
              <w:rPr>
                <w:rFonts w:ascii="宋体" w:hAnsi="宋体" w:cs="宋体" w:eastAsia="宋体" w:hint="default"/>
                <w:spacing w:val="-55"/>
                <w:sz w:val="15"/>
                <w:szCs w:val="15"/>
              </w:rPr>
              <w:t> </w:t>
            </w:r>
            <w:r>
              <w:rPr>
                <w:rFonts w:ascii="宋体" w:hAnsi="宋体" w:cs="宋体" w:eastAsia="宋体" w:hint="default"/>
                <w:sz w:val="15"/>
                <w:szCs w:val="15"/>
              </w:rPr>
            </w:r>
          </w:p>
        </w:tc>
        <w:tc>
          <w:tcPr>
            <w:tcW w:w="7574" w:type="dxa"/>
            <w:tcBorders>
              <w:top w:val="nil" w:sz="6" w:space="0" w:color="auto"/>
              <w:left w:val="single" w:sz="6" w:space="0" w:color="000000"/>
              <w:bottom w:val="nil" w:sz="6" w:space="0" w:color="auto"/>
              <w:right w:val="single" w:sz="6" w:space="0" w:color="000000"/>
            </w:tcBorders>
          </w:tcPr>
          <w:p>
            <w:pPr/>
          </w:p>
        </w:tc>
      </w:tr>
      <w:tr>
        <w:trPr>
          <w:trHeight w:val="160"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148" w:lineRule="exact"/>
              <w:ind w:left="3" w:right="0"/>
              <w:jc w:val="left"/>
              <w:rPr>
                <w:rFonts w:ascii="宋体" w:hAnsi="宋体" w:cs="宋体" w:eastAsia="宋体" w:hint="default"/>
                <w:sz w:val="15"/>
                <w:szCs w:val="15"/>
              </w:rPr>
            </w:pPr>
            <w:r>
              <w:rPr>
                <w:rFonts w:ascii="Times New Roman" w:hAnsi="Times New Roman" w:cs="Times New Roman" w:eastAsia="Times New Roman" w:hint="default"/>
                <w:spacing w:val="-1"/>
                <w:sz w:val="15"/>
                <w:szCs w:val="15"/>
              </w:rPr>
              <w:t>3</w:t>
            </w:r>
            <w:r>
              <w:rPr>
                <w:rFonts w:ascii="宋体" w:hAnsi="宋体" w:cs="宋体" w:eastAsia="宋体" w:hint="default"/>
                <w:spacing w:val="-1"/>
                <w:sz w:val="15"/>
                <w:szCs w:val="15"/>
              </w:rPr>
              <w:t>、洪泛式自动组网模式，无需配置路由信息，上电即可直接工作，各节点间自行完成组网，使通信数据如洪流般覆</w:t>
            </w:r>
          </w:p>
        </w:tc>
      </w:tr>
      <w:tr>
        <w:trPr>
          <w:trHeight w:val="156" w:hRule="exact"/>
        </w:trPr>
        <w:tc>
          <w:tcPr>
            <w:tcW w:w="560" w:type="dxa"/>
            <w:tcBorders>
              <w:top w:val="nil" w:sz="6" w:space="0" w:color="auto"/>
              <w:left w:val="single" w:sz="6" w:space="0" w:color="000000"/>
              <w:bottom w:val="nil" w:sz="6" w:space="0" w:color="auto"/>
              <w:right w:val="single" w:sz="6" w:space="0" w:color="000000"/>
            </w:tcBorders>
          </w:tcPr>
          <w:p>
            <w:pPr>
              <w:pStyle w:val="TableParagraph"/>
              <w:spacing w:line="143" w:lineRule="exact"/>
              <w:ind w:right="0"/>
              <w:jc w:val="center"/>
              <w:rPr>
                <w:rFonts w:ascii="Times New Roman" w:hAnsi="Times New Roman" w:cs="Times New Roman" w:eastAsia="Times New Roman" w:hint="default"/>
                <w:sz w:val="15"/>
                <w:szCs w:val="15"/>
              </w:rPr>
            </w:pPr>
            <w:r>
              <w:rPr>
                <w:rFonts w:ascii="Times New Roman"/>
                <w:sz w:val="15"/>
              </w:rPr>
              <w:t>3</w:t>
            </w:r>
          </w:p>
        </w:tc>
        <w:tc>
          <w:tcPr>
            <w:tcW w:w="2028" w:type="dxa"/>
            <w:tcBorders>
              <w:top w:val="nil" w:sz="6" w:space="0" w:color="auto"/>
              <w:left w:val="single" w:sz="6" w:space="0" w:color="000000"/>
              <w:bottom w:val="nil" w:sz="6" w:space="0" w:color="auto"/>
              <w:right w:val="single" w:sz="6" w:space="0" w:color="000000"/>
            </w:tcBorders>
          </w:tcPr>
          <w:p>
            <w:pPr>
              <w:pStyle w:val="TableParagraph"/>
              <w:spacing w:line="144" w:lineRule="exact"/>
              <w:ind w:left="2" w:right="0"/>
              <w:jc w:val="left"/>
              <w:rPr>
                <w:rFonts w:ascii="宋体" w:hAnsi="宋体" w:cs="宋体" w:eastAsia="宋体" w:hint="default"/>
                <w:sz w:val="15"/>
                <w:szCs w:val="15"/>
              </w:rPr>
            </w:pPr>
            <w:r>
              <w:rPr>
                <w:rFonts w:ascii="宋体" w:hAnsi="宋体" w:cs="宋体" w:eastAsia="宋体" w:hint="default"/>
                <w:sz w:val="15"/>
                <w:szCs w:val="15"/>
              </w:rPr>
              <w:t>电力线载波</w:t>
            </w:r>
            <w:r>
              <w:rPr>
                <w:rFonts w:ascii="Times New Roman" w:hAnsi="Times New Roman" w:cs="Times New Roman" w:eastAsia="Times New Roman" w:hint="default"/>
                <w:sz w:val="15"/>
                <w:szCs w:val="15"/>
              </w:rPr>
              <w:t>SOC</w:t>
            </w:r>
            <w:r>
              <w:rPr>
                <w:rFonts w:ascii="宋体" w:hAnsi="宋体" w:cs="宋体" w:eastAsia="宋体" w:hint="default"/>
                <w:sz w:val="15"/>
                <w:szCs w:val="15"/>
              </w:rPr>
              <w:t>系统</w:t>
            </w:r>
          </w:p>
        </w:tc>
        <w:tc>
          <w:tcPr>
            <w:tcW w:w="919" w:type="dxa"/>
            <w:tcBorders>
              <w:top w:val="nil" w:sz="6" w:space="0" w:color="auto"/>
              <w:left w:val="single" w:sz="6" w:space="0" w:color="000000"/>
              <w:bottom w:val="nil" w:sz="6" w:space="0" w:color="auto"/>
              <w:right w:val="single" w:sz="6" w:space="0" w:color="000000"/>
            </w:tcBorders>
          </w:tcPr>
          <w:p>
            <w:pPr>
              <w:pStyle w:val="TableParagraph"/>
              <w:spacing w:line="133" w:lineRule="exact"/>
              <w:ind w:left="2" w:right="0"/>
              <w:jc w:val="left"/>
              <w:rPr>
                <w:rFonts w:ascii="宋体" w:hAnsi="宋体" w:cs="宋体" w:eastAsia="宋体" w:hint="default"/>
                <w:sz w:val="15"/>
                <w:szCs w:val="15"/>
              </w:rPr>
            </w:pPr>
            <w:r>
              <w:rPr>
                <w:rFonts w:ascii="宋体" w:hAnsi="宋体" w:cs="宋体" w:eastAsia="宋体" w:hint="default"/>
                <w:sz w:val="15"/>
                <w:szCs w:val="15"/>
              </w:rPr>
              <w:t>电力集成</w:t>
            </w:r>
          </w:p>
        </w:tc>
        <w:tc>
          <w:tcPr>
            <w:tcW w:w="1770" w:type="dxa"/>
            <w:tcBorders>
              <w:top w:val="nil" w:sz="6" w:space="0" w:color="auto"/>
              <w:left w:val="single" w:sz="6" w:space="0" w:color="000000"/>
              <w:bottom w:val="nil" w:sz="6" w:space="0" w:color="auto"/>
              <w:right w:val="single" w:sz="6" w:space="0" w:color="000000"/>
            </w:tcBorders>
          </w:tcPr>
          <w:p>
            <w:pPr>
              <w:pStyle w:val="TableParagraph"/>
              <w:spacing w:line="133" w:lineRule="exact"/>
              <w:ind w:left="3" w:right="0"/>
              <w:jc w:val="left"/>
              <w:rPr>
                <w:rFonts w:ascii="宋体" w:hAnsi="宋体" w:cs="宋体" w:eastAsia="宋体" w:hint="default"/>
                <w:sz w:val="15"/>
                <w:szCs w:val="15"/>
              </w:rPr>
            </w:pPr>
            <w:r>
              <w:rPr>
                <w:rFonts w:ascii="宋体" w:hAnsi="宋体" w:cs="宋体" w:eastAsia="宋体" w:hint="default"/>
                <w:sz w:val="15"/>
                <w:szCs w:val="15"/>
              </w:rPr>
              <w:t>结项，已经开始销售</w:t>
            </w:r>
          </w:p>
        </w:tc>
        <w:tc>
          <w:tcPr>
            <w:tcW w:w="1194" w:type="dxa"/>
            <w:tcBorders>
              <w:top w:val="nil" w:sz="6" w:space="0" w:color="auto"/>
              <w:left w:val="single" w:sz="6" w:space="0" w:color="000000"/>
              <w:bottom w:val="nil" w:sz="6" w:space="0" w:color="auto"/>
              <w:right w:val="single" w:sz="6" w:space="0" w:color="000000"/>
            </w:tcBorders>
          </w:tcPr>
          <w:p>
            <w:pPr>
              <w:pStyle w:val="TableParagraph"/>
              <w:spacing w:line="143" w:lineRule="exact"/>
              <w:ind w:left="3" w:right="0"/>
              <w:jc w:val="left"/>
              <w:rPr>
                <w:rFonts w:ascii="Times New Roman" w:hAnsi="Times New Roman" w:cs="Times New Roman" w:eastAsia="Times New Roman" w:hint="default"/>
                <w:sz w:val="15"/>
                <w:szCs w:val="15"/>
              </w:rPr>
            </w:pPr>
            <w:r>
              <w:rPr>
                <w:rFonts w:ascii="Times New Roman"/>
                <w:sz w:val="15"/>
              </w:rPr>
              <w:t>2014/3/15-2015/6/</w:t>
            </w:r>
          </w:p>
        </w:tc>
        <w:tc>
          <w:tcPr>
            <w:tcW w:w="7574" w:type="dxa"/>
            <w:tcBorders>
              <w:top w:val="nil" w:sz="6" w:space="0" w:color="auto"/>
              <w:left w:val="single" w:sz="6" w:space="0" w:color="000000"/>
              <w:bottom w:val="nil" w:sz="6" w:space="0" w:color="auto"/>
              <w:right w:val="single" w:sz="6" w:space="0" w:color="000000"/>
            </w:tcBorders>
          </w:tcPr>
          <w:p>
            <w:pPr/>
          </w:p>
        </w:tc>
      </w:tr>
      <w:tr>
        <w:trPr>
          <w:trHeight w:val="155"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133" w:lineRule="exact"/>
              <w:ind w:left="3" w:right="0"/>
              <w:jc w:val="left"/>
              <w:rPr>
                <w:rFonts w:ascii="宋体" w:hAnsi="宋体" w:cs="宋体" w:eastAsia="宋体" w:hint="default"/>
                <w:sz w:val="15"/>
                <w:szCs w:val="15"/>
              </w:rPr>
            </w:pPr>
            <w:r>
              <w:rPr>
                <w:rFonts w:ascii="宋体" w:hAnsi="宋体" w:cs="宋体" w:eastAsia="宋体" w:hint="default"/>
                <w:sz w:val="15"/>
                <w:szCs w:val="15"/>
              </w:rPr>
              <w:t>盖整个网络，吞吐能力强，安装施工方便，零调试；</w:t>
            </w:r>
          </w:p>
        </w:tc>
      </w:tr>
      <w:tr>
        <w:trPr>
          <w:trHeight w:val="156"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Style w:val="TableParagraph"/>
              <w:spacing w:line="143" w:lineRule="exact"/>
              <w:ind w:left="3" w:right="0"/>
              <w:jc w:val="left"/>
              <w:rPr>
                <w:rFonts w:ascii="Times New Roman" w:hAnsi="Times New Roman" w:cs="Times New Roman" w:eastAsia="Times New Roman" w:hint="default"/>
                <w:sz w:val="15"/>
                <w:szCs w:val="15"/>
              </w:rPr>
            </w:pPr>
            <w:r>
              <w:rPr>
                <w:rFonts w:ascii="Times New Roman"/>
                <w:sz w:val="15"/>
              </w:rPr>
              <w:t>15</w:t>
            </w:r>
          </w:p>
        </w:tc>
        <w:tc>
          <w:tcPr>
            <w:tcW w:w="7574" w:type="dxa"/>
            <w:tcBorders>
              <w:top w:val="nil" w:sz="6" w:space="0" w:color="auto"/>
              <w:left w:val="single" w:sz="6" w:space="0" w:color="000000"/>
              <w:bottom w:val="nil" w:sz="6" w:space="0" w:color="auto"/>
              <w:right w:val="single" w:sz="6" w:space="0" w:color="000000"/>
            </w:tcBorders>
          </w:tcPr>
          <w:p>
            <w:pPr/>
          </w:p>
        </w:tc>
      </w:tr>
      <w:tr>
        <w:trPr>
          <w:trHeight w:val="235"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145" w:lineRule="exact"/>
              <w:ind w:left="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、独有的自适应的信道抗干扰技术，根据环境噪声动态调整接收灵敏度，获取最佳接收效果，提高通信成功率；</w:t>
            </w:r>
          </w:p>
        </w:tc>
      </w:tr>
      <w:tr>
        <w:trPr>
          <w:trHeight w:val="312"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left="3" w:right="0"/>
              <w:jc w:val="left"/>
              <w:rPr>
                <w:rFonts w:ascii="宋体" w:hAnsi="宋体" w:cs="宋体" w:eastAsia="宋体" w:hint="default"/>
                <w:sz w:val="15"/>
                <w:szCs w:val="15"/>
              </w:rPr>
            </w:pPr>
            <w:r>
              <w:rPr>
                <w:rFonts w:ascii="Times New Roman" w:hAnsi="Times New Roman" w:cs="Times New Roman" w:eastAsia="Times New Roman" w:hint="default"/>
                <w:spacing w:val="-1"/>
                <w:sz w:val="15"/>
                <w:szCs w:val="15"/>
              </w:rPr>
              <w:t>5</w:t>
            </w:r>
            <w:r>
              <w:rPr>
                <w:rFonts w:ascii="宋体" w:hAnsi="宋体" w:cs="宋体" w:eastAsia="宋体" w:hint="default"/>
                <w:spacing w:val="-1"/>
                <w:sz w:val="15"/>
                <w:szCs w:val="15"/>
              </w:rPr>
              <w:t>、特有的消息驱动的系统框架，提供高效、统一的编程模型与接口，模块化设计，保证系统通信的可靠性和可扩展</w:t>
            </w:r>
          </w:p>
        </w:tc>
      </w:tr>
      <w:tr>
        <w:trPr>
          <w:trHeight w:val="326" w:hRule="exact"/>
        </w:trPr>
        <w:tc>
          <w:tcPr>
            <w:tcW w:w="560" w:type="dxa"/>
            <w:tcBorders>
              <w:top w:val="nil" w:sz="6" w:space="0" w:color="auto"/>
              <w:left w:val="single" w:sz="6" w:space="0" w:color="000000"/>
              <w:bottom w:val="single" w:sz="6" w:space="0" w:color="000000"/>
              <w:right w:val="single" w:sz="6" w:space="0" w:color="000000"/>
            </w:tcBorders>
          </w:tcPr>
          <w:p>
            <w:pPr/>
          </w:p>
        </w:tc>
        <w:tc>
          <w:tcPr>
            <w:tcW w:w="2028" w:type="dxa"/>
            <w:tcBorders>
              <w:top w:val="nil" w:sz="6" w:space="0" w:color="auto"/>
              <w:left w:val="single" w:sz="6" w:space="0" w:color="000000"/>
              <w:bottom w:val="single" w:sz="6" w:space="0" w:color="000000"/>
              <w:right w:val="single" w:sz="6" w:space="0" w:color="000000"/>
            </w:tcBorders>
          </w:tcPr>
          <w:p>
            <w:pPr/>
          </w:p>
        </w:tc>
        <w:tc>
          <w:tcPr>
            <w:tcW w:w="919" w:type="dxa"/>
            <w:tcBorders>
              <w:top w:val="nil" w:sz="6" w:space="0" w:color="auto"/>
              <w:left w:val="single" w:sz="6" w:space="0" w:color="000000"/>
              <w:bottom w:val="single" w:sz="6" w:space="0" w:color="000000"/>
              <w:right w:val="single" w:sz="6" w:space="0" w:color="000000"/>
            </w:tcBorders>
          </w:tcPr>
          <w:p>
            <w:pPr/>
          </w:p>
        </w:tc>
        <w:tc>
          <w:tcPr>
            <w:tcW w:w="1770" w:type="dxa"/>
            <w:tcBorders>
              <w:top w:val="nil" w:sz="6" w:space="0" w:color="auto"/>
              <w:left w:val="single" w:sz="6" w:space="0" w:color="000000"/>
              <w:bottom w:val="single" w:sz="6" w:space="0" w:color="000000"/>
              <w:right w:val="single" w:sz="6" w:space="0" w:color="000000"/>
            </w:tcBorders>
          </w:tcPr>
          <w:p>
            <w:pPr/>
          </w:p>
        </w:tc>
        <w:tc>
          <w:tcPr>
            <w:tcW w:w="1194" w:type="dxa"/>
            <w:tcBorders>
              <w:top w:val="nil" w:sz="6" w:space="0" w:color="auto"/>
              <w:left w:val="single" w:sz="6" w:space="0" w:color="000000"/>
              <w:bottom w:val="single" w:sz="6" w:space="0" w:color="000000"/>
              <w:right w:val="single" w:sz="6" w:space="0" w:color="000000"/>
            </w:tcBorders>
          </w:tcPr>
          <w:p>
            <w:pPr/>
          </w:p>
        </w:tc>
        <w:tc>
          <w:tcPr>
            <w:tcW w:w="757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4"/>
              <w:ind w:left="3" w:right="0"/>
              <w:jc w:val="left"/>
              <w:rPr>
                <w:rFonts w:ascii="宋体" w:hAnsi="宋体" w:cs="宋体" w:eastAsia="宋体" w:hint="default"/>
                <w:sz w:val="15"/>
                <w:szCs w:val="15"/>
              </w:rPr>
            </w:pPr>
            <w:r>
              <w:rPr>
                <w:rFonts w:ascii="宋体" w:hAnsi="宋体" w:cs="宋体" w:eastAsia="宋体" w:hint="default"/>
                <w:sz w:val="15"/>
                <w:szCs w:val="15"/>
              </w:rPr>
              <w:t>性。</w:t>
            </w:r>
          </w:p>
        </w:tc>
      </w:tr>
      <w:tr>
        <w:trPr>
          <w:trHeight w:val="255" w:hRule="exact"/>
        </w:trPr>
        <w:tc>
          <w:tcPr>
            <w:tcW w:w="560" w:type="dxa"/>
            <w:tcBorders>
              <w:top w:val="single" w:sz="6" w:space="0" w:color="000000"/>
              <w:left w:val="single" w:sz="6" w:space="0" w:color="000000"/>
              <w:bottom w:val="nil" w:sz="6" w:space="0" w:color="auto"/>
              <w:right w:val="single" w:sz="6" w:space="0" w:color="000000"/>
            </w:tcBorders>
          </w:tcPr>
          <w:p>
            <w:pPr/>
          </w:p>
        </w:tc>
        <w:tc>
          <w:tcPr>
            <w:tcW w:w="2028" w:type="dxa"/>
            <w:tcBorders>
              <w:top w:val="single" w:sz="6" w:space="0" w:color="000000"/>
              <w:left w:val="single" w:sz="6" w:space="0" w:color="000000"/>
              <w:bottom w:val="nil" w:sz="6" w:space="0" w:color="auto"/>
              <w:right w:val="single" w:sz="6" w:space="0" w:color="000000"/>
            </w:tcBorders>
          </w:tcPr>
          <w:p>
            <w:pPr/>
          </w:p>
        </w:tc>
        <w:tc>
          <w:tcPr>
            <w:tcW w:w="919" w:type="dxa"/>
            <w:tcBorders>
              <w:top w:val="single" w:sz="6" w:space="0" w:color="000000"/>
              <w:left w:val="single" w:sz="6" w:space="0" w:color="000000"/>
              <w:bottom w:val="nil" w:sz="6" w:space="0" w:color="auto"/>
              <w:right w:val="single" w:sz="6" w:space="0" w:color="000000"/>
            </w:tcBorders>
          </w:tcPr>
          <w:p>
            <w:pPr/>
          </w:p>
        </w:tc>
        <w:tc>
          <w:tcPr>
            <w:tcW w:w="1770" w:type="dxa"/>
            <w:tcBorders>
              <w:top w:val="single" w:sz="6" w:space="0" w:color="000000"/>
              <w:left w:val="single" w:sz="6" w:space="0" w:color="000000"/>
              <w:bottom w:val="nil" w:sz="6" w:space="0" w:color="auto"/>
              <w:right w:val="single" w:sz="6" w:space="0" w:color="000000"/>
            </w:tcBorders>
          </w:tcPr>
          <w:p>
            <w:pPr/>
          </w:p>
        </w:tc>
        <w:tc>
          <w:tcPr>
            <w:tcW w:w="119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8"/>
              <w:ind w:left="3" w:right="-17"/>
              <w:jc w:val="left"/>
              <w:rPr>
                <w:rFonts w:ascii="宋体" w:hAnsi="宋体" w:cs="宋体" w:eastAsia="宋体" w:hint="default"/>
                <w:sz w:val="15"/>
                <w:szCs w:val="15"/>
              </w:rPr>
            </w:pPr>
            <w:r>
              <w:rPr>
                <w:rFonts w:ascii="宋体" w:hAnsi="宋体" w:cs="宋体" w:eastAsia="宋体" w:hint="default"/>
                <w:spacing w:val="17"/>
                <w:sz w:val="15"/>
                <w:szCs w:val="15"/>
              </w:rPr>
              <w:t>计划起止日期：</w:t>
            </w:r>
            <w:r>
              <w:rPr>
                <w:rFonts w:ascii="宋体" w:hAnsi="宋体" w:cs="宋体" w:eastAsia="宋体" w:hint="default"/>
                <w:spacing w:val="-55"/>
                <w:sz w:val="15"/>
                <w:szCs w:val="15"/>
              </w:rPr>
              <w:t> </w:t>
            </w:r>
            <w:r>
              <w:rPr>
                <w:rFonts w:ascii="宋体" w:hAnsi="宋体" w:cs="宋体" w:eastAsia="宋体" w:hint="default"/>
                <w:sz w:val="15"/>
                <w:szCs w:val="15"/>
              </w:rPr>
            </w:r>
          </w:p>
        </w:tc>
        <w:tc>
          <w:tcPr>
            <w:tcW w:w="757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8"/>
              <w:ind w:left="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、有效地解决了解决低压电力领域在电网干扰大、时变性强、网络复杂、类型多的情况下的可靠载波通信问题；</w:t>
            </w:r>
          </w:p>
        </w:tc>
      </w:tr>
      <w:tr>
        <w:trPr>
          <w:trHeight w:val="155" w:hRule="exact"/>
        </w:trPr>
        <w:tc>
          <w:tcPr>
            <w:tcW w:w="560" w:type="dxa"/>
            <w:tcBorders>
              <w:top w:val="nil" w:sz="6" w:space="0" w:color="auto"/>
              <w:left w:val="single" w:sz="6" w:space="0" w:color="000000"/>
              <w:bottom w:val="nil" w:sz="6" w:space="0" w:color="auto"/>
              <w:right w:val="single" w:sz="6" w:space="0" w:color="000000"/>
            </w:tcBorders>
          </w:tcPr>
          <w:p>
            <w:pPr>
              <w:pStyle w:val="TableParagraph"/>
              <w:spacing w:line="143" w:lineRule="exact"/>
              <w:ind w:right="0"/>
              <w:jc w:val="center"/>
              <w:rPr>
                <w:rFonts w:ascii="Times New Roman" w:hAnsi="Times New Roman" w:cs="Times New Roman" w:eastAsia="Times New Roman" w:hint="default"/>
                <w:sz w:val="15"/>
                <w:szCs w:val="15"/>
              </w:rPr>
            </w:pPr>
            <w:r>
              <w:rPr>
                <w:rFonts w:ascii="Times New Roman"/>
                <w:sz w:val="15"/>
              </w:rPr>
              <w:t>4</w:t>
            </w:r>
          </w:p>
        </w:tc>
        <w:tc>
          <w:tcPr>
            <w:tcW w:w="2028" w:type="dxa"/>
            <w:tcBorders>
              <w:top w:val="nil" w:sz="6" w:space="0" w:color="auto"/>
              <w:left w:val="single" w:sz="6" w:space="0" w:color="000000"/>
              <w:bottom w:val="nil" w:sz="6" w:space="0" w:color="auto"/>
              <w:right w:val="single" w:sz="6" w:space="0" w:color="000000"/>
            </w:tcBorders>
          </w:tcPr>
          <w:p>
            <w:pPr>
              <w:pStyle w:val="TableParagraph"/>
              <w:spacing w:line="133" w:lineRule="exact"/>
              <w:ind w:left="2" w:right="0"/>
              <w:jc w:val="left"/>
              <w:rPr>
                <w:rFonts w:ascii="宋体" w:hAnsi="宋体" w:cs="宋体" w:eastAsia="宋体" w:hint="default"/>
                <w:sz w:val="15"/>
                <w:szCs w:val="15"/>
              </w:rPr>
            </w:pPr>
            <w:r>
              <w:rPr>
                <w:rFonts w:ascii="宋体" w:hAnsi="宋体" w:cs="宋体" w:eastAsia="宋体" w:hint="default"/>
                <w:sz w:val="15"/>
                <w:szCs w:val="15"/>
              </w:rPr>
              <w:t>国网集中器</w:t>
            </w:r>
          </w:p>
        </w:tc>
        <w:tc>
          <w:tcPr>
            <w:tcW w:w="919" w:type="dxa"/>
            <w:tcBorders>
              <w:top w:val="nil" w:sz="6" w:space="0" w:color="auto"/>
              <w:left w:val="single" w:sz="6" w:space="0" w:color="000000"/>
              <w:bottom w:val="nil" w:sz="6" w:space="0" w:color="auto"/>
              <w:right w:val="single" w:sz="6" w:space="0" w:color="000000"/>
            </w:tcBorders>
          </w:tcPr>
          <w:p>
            <w:pPr>
              <w:pStyle w:val="TableParagraph"/>
              <w:spacing w:line="133" w:lineRule="exact"/>
              <w:ind w:left="2" w:right="0"/>
              <w:jc w:val="left"/>
              <w:rPr>
                <w:rFonts w:ascii="宋体" w:hAnsi="宋体" w:cs="宋体" w:eastAsia="宋体" w:hint="default"/>
                <w:sz w:val="15"/>
                <w:szCs w:val="15"/>
              </w:rPr>
            </w:pPr>
            <w:r>
              <w:rPr>
                <w:rFonts w:ascii="宋体" w:hAnsi="宋体" w:cs="宋体" w:eastAsia="宋体" w:hint="default"/>
                <w:sz w:val="15"/>
                <w:szCs w:val="15"/>
              </w:rPr>
              <w:t>电力集成</w:t>
            </w:r>
          </w:p>
        </w:tc>
        <w:tc>
          <w:tcPr>
            <w:tcW w:w="1770" w:type="dxa"/>
            <w:tcBorders>
              <w:top w:val="nil" w:sz="6" w:space="0" w:color="auto"/>
              <w:left w:val="single" w:sz="6" w:space="0" w:color="000000"/>
              <w:bottom w:val="nil" w:sz="6" w:space="0" w:color="auto"/>
              <w:right w:val="single" w:sz="6" w:space="0" w:color="000000"/>
            </w:tcBorders>
          </w:tcPr>
          <w:p>
            <w:pPr>
              <w:pStyle w:val="TableParagraph"/>
              <w:spacing w:line="133" w:lineRule="exact"/>
              <w:ind w:left="3" w:right="0"/>
              <w:jc w:val="left"/>
              <w:rPr>
                <w:rFonts w:ascii="宋体" w:hAnsi="宋体" w:cs="宋体" w:eastAsia="宋体" w:hint="default"/>
                <w:sz w:val="15"/>
                <w:szCs w:val="15"/>
              </w:rPr>
            </w:pPr>
            <w:r>
              <w:rPr>
                <w:rFonts w:ascii="宋体" w:hAnsi="宋体" w:cs="宋体" w:eastAsia="宋体" w:hint="default"/>
                <w:sz w:val="15"/>
                <w:szCs w:val="15"/>
              </w:rPr>
              <w:t>结项，已经开始销售</w:t>
            </w:r>
          </w:p>
        </w:tc>
        <w:tc>
          <w:tcPr>
            <w:tcW w:w="1194"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
        </w:tc>
      </w:tr>
      <w:tr>
        <w:trPr>
          <w:trHeight w:val="250" w:hRule="exact"/>
        </w:trPr>
        <w:tc>
          <w:tcPr>
            <w:tcW w:w="560" w:type="dxa"/>
            <w:tcBorders>
              <w:top w:val="nil" w:sz="6" w:space="0" w:color="auto"/>
              <w:left w:val="single" w:sz="6" w:space="0" w:color="000000"/>
              <w:bottom w:val="single" w:sz="6" w:space="0" w:color="000000"/>
              <w:right w:val="single" w:sz="6" w:space="0" w:color="000000"/>
            </w:tcBorders>
          </w:tcPr>
          <w:p>
            <w:pPr/>
          </w:p>
        </w:tc>
        <w:tc>
          <w:tcPr>
            <w:tcW w:w="2028" w:type="dxa"/>
            <w:tcBorders>
              <w:top w:val="nil" w:sz="6" w:space="0" w:color="auto"/>
              <w:left w:val="single" w:sz="6" w:space="0" w:color="000000"/>
              <w:bottom w:val="single" w:sz="6" w:space="0" w:color="000000"/>
              <w:right w:val="single" w:sz="6" w:space="0" w:color="000000"/>
            </w:tcBorders>
          </w:tcPr>
          <w:p>
            <w:pPr/>
          </w:p>
        </w:tc>
        <w:tc>
          <w:tcPr>
            <w:tcW w:w="919" w:type="dxa"/>
            <w:tcBorders>
              <w:top w:val="nil" w:sz="6" w:space="0" w:color="auto"/>
              <w:left w:val="single" w:sz="6" w:space="0" w:color="000000"/>
              <w:bottom w:val="single" w:sz="6" w:space="0" w:color="000000"/>
              <w:right w:val="single" w:sz="6" w:space="0" w:color="000000"/>
            </w:tcBorders>
          </w:tcPr>
          <w:p>
            <w:pPr/>
          </w:p>
        </w:tc>
        <w:tc>
          <w:tcPr>
            <w:tcW w:w="1770" w:type="dxa"/>
            <w:tcBorders>
              <w:top w:val="nil" w:sz="6" w:space="0" w:color="auto"/>
              <w:left w:val="single" w:sz="6" w:space="0" w:color="000000"/>
              <w:bottom w:val="single" w:sz="6" w:space="0" w:color="000000"/>
              <w:right w:val="single" w:sz="6" w:space="0" w:color="000000"/>
            </w:tcBorders>
          </w:tcPr>
          <w:p>
            <w:pPr/>
          </w:p>
        </w:tc>
        <w:tc>
          <w:tcPr>
            <w:tcW w:w="1194" w:type="dxa"/>
            <w:tcBorders>
              <w:top w:val="nil" w:sz="6" w:space="0" w:color="auto"/>
              <w:left w:val="single" w:sz="6" w:space="0" w:color="000000"/>
              <w:bottom w:val="single" w:sz="6" w:space="0" w:color="000000"/>
              <w:right w:val="single" w:sz="6" w:space="0" w:color="000000"/>
            </w:tcBorders>
          </w:tcPr>
          <w:p>
            <w:pPr>
              <w:pStyle w:val="TableParagraph"/>
              <w:spacing w:line="143" w:lineRule="exact"/>
              <w:ind w:left="3" w:right="0"/>
              <w:jc w:val="left"/>
              <w:rPr>
                <w:rFonts w:ascii="Times New Roman" w:hAnsi="Times New Roman" w:cs="Times New Roman" w:eastAsia="Times New Roman" w:hint="default"/>
                <w:sz w:val="15"/>
                <w:szCs w:val="15"/>
              </w:rPr>
            </w:pPr>
            <w:r>
              <w:rPr>
                <w:rFonts w:ascii="Times New Roman"/>
                <w:sz w:val="15"/>
              </w:rPr>
              <w:t>2014/8/15-2015/8/</w:t>
            </w:r>
          </w:p>
        </w:tc>
        <w:tc>
          <w:tcPr>
            <w:tcW w:w="7574" w:type="dxa"/>
            <w:tcBorders>
              <w:top w:val="nil" w:sz="6" w:space="0" w:color="auto"/>
              <w:left w:val="single" w:sz="6" w:space="0" w:color="000000"/>
              <w:bottom w:val="single" w:sz="6" w:space="0" w:color="000000"/>
              <w:right w:val="single" w:sz="6" w:space="0" w:color="000000"/>
            </w:tcBorders>
          </w:tcPr>
          <w:p>
            <w:pPr>
              <w:pStyle w:val="TableParagraph"/>
              <w:spacing w:line="145" w:lineRule="exact"/>
              <w:ind w:left="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、优异的载波模块互换性能，优异的</w:t>
            </w:r>
            <w:r>
              <w:rPr>
                <w:rFonts w:ascii="Times New Roman" w:hAnsi="Times New Roman" w:cs="Times New Roman" w:eastAsia="Times New Roman" w:hint="default"/>
                <w:sz w:val="15"/>
                <w:szCs w:val="15"/>
              </w:rPr>
              <w:t>GPRS</w:t>
            </w:r>
            <w:r>
              <w:rPr>
                <w:rFonts w:ascii="宋体" w:hAnsi="宋体" w:cs="宋体" w:eastAsia="宋体" w:hint="default"/>
                <w:sz w:val="15"/>
                <w:szCs w:val="15"/>
              </w:rPr>
              <w:t>模块互换性能；</w:t>
            </w:r>
          </w:p>
        </w:tc>
      </w:tr>
    </w:tbl>
    <w:p>
      <w:pPr>
        <w:spacing w:after="0" w:line="145" w:lineRule="exact"/>
        <w:jc w:val="left"/>
        <w:rPr>
          <w:rFonts w:ascii="宋体" w:hAnsi="宋体" w:cs="宋体" w:eastAsia="宋体" w:hint="default"/>
          <w:sz w:val="15"/>
          <w:szCs w:val="15"/>
        </w:rPr>
        <w:sectPr>
          <w:headerReference w:type="default" r:id="rId15"/>
          <w:footerReference w:type="default" r:id="rId16"/>
          <w:pgSz w:w="16840" w:h="11910" w:orient="landscape"/>
          <w:pgMar w:header="867" w:footer="978" w:top="1060" w:bottom="1160" w:left="1300" w:right="1220"/>
          <w:pgNumType w:start="26"/>
        </w:sectPr>
      </w:pPr>
    </w:p>
    <w:p>
      <w:pPr>
        <w:spacing w:line="240" w:lineRule="auto" w:before="4"/>
        <w:rPr>
          <w:rFonts w:ascii="Times New Roman" w:hAnsi="Times New Roman" w:cs="Times New Roman" w:eastAsia="Times New Roman"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560"/>
        <w:gridCol w:w="2028"/>
        <w:gridCol w:w="919"/>
        <w:gridCol w:w="1770"/>
        <w:gridCol w:w="1194"/>
        <w:gridCol w:w="7574"/>
      </w:tblGrid>
      <w:tr>
        <w:trPr>
          <w:trHeight w:val="673" w:hRule="exact"/>
        </w:trPr>
        <w:tc>
          <w:tcPr>
            <w:tcW w:w="560" w:type="dxa"/>
            <w:tcBorders>
              <w:top w:val="single" w:sz="17" w:space="0" w:color="000000"/>
              <w:left w:val="single" w:sz="6" w:space="0" w:color="000000"/>
              <w:bottom w:val="single" w:sz="6" w:space="0" w:color="000000"/>
              <w:right w:val="single" w:sz="6" w:space="0" w:color="000000"/>
            </w:tcBorders>
          </w:tcPr>
          <w:p>
            <w:pPr/>
          </w:p>
        </w:tc>
        <w:tc>
          <w:tcPr>
            <w:tcW w:w="2028" w:type="dxa"/>
            <w:tcBorders>
              <w:top w:val="single" w:sz="17" w:space="0" w:color="000000"/>
              <w:left w:val="single" w:sz="6" w:space="0" w:color="000000"/>
              <w:bottom w:val="single" w:sz="6" w:space="0" w:color="000000"/>
              <w:right w:val="single" w:sz="6" w:space="0" w:color="000000"/>
            </w:tcBorders>
          </w:tcPr>
          <w:p>
            <w:pPr/>
          </w:p>
        </w:tc>
        <w:tc>
          <w:tcPr>
            <w:tcW w:w="919" w:type="dxa"/>
            <w:tcBorders>
              <w:top w:val="single" w:sz="17" w:space="0" w:color="000000"/>
              <w:left w:val="single" w:sz="6" w:space="0" w:color="000000"/>
              <w:bottom w:val="single" w:sz="6" w:space="0" w:color="000000"/>
              <w:right w:val="single" w:sz="6" w:space="0" w:color="000000"/>
            </w:tcBorders>
          </w:tcPr>
          <w:p>
            <w:pPr/>
          </w:p>
        </w:tc>
        <w:tc>
          <w:tcPr>
            <w:tcW w:w="1770" w:type="dxa"/>
            <w:tcBorders>
              <w:top w:val="single" w:sz="17" w:space="0" w:color="000000"/>
              <w:left w:val="single" w:sz="6" w:space="0" w:color="000000"/>
              <w:bottom w:val="single" w:sz="6" w:space="0" w:color="000000"/>
              <w:right w:val="single" w:sz="6" w:space="0" w:color="000000"/>
            </w:tcBorders>
          </w:tcPr>
          <w:p>
            <w:pPr/>
          </w:p>
        </w:tc>
        <w:tc>
          <w:tcPr>
            <w:tcW w:w="1194"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78"/>
              <w:ind w:left="3" w:right="0"/>
              <w:jc w:val="left"/>
              <w:rPr>
                <w:rFonts w:ascii="Times New Roman" w:hAnsi="Times New Roman" w:cs="Times New Roman" w:eastAsia="Times New Roman" w:hint="default"/>
                <w:sz w:val="15"/>
                <w:szCs w:val="15"/>
              </w:rPr>
            </w:pPr>
            <w:r>
              <w:rPr>
                <w:rFonts w:ascii="Times New Roman"/>
                <w:sz w:val="15"/>
              </w:rPr>
              <w:t>15</w:t>
            </w:r>
          </w:p>
        </w:tc>
        <w:tc>
          <w:tcPr>
            <w:tcW w:w="7574"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44"/>
              <w:ind w:left="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、独特的优化存储技术：优化存储，防止数据丢失；</w:t>
            </w:r>
          </w:p>
          <w:p>
            <w:pPr>
              <w:pStyle w:val="TableParagraph"/>
              <w:spacing w:line="240" w:lineRule="auto" w:before="104"/>
              <w:ind w:left="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、支持国家电网专用的加密机制：身份认证及密钥协商，确保数据安全可靠。</w:t>
            </w:r>
          </w:p>
        </w:tc>
      </w:tr>
      <w:tr>
        <w:trPr>
          <w:trHeight w:val="1595" w:hRule="exact"/>
        </w:trPr>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5</w:t>
            </w: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 w:right="0"/>
              <w:jc w:val="left"/>
              <w:rPr>
                <w:rFonts w:ascii="宋体" w:hAnsi="宋体" w:cs="宋体" w:eastAsia="宋体" w:hint="default"/>
                <w:sz w:val="15"/>
                <w:szCs w:val="15"/>
              </w:rPr>
            </w:pPr>
            <w:r>
              <w:rPr>
                <w:rFonts w:ascii="宋体" w:hAnsi="宋体" w:cs="宋体" w:eastAsia="宋体" w:hint="default"/>
                <w:sz w:val="15"/>
                <w:szCs w:val="15"/>
              </w:rPr>
              <w:t>人脸识别技术应用</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 w:right="0"/>
              <w:jc w:val="left"/>
              <w:rPr>
                <w:rFonts w:ascii="宋体" w:hAnsi="宋体" w:cs="宋体" w:eastAsia="宋体" w:hint="default"/>
                <w:sz w:val="15"/>
                <w:szCs w:val="15"/>
              </w:rPr>
            </w:pPr>
            <w:r>
              <w:rPr>
                <w:rFonts w:ascii="宋体" w:hAnsi="宋体" w:cs="宋体" w:eastAsia="宋体" w:hint="default"/>
                <w:sz w:val="15"/>
                <w:szCs w:val="15"/>
              </w:rPr>
              <w:t>身份识别</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3" w:right="0"/>
              <w:jc w:val="left"/>
              <w:rPr>
                <w:rFonts w:ascii="宋体" w:hAnsi="宋体" w:cs="宋体" w:eastAsia="宋体" w:hint="default"/>
                <w:sz w:val="15"/>
                <w:szCs w:val="15"/>
              </w:rPr>
            </w:pPr>
            <w:r>
              <w:rPr>
                <w:rFonts w:ascii="宋体" w:hAnsi="宋体" w:cs="宋体" w:eastAsia="宋体" w:hint="default"/>
                <w:sz w:val="15"/>
                <w:szCs w:val="15"/>
              </w:rPr>
              <w:t>结项，已经开始销售</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 w:right="-17"/>
              <w:jc w:val="left"/>
              <w:rPr>
                <w:rFonts w:ascii="宋体" w:hAnsi="宋体" w:cs="宋体" w:eastAsia="宋体" w:hint="default"/>
                <w:sz w:val="15"/>
                <w:szCs w:val="15"/>
              </w:rPr>
            </w:pPr>
            <w:r>
              <w:rPr>
                <w:rFonts w:ascii="宋体" w:hAnsi="宋体" w:cs="宋体" w:eastAsia="宋体" w:hint="default"/>
                <w:spacing w:val="17"/>
                <w:sz w:val="15"/>
                <w:szCs w:val="15"/>
              </w:rPr>
              <w:t>计划起止日期：</w:t>
            </w:r>
            <w:r>
              <w:rPr>
                <w:rFonts w:ascii="宋体" w:hAnsi="宋体" w:cs="宋体" w:eastAsia="宋体" w:hint="default"/>
                <w:spacing w:val="-55"/>
                <w:sz w:val="15"/>
                <w:szCs w:val="15"/>
              </w:rPr>
              <w:t> </w:t>
            </w:r>
            <w:r>
              <w:rPr>
                <w:rFonts w:ascii="宋体" w:hAnsi="宋体" w:cs="宋体" w:eastAsia="宋体" w:hint="default"/>
                <w:sz w:val="15"/>
                <w:szCs w:val="15"/>
              </w:rPr>
            </w:r>
          </w:p>
          <w:p>
            <w:pPr>
              <w:pStyle w:val="TableParagraph"/>
              <w:spacing w:line="240" w:lineRule="auto"/>
              <w:ind w:right="0"/>
              <w:jc w:val="left"/>
              <w:rPr>
                <w:rFonts w:ascii="Times New Roman" w:hAnsi="Times New Roman" w:cs="Times New Roman" w:eastAsia="Times New Roman" w:hint="default"/>
                <w:sz w:val="13"/>
                <w:szCs w:val="13"/>
              </w:rPr>
            </w:pPr>
          </w:p>
          <w:p>
            <w:pPr>
              <w:pStyle w:val="TableParagraph"/>
              <w:spacing w:line="240" w:lineRule="auto"/>
              <w:ind w:left="3" w:right="0"/>
              <w:jc w:val="left"/>
              <w:rPr>
                <w:rFonts w:ascii="Times New Roman" w:hAnsi="Times New Roman" w:cs="Times New Roman" w:eastAsia="Times New Roman" w:hint="default"/>
                <w:sz w:val="15"/>
                <w:szCs w:val="15"/>
              </w:rPr>
            </w:pPr>
            <w:r>
              <w:rPr>
                <w:rFonts w:ascii="Times New Roman"/>
                <w:sz w:val="15"/>
              </w:rPr>
              <w:t>2014/5/1-</w:t>
            </w: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left="3" w:right="0"/>
              <w:jc w:val="left"/>
              <w:rPr>
                <w:rFonts w:ascii="Times New Roman" w:hAnsi="Times New Roman" w:cs="Times New Roman" w:eastAsia="Times New Roman" w:hint="default"/>
                <w:sz w:val="15"/>
                <w:szCs w:val="15"/>
              </w:rPr>
            </w:pPr>
            <w:r>
              <w:rPr>
                <w:rFonts w:ascii="Times New Roman"/>
                <w:sz w:val="15"/>
              </w:rPr>
              <w:t>2015/10/30</w:t>
            </w:r>
          </w:p>
        </w:tc>
        <w:tc>
          <w:tcPr>
            <w:tcW w:w="7574" w:type="dxa"/>
            <w:tcBorders>
              <w:top w:val="single" w:sz="6" w:space="0" w:color="000000"/>
              <w:left w:val="single" w:sz="6" w:space="0" w:color="000000"/>
              <w:bottom w:val="single" w:sz="6" w:space="0" w:color="000000"/>
              <w:right w:val="single" w:sz="6" w:space="0" w:color="000000"/>
            </w:tcBorders>
          </w:tcPr>
          <w:p>
            <w:pPr>
              <w:pStyle w:val="TableParagraph"/>
              <w:spacing w:line="367" w:lineRule="auto" w:before="44"/>
              <w:ind w:left="3" w:right="1"/>
              <w:jc w:val="left"/>
              <w:rPr>
                <w:rFonts w:ascii="宋体" w:hAnsi="宋体" w:cs="宋体" w:eastAsia="宋体" w:hint="default"/>
                <w:sz w:val="15"/>
                <w:szCs w:val="15"/>
              </w:rPr>
            </w:pPr>
            <w:r>
              <w:rPr>
                <w:rFonts w:ascii="Times New Roman" w:hAnsi="Times New Roman" w:cs="Times New Roman" w:eastAsia="Times New Roman" w:hint="default"/>
                <w:spacing w:val="-1"/>
                <w:sz w:val="15"/>
                <w:szCs w:val="15"/>
              </w:rPr>
              <w:t>1</w:t>
            </w:r>
            <w:r>
              <w:rPr>
                <w:rFonts w:ascii="宋体" w:hAnsi="宋体" w:cs="宋体" w:eastAsia="宋体" w:hint="default"/>
                <w:spacing w:val="-1"/>
                <w:sz w:val="15"/>
                <w:szCs w:val="15"/>
              </w:rPr>
              <w:t>、设计完成人脸识别算法，在人脸识别算法的基础上，通过不同的编程设计语言，实现跨平台多场景的识别应用融</w:t>
            </w:r>
            <w:r>
              <w:rPr>
                <w:rFonts w:ascii="宋体" w:hAnsi="宋体" w:cs="宋体" w:eastAsia="宋体" w:hint="default"/>
                <w:spacing w:val="-46"/>
                <w:sz w:val="15"/>
                <w:szCs w:val="15"/>
              </w:rPr>
              <w:t> </w:t>
            </w:r>
            <w:r>
              <w:rPr>
                <w:rFonts w:ascii="宋体" w:hAnsi="宋体" w:cs="宋体" w:eastAsia="宋体" w:hint="default"/>
                <w:spacing w:val="-46"/>
                <w:sz w:val="15"/>
                <w:szCs w:val="15"/>
              </w:rPr>
            </w:r>
            <w:r>
              <w:rPr>
                <w:rFonts w:ascii="宋体" w:hAnsi="宋体" w:cs="宋体" w:eastAsia="宋体" w:hint="default"/>
                <w:sz w:val="15"/>
                <w:szCs w:val="15"/>
              </w:rPr>
              <w:t>合。并有效提高识别的速度和精度，实现系统全自动（自动检测、定位、识别）； </w:t>
            </w:r>
            <w:r>
              <w:rPr>
                <w:rFonts w:ascii="Times New Roman" w:hAnsi="Times New Roman" w:cs="Times New Roman" w:eastAsia="Times New Roman" w:hint="default"/>
                <w:spacing w:val="-1"/>
                <w:sz w:val="15"/>
                <w:szCs w:val="15"/>
              </w:rPr>
              <w:t>2</w:t>
            </w:r>
            <w:r>
              <w:rPr>
                <w:rFonts w:ascii="宋体" w:hAnsi="宋体" w:cs="宋体" w:eastAsia="宋体" w:hint="default"/>
                <w:spacing w:val="-1"/>
                <w:sz w:val="15"/>
                <w:szCs w:val="15"/>
              </w:rPr>
              <w:t>、封装成易集成、可独立授权的跨平台识别算法库，为第三方基于</w:t>
            </w:r>
            <w:r>
              <w:rPr>
                <w:rFonts w:ascii="Times New Roman" w:hAnsi="Times New Roman" w:cs="Times New Roman" w:eastAsia="Times New Roman" w:hint="default"/>
                <w:spacing w:val="-1"/>
                <w:sz w:val="15"/>
                <w:szCs w:val="15"/>
              </w:rPr>
              <w:t>Windows/iOS/Linux/Android</w:t>
            </w:r>
            <w:r>
              <w:rPr>
                <w:rFonts w:ascii="宋体" w:hAnsi="宋体" w:cs="宋体" w:eastAsia="宋体" w:hint="default"/>
                <w:spacing w:val="-1"/>
                <w:sz w:val="15"/>
                <w:szCs w:val="15"/>
              </w:rPr>
              <w:t>平台的各类应用提供</w:t>
            </w:r>
            <w:r>
              <w:rPr>
                <w:rFonts w:ascii="宋体" w:hAnsi="宋体" w:cs="宋体" w:eastAsia="宋体" w:hint="default"/>
                <w:spacing w:val="-38"/>
                <w:sz w:val="15"/>
                <w:szCs w:val="15"/>
              </w:rPr>
              <w:t> </w:t>
            </w:r>
            <w:r>
              <w:rPr>
                <w:rFonts w:ascii="宋体" w:hAnsi="宋体" w:cs="宋体" w:eastAsia="宋体" w:hint="default"/>
                <w:spacing w:val="-38"/>
                <w:sz w:val="15"/>
                <w:szCs w:val="15"/>
              </w:rPr>
            </w:r>
            <w:r>
              <w:rPr>
                <w:rFonts w:ascii="宋体" w:hAnsi="宋体" w:cs="宋体" w:eastAsia="宋体" w:hint="default"/>
                <w:sz w:val="15"/>
                <w:szCs w:val="15"/>
              </w:rPr>
              <w:t>算法支撑；</w:t>
            </w:r>
          </w:p>
          <w:p>
            <w:pPr>
              <w:pStyle w:val="TableParagraph"/>
              <w:spacing w:line="240" w:lineRule="auto" w:before="36"/>
              <w:ind w:left="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、将算法进行</w:t>
            </w:r>
            <w:r>
              <w:rPr>
                <w:rFonts w:ascii="Times New Roman" w:hAnsi="Times New Roman" w:cs="Times New Roman" w:eastAsia="Times New Roman" w:hint="default"/>
                <w:sz w:val="15"/>
                <w:szCs w:val="15"/>
              </w:rPr>
              <w:t>DSP</w:t>
            </w:r>
            <w:r>
              <w:rPr>
                <w:rFonts w:ascii="宋体" w:hAnsi="宋体" w:cs="宋体" w:eastAsia="宋体" w:hint="default"/>
                <w:sz w:val="15"/>
                <w:szCs w:val="15"/>
              </w:rPr>
              <w:t>封装，为第三方厂商提供一整套人脸识别技术的芯片级解决方案。</w:t>
            </w:r>
          </w:p>
        </w:tc>
      </w:tr>
      <w:tr>
        <w:trPr>
          <w:trHeight w:val="2531" w:hRule="exact"/>
        </w:trPr>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6</w:t>
            </w: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5"/>
                <w:szCs w:val="15"/>
              </w:rPr>
            </w:pPr>
            <w:r>
              <w:rPr>
                <w:rFonts w:ascii="宋体" w:hAnsi="宋体" w:cs="宋体" w:eastAsia="宋体" w:hint="default"/>
                <w:sz w:val="15"/>
                <w:szCs w:val="15"/>
              </w:rPr>
              <w:t>多业务应用共享平台</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 w:right="0"/>
              <w:jc w:val="left"/>
              <w:rPr>
                <w:rFonts w:ascii="宋体" w:hAnsi="宋体" w:cs="宋体" w:eastAsia="宋体" w:hint="default"/>
                <w:sz w:val="15"/>
                <w:szCs w:val="15"/>
              </w:rPr>
            </w:pPr>
            <w:r>
              <w:rPr>
                <w:rFonts w:ascii="宋体" w:hAnsi="宋体" w:cs="宋体" w:eastAsia="宋体" w:hint="default"/>
                <w:sz w:val="15"/>
                <w:szCs w:val="15"/>
              </w:rPr>
              <w:t>城市一卡通</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3" w:right="0"/>
              <w:jc w:val="left"/>
              <w:rPr>
                <w:rFonts w:ascii="宋体" w:hAnsi="宋体" w:cs="宋体" w:eastAsia="宋体" w:hint="default"/>
                <w:sz w:val="15"/>
                <w:szCs w:val="15"/>
              </w:rPr>
            </w:pPr>
            <w:r>
              <w:rPr>
                <w:rFonts w:ascii="宋体" w:hAnsi="宋体" w:cs="宋体" w:eastAsia="宋体" w:hint="default"/>
                <w:sz w:val="15"/>
                <w:szCs w:val="15"/>
              </w:rPr>
              <w:t>结项，已经开始销售</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3" w:right="-17"/>
              <w:jc w:val="left"/>
              <w:rPr>
                <w:rFonts w:ascii="宋体" w:hAnsi="宋体" w:cs="宋体" w:eastAsia="宋体" w:hint="default"/>
                <w:sz w:val="15"/>
                <w:szCs w:val="15"/>
              </w:rPr>
            </w:pPr>
            <w:r>
              <w:rPr>
                <w:rFonts w:ascii="宋体" w:hAnsi="宋体" w:cs="宋体" w:eastAsia="宋体" w:hint="default"/>
                <w:spacing w:val="17"/>
                <w:sz w:val="15"/>
                <w:szCs w:val="15"/>
              </w:rPr>
              <w:t>计划起止日期：</w:t>
            </w:r>
            <w:r>
              <w:rPr>
                <w:rFonts w:ascii="宋体" w:hAnsi="宋体" w:cs="宋体" w:eastAsia="宋体" w:hint="default"/>
                <w:spacing w:val="-55"/>
                <w:sz w:val="15"/>
                <w:szCs w:val="15"/>
              </w:rPr>
              <w:t> </w:t>
            </w:r>
            <w:r>
              <w:rPr>
                <w:rFonts w:ascii="宋体" w:hAnsi="宋体" w:cs="宋体" w:eastAsia="宋体" w:hint="default"/>
                <w:sz w:val="15"/>
                <w:szCs w:val="15"/>
              </w:rPr>
            </w:r>
          </w:p>
          <w:p>
            <w:pPr>
              <w:pStyle w:val="TableParagraph"/>
              <w:spacing w:line="240" w:lineRule="auto"/>
              <w:ind w:right="0"/>
              <w:jc w:val="left"/>
              <w:rPr>
                <w:rFonts w:ascii="Times New Roman" w:hAnsi="Times New Roman" w:cs="Times New Roman" w:eastAsia="Times New Roman" w:hint="default"/>
                <w:sz w:val="13"/>
                <w:szCs w:val="13"/>
              </w:rPr>
            </w:pPr>
          </w:p>
          <w:p>
            <w:pPr>
              <w:pStyle w:val="TableParagraph"/>
              <w:spacing w:line="240" w:lineRule="auto"/>
              <w:ind w:left="3" w:right="0"/>
              <w:jc w:val="left"/>
              <w:rPr>
                <w:rFonts w:ascii="Times New Roman" w:hAnsi="Times New Roman" w:cs="Times New Roman" w:eastAsia="Times New Roman" w:hint="default"/>
                <w:sz w:val="15"/>
                <w:szCs w:val="15"/>
              </w:rPr>
            </w:pPr>
            <w:r>
              <w:rPr>
                <w:rFonts w:ascii="Times New Roman"/>
                <w:sz w:val="15"/>
              </w:rPr>
              <w:t>2015/3/1-</w:t>
            </w:r>
            <w:r>
              <w:rPr>
                <w:rFonts w:ascii="Times New Roman"/>
                <w:spacing w:val="-6"/>
                <w:sz w:val="15"/>
              </w:rPr>
              <w:t> </w:t>
            </w:r>
            <w:r>
              <w:rPr>
                <w:rFonts w:ascii="Times New Roman"/>
                <w:sz w:val="15"/>
              </w:rPr>
              <w:t>2015/9/1</w:t>
            </w:r>
          </w:p>
        </w:tc>
        <w:tc>
          <w:tcPr>
            <w:tcW w:w="7574" w:type="dxa"/>
            <w:tcBorders>
              <w:top w:val="single" w:sz="6" w:space="0" w:color="000000"/>
              <w:left w:val="single" w:sz="6" w:space="0" w:color="000000"/>
              <w:bottom w:val="single" w:sz="6" w:space="0" w:color="000000"/>
              <w:right w:val="single" w:sz="6" w:space="0" w:color="000000"/>
            </w:tcBorders>
          </w:tcPr>
          <w:p>
            <w:pPr>
              <w:pStyle w:val="TableParagraph"/>
              <w:spacing w:line="367" w:lineRule="auto" w:before="44"/>
              <w:ind w:left="3" w:right="-18"/>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、行业独有的城市级多行业应用集成共享平台，基于</w:t>
            </w:r>
            <w:r>
              <w:rPr>
                <w:rFonts w:ascii="Times New Roman" w:hAnsi="Times New Roman" w:cs="Times New Roman" w:eastAsia="Times New Roman" w:hint="default"/>
                <w:sz w:val="15"/>
                <w:szCs w:val="15"/>
              </w:rPr>
              <w:t>Aspectj</w:t>
            </w:r>
            <w:r>
              <w:rPr>
                <w:rFonts w:ascii="宋体" w:hAnsi="宋体" w:cs="宋体" w:eastAsia="宋体" w:hint="default"/>
                <w:sz w:val="15"/>
                <w:szCs w:val="15"/>
              </w:rPr>
              <w:t>框架，融合 </w:t>
            </w:r>
            <w:r>
              <w:rPr>
                <w:rFonts w:ascii="Times New Roman" w:hAnsi="Times New Roman" w:cs="Times New Roman" w:eastAsia="Times New Roman" w:hint="default"/>
                <w:sz w:val="15"/>
                <w:szCs w:val="15"/>
              </w:rPr>
              <w:t>AOP</w:t>
            </w:r>
            <w:r>
              <w:rPr>
                <w:rFonts w:ascii="宋体" w:hAnsi="宋体" w:cs="宋体" w:eastAsia="宋体" w:hint="default"/>
                <w:sz w:val="15"/>
                <w:szCs w:val="15"/>
              </w:rPr>
              <w:t>设计思路，为接入行业应用提供一系</w:t>
            </w:r>
            <w:r>
              <w:rPr>
                <w:rFonts w:ascii="宋体" w:hAnsi="宋体" w:cs="宋体" w:eastAsia="宋体" w:hint="default"/>
                <w:spacing w:val="-46"/>
                <w:sz w:val="15"/>
                <w:szCs w:val="15"/>
              </w:rPr>
              <w:t> </w:t>
            </w:r>
            <w:r>
              <w:rPr>
                <w:rFonts w:ascii="宋体" w:hAnsi="宋体" w:cs="宋体" w:eastAsia="宋体" w:hint="default"/>
                <w:spacing w:val="-46"/>
                <w:sz w:val="15"/>
                <w:szCs w:val="15"/>
              </w:rPr>
            </w:r>
            <w:r>
              <w:rPr>
                <w:rFonts w:ascii="宋体" w:hAnsi="宋体" w:cs="宋体" w:eastAsia="宋体" w:hint="default"/>
                <w:sz w:val="15"/>
                <w:szCs w:val="15"/>
              </w:rPr>
              <w:t>列灵活的、可扩展的接入规范；</w:t>
            </w:r>
            <w:r>
              <w:rPr>
                <w:rFonts w:ascii="宋体" w:hAnsi="宋体" w:cs="宋体" w:eastAsia="宋体" w:hint="default"/>
                <w:sz w:val="15"/>
                <w:szCs w:val="15"/>
              </w:rPr>
              <w:t> </w:t>
            </w:r>
            <w:r>
              <w:rPr>
                <w:rFonts w:ascii="Times New Roman" w:hAnsi="Times New Roman" w:cs="Times New Roman" w:eastAsia="Times New Roman" w:hint="default"/>
                <w:sz w:val="15"/>
                <w:szCs w:val="15"/>
              </w:rPr>
              <w:t>2</w:t>
            </w:r>
            <w:r>
              <w:rPr>
                <w:rFonts w:ascii="宋体" w:hAnsi="宋体" w:cs="宋体" w:eastAsia="宋体" w:hint="default"/>
                <w:sz w:val="15"/>
                <w:szCs w:val="15"/>
              </w:rPr>
              <w:t>、行业首个融入了云计算、</w:t>
            </w:r>
            <w:r>
              <w:rPr>
                <w:rFonts w:ascii="Times New Roman" w:hAnsi="Times New Roman" w:cs="Times New Roman" w:eastAsia="Times New Roman" w:hint="default"/>
                <w:sz w:val="15"/>
                <w:szCs w:val="15"/>
              </w:rPr>
              <w:t>SaaS</w:t>
            </w:r>
            <w:r>
              <w:rPr>
                <w:rFonts w:ascii="宋体" w:hAnsi="宋体" w:cs="宋体" w:eastAsia="宋体" w:hint="default"/>
                <w:sz w:val="15"/>
                <w:szCs w:val="15"/>
              </w:rPr>
              <w:t>等技术，以及模块化的设计理念，为用户提供了集中式部署或分布式云部署需求， 同时也创新式的提供了云端的多租户应用；</w:t>
            </w:r>
          </w:p>
          <w:p>
            <w:pPr>
              <w:pStyle w:val="TableParagraph"/>
              <w:spacing w:line="360" w:lineRule="auto" w:before="36"/>
              <w:ind w:left="3" w:right="1"/>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、行业内首款基于</w:t>
            </w:r>
            <w:r>
              <w:rPr>
                <w:rFonts w:ascii="Times New Roman" w:hAnsi="Times New Roman" w:cs="Times New Roman" w:eastAsia="Times New Roman" w:hint="default"/>
                <w:sz w:val="15"/>
                <w:szCs w:val="15"/>
              </w:rPr>
              <w:t>Nginx +</w:t>
            </w:r>
            <w:r>
              <w:rPr>
                <w:rFonts w:ascii="Times New Roman" w:hAnsi="Times New Roman" w:cs="Times New Roman" w:eastAsia="Times New Roman" w:hint="default"/>
                <w:spacing w:val="-5"/>
                <w:sz w:val="15"/>
                <w:szCs w:val="15"/>
              </w:rPr>
              <w:t> </w:t>
            </w:r>
            <w:r>
              <w:rPr>
                <w:rFonts w:ascii="Times New Roman" w:hAnsi="Times New Roman" w:cs="Times New Roman" w:eastAsia="Times New Roman" w:hint="default"/>
                <w:sz w:val="15"/>
                <w:szCs w:val="15"/>
              </w:rPr>
              <w:t>Redis</w:t>
            </w:r>
            <w:r>
              <w:rPr>
                <w:rFonts w:ascii="宋体" w:hAnsi="宋体" w:cs="宋体" w:eastAsia="宋体" w:hint="default"/>
                <w:sz w:val="15"/>
                <w:szCs w:val="15"/>
              </w:rPr>
              <w:t>技术的系统平台，构建高性能、高可靠、高并发且支持负载均衡的软件架构体系， 为客户提供了</w:t>
            </w:r>
            <w:r>
              <w:rPr>
                <w:rFonts w:ascii="Times New Roman" w:hAnsi="Times New Roman" w:cs="Times New Roman" w:eastAsia="Times New Roman" w:hint="default"/>
                <w:sz w:val="15"/>
                <w:szCs w:val="15"/>
              </w:rPr>
              <w:t>7*24</w:t>
            </w:r>
            <w:r>
              <w:rPr>
                <w:rFonts w:ascii="宋体" w:hAnsi="宋体" w:cs="宋体" w:eastAsia="宋体" w:hint="default"/>
                <w:sz w:val="15"/>
                <w:szCs w:val="15"/>
              </w:rPr>
              <w:t>小时不间断服务； </w:t>
            </w:r>
            <w:r>
              <w:rPr>
                <w:rFonts w:ascii="Times New Roman" w:hAnsi="Times New Roman" w:cs="Times New Roman" w:eastAsia="Times New Roman" w:hint="default"/>
                <w:sz w:val="15"/>
                <w:szCs w:val="15"/>
              </w:rPr>
              <w:t>4</w:t>
            </w:r>
            <w:r>
              <w:rPr>
                <w:rFonts w:ascii="宋体" w:hAnsi="宋体" w:cs="宋体" w:eastAsia="宋体" w:hint="default"/>
                <w:sz w:val="15"/>
                <w:szCs w:val="15"/>
              </w:rPr>
              <w:t>、创新性的引入多级密钥分散体系，支持交通部、住建部、</w:t>
            </w:r>
            <w:r>
              <w:rPr>
                <w:rFonts w:ascii="Times New Roman" w:hAnsi="Times New Roman" w:cs="Times New Roman" w:eastAsia="Times New Roman" w:hint="default"/>
                <w:sz w:val="15"/>
                <w:szCs w:val="15"/>
              </w:rPr>
              <w:t>PBOC</w:t>
            </w:r>
            <w:r>
              <w:rPr>
                <w:rFonts w:ascii="宋体" w:hAnsi="宋体" w:cs="宋体" w:eastAsia="宋体" w:hint="default"/>
                <w:sz w:val="15"/>
                <w:szCs w:val="15"/>
              </w:rPr>
              <w:t>多种密钥规范，为各个接入行业提供密钥分支，</w:t>
            </w:r>
            <w:r>
              <w:rPr>
                <w:rFonts w:ascii="宋体" w:hAnsi="宋体" w:cs="宋体" w:eastAsia="宋体" w:hint="default"/>
                <w:spacing w:val="-47"/>
                <w:sz w:val="15"/>
                <w:szCs w:val="15"/>
              </w:rPr>
              <w:t> </w:t>
            </w:r>
            <w:r>
              <w:rPr>
                <w:rFonts w:ascii="宋体" w:hAnsi="宋体" w:cs="宋体" w:eastAsia="宋体" w:hint="default"/>
                <w:spacing w:val="-47"/>
                <w:sz w:val="15"/>
                <w:szCs w:val="15"/>
              </w:rPr>
            </w:r>
            <w:r>
              <w:rPr>
                <w:rFonts w:ascii="宋体" w:hAnsi="宋体" w:cs="宋体" w:eastAsia="宋体" w:hint="default"/>
                <w:sz w:val="15"/>
                <w:szCs w:val="15"/>
              </w:rPr>
              <w:t>实现各行业间统一的密钥管理。与银行核心系统、发卡准备系统对接，实现金融</w:t>
            </w:r>
            <w:r>
              <w:rPr>
                <w:rFonts w:ascii="Times New Roman" w:hAnsi="Times New Roman" w:cs="Times New Roman" w:eastAsia="Times New Roman" w:hint="default"/>
                <w:sz w:val="15"/>
                <w:szCs w:val="15"/>
              </w:rPr>
              <w:t>IC</w:t>
            </w:r>
            <w:r>
              <w:rPr>
                <w:rFonts w:ascii="宋体" w:hAnsi="宋体" w:cs="宋体" w:eastAsia="宋体" w:hint="default"/>
                <w:sz w:val="15"/>
                <w:szCs w:val="15"/>
              </w:rPr>
              <w:t>卡业务深度融合。</w:t>
            </w:r>
          </w:p>
        </w:tc>
      </w:tr>
      <w:tr>
        <w:trPr>
          <w:trHeight w:val="333" w:hRule="exact"/>
        </w:trPr>
        <w:tc>
          <w:tcPr>
            <w:tcW w:w="560" w:type="dxa"/>
            <w:tcBorders>
              <w:top w:val="single" w:sz="6" w:space="0" w:color="000000"/>
              <w:left w:val="single" w:sz="6" w:space="0" w:color="000000"/>
              <w:bottom w:val="nil" w:sz="6" w:space="0" w:color="auto"/>
              <w:right w:val="single" w:sz="6" w:space="0" w:color="000000"/>
            </w:tcBorders>
          </w:tcPr>
          <w:p>
            <w:pPr/>
          </w:p>
        </w:tc>
        <w:tc>
          <w:tcPr>
            <w:tcW w:w="2028" w:type="dxa"/>
            <w:tcBorders>
              <w:top w:val="single" w:sz="6" w:space="0" w:color="000000"/>
              <w:left w:val="single" w:sz="6" w:space="0" w:color="000000"/>
              <w:bottom w:val="nil" w:sz="6" w:space="0" w:color="auto"/>
              <w:right w:val="single" w:sz="6" w:space="0" w:color="000000"/>
            </w:tcBorders>
          </w:tcPr>
          <w:p>
            <w:pPr/>
          </w:p>
        </w:tc>
        <w:tc>
          <w:tcPr>
            <w:tcW w:w="919" w:type="dxa"/>
            <w:tcBorders>
              <w:top w:val="single" w:sz="6" w:space="0" w:color="000000"/>
              <w:left w:val="single" w:sz="6" w:space="0" w:color="000000"/>
              <w:bottom w:val="nil" w:sz="6" w:space="0" w:color="auto"/>
              <w:right w:val="single" w:sz="6" w:space="0" w:color="000000"/>
            </w:tcBorders>
          </w:tcPr>
          <w:p>
            <w:pPr/>
          </w:p>
        </w:tc>
        <w:tc>
          <w:tcPr>
            <w:tcW w:w="1770" w:type="dxa"/>
            <w:tcBorders>
              <w:top w:val="single" w:sz="6" w:space="0" w:color="000000"/>
              <w:left w:val="single" w:sz="6" w:space="0" w:color="000000"/>
              <w:bottom w:val="nil" w:sz="6" w:space="0" w:color="auto"/>
              <w:right w:val="single" w:sz="6" w:space="0" w:color="000000"/>
            </w:tcBorders>
          </w:tcPr>
          <w:p>
            <w:pPr/>
          </w:p>
        </w:tc>
        <w:tc>
          <w:tcPr>
            <w:tcW w:w="1194" w:type="dxa"/>
            <w:tcBorders>
              <w:top w:val="single" w:sz="6" w:space="0" w:color="000000"/>
              <w:left w:val="single" w:sz="6" w:space="0" w:color="000000"/>
              <w:bottom w:val="nil" w:sz="6" w:space="0" w:color="auto"/>
              <w:right w:val="single" w:sz="6" w:space="0" w:color="000000"/>
            </w:tcBorders>
          </w:tcPr>
          <w:p>
            <w:pPr/>
          </w:p>
        </w:tc>
        <w:tc>
          <w:tcPr>
            <w:tcW w:w="757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4"/>
              <w:ind w:left="3" w:right="0"/>
              <w:jc w:val="left"/>
              <w:rPr>
                <w:rFonts w:ascii="宋体" w:hAnsi="宋体" w:cs="宋体" w:eastAsia="宋体" w:hint="default"/>
                <w:sz w:val="15"/>
                <w:szCs w:val="15"/>
              </w:rPr>
            </w:pPr>
            <w:r>
              <w:rPr>
                <w:rFonts w:ascii="Times New Roman" w:hAnsi="Times New Roman" w:cs="Times New Roman" w:eastAsia="Times New Roman" w:hint="default"/>
                <w:spacing w:val="-1"/>
                <w:sz w:val="15"/>
                <w:szCs w:val="15"/>
              </w:rPr>
              <w:t>1</w:t>
            </w:r>
            <w:r>
              <w:rPr>
                <w:rFonts w:ascii="宋体" w:hAnsi="宋体" w:cs="宋体" w:eastAsia="宋体" w:hint="default"/>
                <w:spacing w:val="-1"/>
                <w:sz w:val="15"/>
                <w:szCs w:val="15"/>
              </w:rPr>
              <w:t>、以智慧校园理念为基础的新一代校园一卡通平台系统，行业唯一将数字化校园与一卡通产品线深度融合，重新构</w:t>
            </w:r>
          </w:p>
        </w:tc>
      </w:tr>
      <w:tr>
        <w:trPr>
          <w:trHeight w:val="308"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宋体" w:hAnsi="宋体" w:cs="宋体" w:eastAsia="宋体" w:hint="default"/>
                <w:sz w:val="15"/>
                <w:szCs w:val="15"/>
              </w:rPr>
              <w:t>建智慧校园顶层设计，实现数字化校园和一卡通的综合应用；</w:t>
            </w:r>
          </w:p>
        </w:tc>
      </w:tr>
      <w:tr>
        <w:trPr>
          <w:trHeight w:val="238"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、基于云计算和多租户的集约化智慧校园一卡通</w:t>
            </w:r>
            <w:r>
              <w:rPr>
                <w:rFonts w:ascii="Times New Roman" w:hAnsi="Times New Roman" w:cs="Times New Roman" w:eastAsia="Times New Roman" w:hint="default"/>
                <w:sz w:val="15"/>
                <w:szCs w:val="15"/>
              </w:rPr>
              <w:t>SaaS</w:t>
            </w:r>
            <w:r>
              <w:rPr>
                <w:rFonts w:ascii="宋体" w:hAnsi="宋体" w:cs="宋体" w:eastAsia="宋体" w:hint="default"/>
                <w:sz w:val="15"/>
                <w:szCs w:val="15"/>
              </w:rPr>
              <w:t>云平台；</w:t>
            </w:r>
          </w:p>
        </w:tc>
      </w:tr>
      <w:tr>
        <w:trPr>
          <w:trHeight w:val="152"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3" w:right="-17"/>
              <w:jc w:val="left"/>
              <w:rPr>
                <w:rFonts w:ascii="宋体" w:hAnsi="宋体" w:cs="宋体" w:eastAsia="宋体" w:hint="default"/>
                <w:sz w:val="15"/>
                <w:szCs w:val="15"/>
              </w:rPr>
            </w:pPr>
            <w:r>
              <w:rPr>
                <w:rFonts w:ascii="宋体" w:hAnsi="宋体" w:cs="宋体" w:eastAsia="宋体" w:hint="default"/>
                <w:spacing w:val="17"/>
                <w:sz w:val="15"/>
                <w:szCs w:val="15"/>
              </w:rPr>
              <w:t>计划起止日期：</w:t>
            </w:r>
            <w:r>
              <w:rPr>
                <w:rFonts w:ascii="宋体" w:hAnsi="宋体" w:cs="宋体" w:eastAsia="宋体" w:hint="default"/>
                <w:spacing w:val="-55"/>
                <w:sz w:val="15"/>
                <w:szCs w:val="15"/>
              </w:rPr>
              <w:t> </w:t>
            </w:r>
            <w:r>
              <w:rPr>
                <w:rFonts w:ascii="宋体" w:hAnsi="宋体" w:cs="宋体" w:eastAsia="宋体" w:hint="default"/>
                <w:sz w:val="15"/>
                <w:szCs w:val="15"/>
              </w:rPr>
            </w:r>
          </w:p>
        </w:tc>
        <w:tc>
          <w:tcPr>
            <w:tcW w:w="7574" w:type="dxa"/>
            <w:tcBorders>
              <w:top w:val="nil" w:sz="6" w:space="0" w:color="auto"/>
              <w:left w:val="single" w:sz="6" w:space="0" w:color="000000"/>
              <w:bottom w:val="nil" w:sz="6" w:space="0" w:color="auto"/>
              <w:right w:val="single" w:sz="6" w:space="0" w:color="000000"/>
            </w:tcBorders>
          </w:tcPr>
          <w:p>
            <w:pPr/>
          </w:p>
        </w:tc>
      </w:tr>
      <w:tr>
        <w:trPr>
          <w:trHeight w:val="160"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164" w:lineRule="exact"/>
              <w:ind w:left="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、独有</w:t>
            </w:r>
            <w:r>
              <w:rPr>
                <w:rFonts w:ascii="Times New Roman" w:hAnsi="Times New Roman" w:cs="Times New Roman" w:eastAsia="Times New Roman" w:hint="default"/>
                <w:sz w:val="15"/>
                <w:szCs w:val="15"/>
              </w:rPr>
              <w:t>“</w:t>
            </w:r>
            <w:r>
              <w:rPr>
                <w:rFonts w:ascii="宋体" w:hAnsi="宋体" w:cs="宋体" w:eastAsia="宋体" w:hint="default"/>
                <w:sz w:val="15"/>
                <w:szCs w:val="15"/>
              </w:rPr>
              <w:t>全自助</w:t>
            </w:r>
            <w:r>
              <w:rPr>
                <w:rFonts w:ascii="Times New Roman" w:hAnsi="Times New Roman" w:cs="Times New Roman" w:eastAsia="Times New Roman" w:hint="default"/>
                <w:sz w:val="15"/>
                <w:szCs w:val="15"/>
              </w:rPr>
              <w:t>”</w:t>
            </w:r>
            <w:r>
              <w:rPr>
                <w:rFonts w:ascii="宋体" w:hAnsi="宋体" w:cs="宋体" w:eastAsia="宋体" w:hint="default"/>
                <w:sz w:val="15"/>
                <w:szCs w:val="15"/>
              </w:rPr>
              <w:t>的设计理念，用户全自助实现发卡、充值、补卡、缴费、信息查询等全生命周期的自助服务，为校</w:t>
            </w:r>
          </w:p>
        </w:tc>
      </w:tr>
      <w:tr>
        <w:trPr>
          <w:trHeight w:val="155" w:hRule="exact"/>
        </w:trPr>
        <w:tc>
          <w:tcPr>
            <w:tcW w:w="560" w:type="dxa"/>
            <w:tcBorders>
              <w:top w:val="nil" w:sz="6" w:space="0" w:color="auto"/>
              <w:left w:val="single" w:sz="6" w:space="0" w:color="000000"/>
              <w:bottom w:val="nil" w:sz="6" w:space="0" w:color="auto"/>
              <w:right w:val="single" w:sz="6" w:space="0" w:color="000000"/>
            </w:tcBorders>
          </w:tcPr>
          <w:p>
            <w:pPr>
              <w:pStyle w:val="TableParagraph"/>
              <w:spacing w:line="159" w:lineRule="exact"/>
              <w:ind w:right="0"/>
              <w:jc w:val="center"/>
              <w:rPr>
                <w:rFonts w:ascii="Times New Roman" w:hAnsi="Times New Roman" w:cs="Times New Roman" w:eastAsia="Times New Roman" w:hint="default"/>
                <w:sz w:val="15"/>
                <w:szCs w:val="15"/>
              </w:rPr>
            </w:pPr>
            <w:r>
              <w:rPr>
                <w:rFonts w:ascii="Times New Roman"/>
                <w:sz w:val="15"/>
              </w:rPr>
              <w:t>7</w:t>
            </w:r>
          </w:p>
        </w:tc>
        <w:tc>
          <w:tcPr>
            <w:tcW w:w="2028"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2" w:right="0"/>
              <w:jc w:val="left"/>
              <w:rPr>
                <w:rFonts w:ascii="宋体" w:hAnsi="宋体" w:cs="宋体" w:eastAsia="宋体" w:hint="default"/>
                <w:sz w:val="15"/>
                <w:szCs w:val="15"/>
              </w:rPr>
            </w:pPr>
            <w:r>
              <w:rPr>
                <w:rFonts w:ascii="宋体" w:hAnsi="宋体" w:cs="宋体" w:eastAsia="宋体" w:hint="default"/>
                <w:sz w:val="15"/>
                <w:szCs w:val="15"/>
              </w:rPr>
              <w:t>智慧校园一卡通平台</w:t>
            </w:r>
          </w:p>
        </w:tc>
        <w:tc>
          <w:tcPr>
            <w:tcW w:w="919"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2" w:right="0"/>
              <w:jc w:val="left"/>
              <w:rPr>
                <w:rFonts w:ascii="宋体" w:hAnsi="宋体" w:cs="宋体" w:eastAsia="宋体" w:hint="default"/>
                <w:sz w:val="15"/>
                <w:szCs w:val="15"/>
              </w:rPr>
            </w:pPr>
            <w:r>
              <w:rPr>
                <w:rFonts w:ascii="宋体" w:hAnsi="宋体" w:cs="宋体" w:eastAsia="宋体" w:hint="default"/>
                <w:sz w:val="15"/>
                <w:szCs w:val="15"/>
              </w:rPr>
              <w:t>校园一卡通</w:t>
            </w:r>
          </w:p>
        </w:tc>
        <w:tc>
          <w:tcPr>
            <w:tcW w:w="1770"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3" w:right="0"/>
              <w:jc w:val="left"/>
              <w:rPr>
                <w:rFonts w:ascii="宋体" w:hAnsi="宋体" w:cs="宋体" w:eastAsia="宋体" w:hint="default"/>
                <w:sz w:val="15"/>
                <w:szCs w:val="15"/>
              </w:rPr>
            </w:pPr>
            <w:r>
              <w:rPr>
                <w:rFonts w:ascii="宋体" w:hAnsi="宋体" w:cs="宋体" w:eastAsia="宋体" w:hint="default"/>
                <w:sz w:val="15"/>
                <w:szCs w:val="15"/>
              </w:rPr>
              <w:t>开发阶段</w:t>
            </w:r>
          </w:p>
        </w:tc>
        <w:tc>
          <w:tcPr>
            <w:tcW w:w="1194" w:type="dxa"/>
            <w:tcBorders>
              <w:top w:val="nil" w:sz="6" w:space="0" w:color="auto"/>
              <w:left w:val="single" w:sz="6" w:space="0" w:color="000000"/>
              <w:bottom w:val="nil" w:sz="6" w:space="0" w:color="auto"/>
              <w:right w:val="single" w:sz="6" w:space="0" w:color="000000"/>
            </w:tcBorders>
          </w:tcPr>
          <w:p>
            <w:pPr>
              <w:pStyle w:val="TableParagraph"/>
              <w:spacing w:line="159" w:lineRule="exact"/>
              <w:ind w:left="3" w:right="0"/>
              <w:jc w:val="left"/>
              <w:rPr>
                <w:rFonts w:ascii="Times New Roman" w:hAnsi="Times New Roman" w:cs="Times New Roman" w:eastAsia="Times New Roman" w:hint="default"/>
                <w:sz w:val="15"/>
                <w:szCs w:val="15"/>
              </w:rPr>
            </w:pPr>
            <w:r>
              <w:rPr>
                <w:rFonts w:ascii="Times New Roman"/>
                <w:sz w:val="15"/>
              </w:rPr>
              <w:t>2015/3/1-</w:t>
            </w:r>
          </w:p>
        </w:tc>
        <w:tc>
          <w:tcPr>
            <w:tcW w:w="7574" w:type="dxa"/>
            <w:tcBorders>
              <w:top w:val="nil" w:sz="6" w:space="0" w:color="auto"/>
              <w:left w:val="single" w:sz="6" w:space="0" w:color="000000"/>
              <w:bottom w:val="nil" w:sz="6" w:space="0" w:color="auto"/>
              <w:right w:val="single" w:sz="6" w:space="0" w:color="000000"/>
            </w:tcBorders>
          </w:tcPr>
          <w:p>
            <w:pPr/>
          </w:p>
        </w:tc>
      </w:tr>
      <w:tr>
        <w:trPr>
          <w:trHeight w:val="156"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3" w:right="0"/>
              <w:jc w:val="left"/>
              <w:rPr>
                <w:rFonts w:ascii="宋体" w:hAnsi="宋体" w:cs="宋体" w:eastAsia="宋体" w:hint="default"/>
                <w:sz w:val="15"/>
                <w:szCs w:val="15"/>
              </w:rPr>
            </w:pPr>
            <w:r>
              <w:rPr>
                <w:rFonts w:ascii="宋体" w:hAnsi="宋体" w:cs="宋体" w:eastAsia="宋体" w:hint="default"/>
                <w:sz w:val="15"/>
                <w:szCs w:val="15"/>
              </w:rPr>
              <w:t>园信息化建设节省大量人力和成本；</w:t>
            </w:r>
          </w:p>
        </w:tc>
      </w:tr>
      <w:tr>
        <w:trPr>
          <w:trHeight w:val="156"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Style w:val="TableParagraph"/>
              <w:spacing w:line="160" w:lineRule="exact"/>
              <w:ind w:left="3" w:right="0"/>
              <w:jc w:val="left"/>
              <w:rPr>
                <w:rFonts w:ascii="Times New Roman" w:hAnsi="Times New Roman" w:cs="Times New Roman" w:eastAsia="Times New Roman" w:hint="default"/>
                <w:sz w:val="15"/>
                <w:szCs w:val="15"/>
              </w:rPr>
            </w:pPr>
            <w:r>
              <w:rPr>
                <w:rFonts w:ascii="Times New Roman"/>
                <w:sz w:val="15"/>
              </w:rPr>
              <w:t>2016/12/31</w:t>
            </w:r>
          </w:p>
        </w:tc>
        <w:tc>
          <w:tcPr>
            <w:tcW w:w="7574" w:type="dxa"/>
            <w:tcBorders>
              <w:top w:val="nil" w:sz="6" w:space="0" w:color="auto"/>
              <w:left w:val="single" w:sz="6" w:space="0" w:color="000000"/>
              <w:bottom w:val="nil" w:sz="6" w:space="0" w:color="auto"/>
              <w:right w:val="single" w:sz="6" w:space="0" w:color="000000"/>
            </w:tcBorders>
          </w:tcPr>
          <w:p>
            <w:pPr/>
          </w:p>
        </w:tc>
      </w:tr>
      <w:tr>
        <w:trPr>
          <w:trHeight w:val="235"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161" w:lineRule="exact"/>
              <w:ind w:left="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、采用灵活的插件化、模块化设计，提供高效、统一的编程模型和开放接口，实现全开放系统；</w:t>
            </w:r>
          </w:p>
        </w:tc>
      </w:tr>
      <w:tr>
        <w:trPr>
          <w:trHeight w:val="312"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Times New Roman" w:hAnsi="Times New Roman" w:cs="Times New Roman" w:eastAsia="Times New Roman" w:hint="default"/>
                <w:spacing w:val="-1"/>
                <w:sz w:val="15"/>
                <w:szCs w:val="15"/>
              </w:rPr>
              <w:t>5</w:t>
            </w:r>
            <w:r>
              <w:rPr>
                <w:rFonts w:ascii="宋体" w:hAnsi="宋体" w:cs="宋体" w:eastAsia="宋体" w:hint="default"/>
                <w:spacing w:val="-1"/>
                <w:sz w:val="15"/>
                <w:szCs w:val="15"/>
              </w:rPr>
              <w:t>、基于</w:t>
            </w:r>
            <w:r>
              <w:rPr>
                <w:rFonts w:ascii="Times New Roman" w:hAnsi="Times New Roman" w:cs="Times New Roman" w:eastAsia="Times New Roman" w:hint="default"/>
                <w:spacing w:val="-1"/>
                <w:sz w:val="15"/>
                <w:szCs w:val="15"/>
              </w:rPr>
              <w:t>Hadoop</w:t>
            </w:r>
            <w:r>
              <w:rPr>
                <w:rFonts w:ascii="宋体" w:hAnsi="宋体" w:cs="宋体" w:eastAsia="宋体" w:hint="default"/>
                <w:spacing w:val="-1"/>
                <w:sz w:val="15"/>
                <w:szCs w:val="15"/>
              </w:rPr>
              <w:t>技术大数据平台，智能的分析一卡通数据，完成数据的挖掘、预测，进行贫困生的识别、个人行为轨</w:t>
            </w:r>
          </w:p>
        </w:tc>
      </w:tr>
      <w:tr>
        <w:trPr>
          <w:trHeight w:val="327" w:hRule="exact"/>
        </w:trPr>
        <w:tc>
          <w:tcPr>
            <w:tcW w:w="560" w:type="dxa"/>
            <w:tcBorders>
              <w:top w:val="nil" w:sz="6" w:space="0" w:color="auto"/>
              <w:left w:val="single" w:sz="6" w:space="0" w:color="000000"/>
              <w:bottom w:val="single" w:sz="6" w:space="0" w:color="000000"/>
              <w:right w:val="single" w:sz="6" w:space="0" w:color="000000"/>
            </w:tcBorders>
          </w:tcPr>
          <w:p>
            <w:pPr/>
          </w:p>
        </w:tc>
        <w:tc>
          <w:tcPr>
            <w:tcW w:w="2028" w:type="dxa"/>
            <w:tcBorders>
              <w:top w:val="nil" w:sz="6" w:space="0" w:color="auto"/>
              <w:left w:val="single" w:sz="6" w:space="0" w:color="000000"/>
              <w:bottom w:val="single" w:sz="6" w:space="0" w:color="000000"/>
              <w:right w:val="single" w:sz="6" w:space="0" w:color="000000"/>
            </w:tcBorders>
          </w:tcPr>
          <w:p>
            <w:pPr/>
          </w:p>
        </w:tc>
        <w:tc>
          <w:tcPr>
            <w:tcW w:w="919" w:type="dxa"/>
            <w:tcBorders>
              <w:top w:val="nil" w:sz="6" w:space="0" w:color="auto"/>
              <w:left w:val="single" w:sz="6" w:space="0" w:color="000000"/>
              <w:bottom w:val="single" w:sz="6" w:space="0" w:color="000000"/>
              <w:right w:val="single" w:sz="6" w:space="0" w:color="000000"/>
            </w:tcBorders>
          </w:tcPr>
          <w:p>
            <w:pPr/>
          </w:p>
        </w:tc>
        <w:tc>
          <w:tcPr>
            <w:tcW w:w="1770" w:type="dxa"/>
            <w:tcBorders>
              <w:top w:val="nil" w:sz="6" w:space="0" w:color="auto"/>
              <w:left w:val="single" w:sz="6" w:space="0" w:color="000000"/>
              <w:bottom w:val="single" w:sz="6" w:space="0" w:color="000000"/>
              <w:right w:val="single" w:sz="6" w:space="0" w:color="000000"/>
            </w:tcBorders>
          </w:tcPr>
          <w:p>
            <w:pPr/>
          </w:p>
        </w:tc>
        <w:tc>
          <w:tcPr>
            <w:tcW w:w="1194" w:type="dxa"/>
            <w:tcBorders>
              <w:top w:val="nil" w:sz="6" w:space="0" w:color="auto"/>
              <w:left w:val="single" w:sz="6" w:space="0" w:color="000000"/>
              <w:bottom w:val="single" w:sz="6" w:space="0" w:color="000000"/>
              <w:right w:val="single" w:sz="6" w:space="0" w:color="000000"/>
            </w:tcBorders>
          </w:tcPr>
          <w:p>
            <w:pPr/>
          </w:p>
        </w:tc>
        <w:tc>
          <w:tcPr>
            <w:tcW w:w="757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宋体" w:hAnsi="宋体" w:cs="宋体" w:eastAsia="宋体" w:hint="default"/>
                <w:sz w:val="15"/>
                <w:szCs w:val="15"/>
              </w:rPr>
              <w:t>迹分析等，提高学校的决策管理能力。</w:t>
            </w:r>
          </w:p>
        </w:tc>
      </w:tr>
      <w:tr>
        <w:trPr>
          <w:trHeight w:val="332" w:hRule="exact"/>
        </w:trPr>
        <w:tc>
          <w:tcPr>
            <w:tcW w:w="560" w:type="dxa"/>
            <w:tcBorders>
              <w:top w:val="single" w:sz="6" w:space="0" w:color="000000"/>
              <w:left w:val="single" w:sz="6" w:space="0" w:color="000000"/>
              <w:bottom w:val="nil" w:sz="6" w:space="0" w:color="auto"/>
              <w:right w:val="single" w:sz="6" w:space="0" w:color="000000"/>
            </w:tcBorders>
          </w:tcPr>
          <w:p>
            <w:pPr/>
          </w:p>
        </w:tc>
        <w:tc>
          <w:tcPr>
            <w:tcW w:w="2028" w:type="dxa"/>
            <w:tcBorders>
              <w:top w:val="single" w:sz="6" w:space="0" w:color="000000"/>
              <w:left w:val="single" w:sz="6" w:space="0" w:color="000000"/>
              <w:bottom w:val="nil" w:sz="6" w:space="0" w:color="auto"/>
              <w:right w:val="single" w:sz="6" w:space="0" w:color="000000"/>
            </w:tcBorders>
          </w:tcPr>
          <w:p>
            <w:pPr/>
          </w:p>
        </w:tc>
        <w:tc>
          <w:tcPr>
            <w:tcW w:w="919" w:type="dxa"/>
            <w:tcBorders>
              <w:top w:val="single" w:sz="6" w:space="0" w:color="000000"/>
              <w:left w:val="single" w:sz="6" w:space="0" w:color="000000"/>
              <w:bottom w:val="nil" w:sz="6" w:space="0" w:color="auto"/>
              <w:right w:val="single" w:sz="6" w:space="0" w:color="000000"/>
            </w:tcBorders>
          </w:tcPr>
          <w:p>
            <w:pPr/>
          </w:p>
        </w:tc>
        <w:tc>
          <w:tcPr>
            <w:tcW w:w="1770" w:type="dxa"/>
            <w:tcBorders>
              <w:top w:val="single" w:sz="6" w:space="0" w:color="000000"/>
              <w:left w:val="single" w:sz="6" w:space="0" w:color="000000"/>
              <w:bottom w:val="nil" w:sz="6" w:space="0" w:color="auto"/>
              <w:right w:val="single" w:sz="6" w:space="0" w:color="000000"/>
            </w:tcBorders>
          </w:tcPr>
          <w:p>
            <w:pPr/>
          </w:p>
        </w:tc>
        <w:tc>
          <w:tcPr>
            <w:tcW w:w="1194" w:type="dxa"/>
            <w:tcBorders>
              <w:top w:val="single" w:sz="6" w:space="0" w:color="000000"/>
              <w:left w:val="single" w:sz="6" w:space="0" w:color="000000"/>
              <w:bottom w:val="nil" w:sz="6" w:space="0" w:color="auto"/>
              <w:right w:val="single" w:sz="6" w:space="0" w:color="000000"/>
            </w:tcBorders>
          </w:tcPr>
          <w:p>
            <w:pPr/>
          </w:p>
        </w:tc>
        <w:tc>
          <w:tcPr>
            <w:tcW w:w="757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3"/>
              <w:ind w:left="3" w:right="0"/>
              <w:jc w:val="left"/>
              <w:rPr>
                <w:rFonts w:ascii="宋体" w:hAnsi="宋体" w:cs="宋体" w:eastAsia="宋体" w:hint="default"/>
                <w:sz w:val="15"/>
                <w:szCs w:val="15"/>
              </w:rPr>
            </w:pPr>
            <w:r>
              <w:rPr>
                <w:rFonts w:ascii="Times New Roman" w:hAnsi="Times New Roman" w:cs="Times New Roman" w:eastAsia="Times New Roman" w:hint="default"/>
                <w:spacing w:val="-1"/>
                <w:sz w:val="15"/>
                <w:szCs w:val="15"/>
              </w:rPr>
              <w:t>1</w:t>
            </w:r>
            <w:r>
              <w:rPr>
                <w:rFonts w:ascii="宋体" w:hAnsi="宋体" w:cs="宋体" w:eastAsia="宋体" w:hint="default"/>
                <w:spacing w:val="-1"/>
                <w:sz w:val="15"/>
                <w:szCs w:val="15"/>
              </w:rPr>
              <w:t>、遵循非金融机构支付服务系统相关规范，打造安全、可靠、高效的校园云支付平台，提供包括线上线下完整的统</w:t>
            </w:r>
          </w:p>
        </w:tc>
      </w:tr>
      <w:tr>
        <w:trPr>
          <w:trHeight w:val="308"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宋体" w:hAnsi="宋体" w:cs="宋体" w:eastAsia="宋体" w:hint="default"/>
                <w:sz w:val="15"/>
                <w:szCs w:val="15"/>
              </w:rPr>
              <w:t>一支付环境；</w:t>
            </w:r>
          </w:p>
        </w:tc>
      </w:tr>
      <w:tr>
        <w:trPr>
          <w:trHeight w:val="238"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3" w:right="-18"/>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、构建统一支付网关，对接各种金融支付机构，提供多种在线支付渠道；提供第三方支付、签约银行、信用支付、</w:t>
            </w:r>
          </w:p>
        </w:tc>
      </w:tr>
      <w:tr>
        <w:trPr>
          <w:trHeight w:val="152"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3" w:right="-17"/>
              <w:jc w:val="left"/>
              <w:rPr>
                <w:rFonts w:ascii="宋体" w:hAnsi="宋体" w:cs="宋体" w:eastAsia="宋体" w:hint="default"/>
                <w:sz w:val="15"/>
                <w:szCs w:val="15"/>
              </w:rPr>
            </w:pPr>
            <w:r>
              <w:rPr>
                <w:rFonts w:ascii="宋体" w:hAnsi="宋体" w:cs="宋体" w:eastAsia="宋体" w:hint="default"/>
                <w:spacing w:val="17"/>
                <w:sz w:val="15"/>
                <w:szCs w:val="15"/>
              </w:rPr>
              <w:t>计划起止日期：</w:t>
            </w:r>
            <w:r>
              <w:rPr>
                <w:rFonts w:ascii="宋体" w:hAnsi="宋体" w:cs="宋体" w:eastAsia="宋体" w:hint="default"/>
                <w:spacing w:val="-55"/>
                <w:sz w:val="15"/>
                <w:szCs w:val="15"/>
              </w:rPr>
              <w:t> </w:t>
            </w:r>
            <w:r>
              <w:rPr>
                <w:rFonts w:ascii="宋体" w:hAnsi="宋体" w:cs="宋体" w:eastAsia="宋体" w:hint="default"/>
                <w:sz w:val="15"/>
                <w:szCs w:val="15"/>
              </w:rPr>
            </w:r>
          </w:p>
        </w:tc>
        <w:tc>
          <w:tcPr>
            <w:tcW w:w="7574" w:type="dxa"/>
            <w:tcBorders>
              <w:top w:val="nil" w:sz="6" w:space="0" w:color="auto"/>
              <w:left w:val="single" w:sz="6" w:space="0" w:color="000000"/>
              <w:bottom w:val="nil" w:sz="6" w:space="0" w:color="auto"/>
              <w:right w:val="single" w:sz="6" w:space="0" w:color="000000"/>
            </w:tcBorders>
          </w:tcPr>
          <w:p>
            <w:pPr/>
          </w:p>
        </w:tc>
      </w:tr>
      <w:tr>
        <w:trPr>
          <w:trHeight w:val="164" w:hRule="exact"/>
        </w:trPr>
        <w:tc>
          <w:tcPr>
            <w:tcW w:w="560" w:type="dxa"/>
            <w:tcBorders>
              <w:top w:val="nil" w:sz="6" w:space="0" w:color="auto"/>
              <w:left w:val="single" w:sz="6" w:space="0" w:color="000000"/>
              <w:bottom w:val="nil" w:sz="6" w:space="0" w:color="auto"/>
              <w:right w:val="single" w:sz="6" w:space="0" w:color="000000"/>
            </w:tcBorders>
          </w:tcPr>
          <w:p>
            <w:pPr>
              <w:pStyle w:val="TableParagraph"/>
              <w:spacing w:line="163" w:lineRule="exact"/>
              <w:ind w:right="0"/>
              <w:jc w:val="center"/>
              <w:rPr>
                <w:rFonts w:ascii="Times New Roman" w:hAnsi="Times New Roman" w:cs="Times New Roman" w:eastAsia="Times New Roman" w:hint="default"/>
                <w:sz w:val="15"/>
                <w:szCs w:val="15"/>
              </w:rPr>
            </w:pPr>
            <w:r>
              <w:rPr>
                <w:rFonts w:ascii="Times New Roman"/>
                <w:sz w:val="15"/>
              </w:rPr>
              <w:t>8</w:t>
            </w:r>
          </w:p>
        </w:tc>
        <w:tc>
          <w:tcPr>
            <w:tcW w:w="202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2" w:right="-17"/>
              <w:jc w:val="left"/>
              <w:rPr>
                <w:rFonts w:ascii="宋体" w:hAnsi="宋体" w:cs="宋体" w:eastAsia="宋体" w:hint="default"/>
                <w:sz w:val="15"/>
                <w:szCs w:val="15"/>
              </w:rPr>
            </w:pPr>
            <w:r>
              <w:rPr>
                <w:rFonts w:ascii="宋体" w:hAnsi="宋体" w:cs="宋体" w:eastAsia="宋体" w:hint="default"/>
                <w:spacing w:val="-6"/>
                <w:sz w:val="15"/>
                <w:szCs w:val="15"/>
              </w:rPr>
              <w:t>统一支付平台（金融支付平台）</w:t>
            </w:r>
            <w:r>
              <w:rPr>
                <w:rFonts w:ascii="宋体" w:hAnsi="宋体" w:cs="宋体" w:eastAsia="宋体" w:hint="default"/>
                <w:sz w:val="15"/>
                <w:szCs w:val="15"/>
              </w:rPr>
            </w:r>
          </w:p>
        </w:tc>
        <w:tc>
          <w:tcPr>
            <w:tcW w:w="919"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2" w:right="0"/>
              <w:jc w:val="left"/>
              <w:rPr>
                <w:rFonts w:ascii="宋体" w:hAnsi="宋体" w:cs="宋体" w:eastAsia="宋体" w:hint="default"/>
                <w:sz w:val="15"/>
                <w:szCs w:val="15"/>
              </w:rPr>
            </w:pPr>
            <w:r>
              <w:rPr>
                <w:rFonts w:ascii="宋体" w:hAnsi="宋体" w:cs="宋体" w:eastAsia="宋体" w:hint="default"/>
                <w:sz w:val="15"/>
                <w:szCs w:val="15"/>
              </w:rPr>
              <w:t>小额支付</w:t>
            </w:r>
          </w:p>
        </w:tc>
        <w:tc>
          <w:tcPr>
            <w:tcW w:w="1770"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3" w:right="0"/>
              <w:jc w:val="left"/>
              <w:rPr>
                <w:rFonts w:ascii="宋体" w:hAnsi="宋体" w:cs="宋体" w:eastAsia="宋体" w:hint="default"/>
                <w:sz w:val="15"/>
                <w:szCs w:val="15"/>
              </w:rPr>
            </w:pPr>
            <w:r>
              <w:rPr>
                <w:rFonts w:ascii="宋体" w:hAnsi="宋体" w:cs="宋体" w:eastAsia="宋体" w:hint="default"/>
                <w:sz w:val="15"/>
                <w:szCs w:val="15"/>
              </w:rPr>
              <w:t>结项，已经开始销售</w:t>
            </w:r>
          </w:p>
        </w:tc>
        <w:tc>
          <w:tcPr>
            <w:tcW w:w="1194"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164" w:lineRule="exact"/>
              <w:ind w:left="3" w:right="0"/>
              <w:jc w:val="left"/>
              <w:rPr>
                <w:rFonts w:ascii="宋体" w:hAnsi="宋体" w:cs="宋体" w:eastAsia="宋体" w:hint="default"/>
                <w:sz w:val="15"/>
                <w:szCs w:val="15"/>
              </w:rPr>
            </w:pPr>
            <w:r>
              <w:rPr>
                <w:rFonts w:ascii="宋体" w:hAnsi="宋体" w:cs="宋体" w:eastAsia="宋体" w:hint="default"/>
                <w:sz w:val="15"/>
                <w:szCs w:val="15"/>
              </w:rPr>
              <w:t>扫码付、</w:t>
            </w:r>
            <w:r>
              <w:rPr>
                <w:rFonts w:ascii="Times New Roman" w:hAnsi="Times New Roman" w:cs="Times New Roman" w:eastAsia="Times New Roman" w:hint="default"/>
                <w:sz w:val="15"/>
                <w:szCs w:val="15"/>
              </w:rPr>
              <w:t>NFC</w:t>
            </w:r>
            <w:r>
              <w:rPr>
                <w:rFonts w:ascii="宋体" w:hAnsi="宋体" w:cs="宋体" w:eastAsia="宋体" w:hint="default"/>
                <w:sz w:val="15"/>
                <w:szCs w:val="15"/>
              </w:rPr>
              <w:t>多种支付方式；</w:t>
            </w:r>
          </w:p>
        </w:tc>
      </w:tr>
      <w:tr>
        <w:trPr>
          <w:trHeight w:val="152"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Style w:val="TableParagraph"/>
              <w:spacing w:line="156" w:lineRule="exact"/>
              <w:ind w:left="3" w:right="0"/>
              <w:jc w:val="left"/>
              <w:rPr>
                <w:rFonts w:ascii="Times New Roman" w:hAnsi="Times New Roman" w:cs="Times New Roman" w:eastAsia="Times New Roman" w:hint="default"/>
                <w:sz w:val="15"/>
                <w:szCs w:val="15"/>
              </w:rPr>
            </w:pPr>
            <w:r>
              <w:rPr>
                <w:rFonts w:ascii="Times New Roman"/>
                <w:sz w:val="15"/>
              </w:rPr>
              <w:t>2015/2/1-</w:t>
            </w:r>
            <w:r>
              <w:rPr>
                <w:rFonts w:ascii="Times New Roman"/>
                <w:spacing w:val="-6"/>
                <w:sz w:val="15"/>
              </w:rPr>
              <w:t> </w:t>
            </w:r>
            <w:r>
              <w:rPr>
                <w:rFonts w:ascii="Times New Roman"/>
                <w:sz w:val="15"/>
              </w:rPr>
              <w:t>2015/9/1</w:t>
            </w:r>
          </w:p>
        </w:tc>
        <w:tc>
          <w:tcPr>
            <w:tcW w:w="7574" w:type="dxa"/>
            <w:tcBorders>
              <w:top w:val="nil" w:sz="6" w:space="0" w:color="auto"/>
              <w:left w:val="single" w:sz="6" w:space="0" w:color="000000"/>
              <w:bottom w:val="nil" w:sz="6" w:space="0" w:color="auto"/>
              <w:right w:val="single" w:sz="6" w:space="0" w:color="000000"/>
            </w:tcBorders>
          </w:tcPr>
          <w:p>
            <w:pPr/>
          </w:p>
        </w:tc>
      </w:tr>
      <w:tr>
        <w:trPr>
          <w:trHeight w:val="235"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161" w:lineRule="exact"/>
              <w:ind w:left="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、基于</w:t>
            </w:r>
            <w:r>
              <w:rPr>
                <w:rFonts w:ascii="Times New Roman" w:hAnsi="Times New Roman" w:cs="Times New Roman" w:eastAsia="Times New Roman" w:hint="default"/>
                <w:sz w:val="15"/>
                <w:szCs w:val="15"/>
              </w:rPr>
              <w:t>NFC</w:t>
            </w:r>
            <w:r>
              <w:rPr>
                <w:rFonts w:ascii="宋体" w:hAnsi="宋体" w:cs="宋体" w:eastAsia="宋体" w:hint="default"/>
                <w:sz w:val="15"/>
                <w:szCs w:val="15"/>
              </w:rPr>
              <w:t>技术，实现在移动终端和自助设备上随时随地充值；</w:t>
            </w:r>
          </w:p>
        </w:tc>
      </w:tr>
      <w:tr>
        <w:trPr>
          <w:trHeight w:val="312"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、基于</w:t>
            </w:r>
            <w:r>
              <w:rPr>
                <w:rFonts w:ascii="Times New Roman" w:hAnsi="Times New Roman" w:cs="Times New Roman" w:eastAsia="Times New Roman" w:hint="default"/>
                <w:sz w:val="15"/>
                <w:szCs w:val="15"/>
              </w:rPr>
              <w:t>Token</w:t>
            </w:r>
            <w:r>
              <w:rPr>
                <w:rFonts w:ascii="宋体" w:hAnsi="宋体" w:cs="宋体" w:eastAsia="宋体" w:hint="default"/>
                <w:sz w:val="15"/>
                <w:szCs w:val="15"/>
              </w:rPr>
              <w:t>技术、数字证书、国密算法，为用户提供更安全的支付环境；</w:t>
            </w:r>
          </w:p>
        </w:tc>
      </w:tr>
      <w:tr>
        <w:trPr>
          <w:trHeight w:val="327" w:hRule="exact"/>
        </w:trPr>
        <w:tc>
          <w:tcPr>
            <w:tcW w:w="560" w:type="dxa"/>
            <w:tcBorders>
              <w:top w:val="nil" w:sz="6" w:space="0" w:color="auto"/>
              <w:left w:val="single" w:sz="6" w:space="0" w:color="000000"/>
              <w:bottom w:val="single" w:sz="6" w:space="0" w:color="000000"/>
              <w:right w:val="single" w:sz="6" w:space="0" w:color="000000"/>
            </w:tcBorders>
          </w:tcPr>
          <w:p>
            <w:pPr/>
          </w:p>
        </w:tc>
        <w:tc>
          <w:tcPr>
            <w:tcW w:w="2028" w:type="dxa"/>
            <w:tcBorders>
              <w:top w:val="nil" w:sz="6" w:space="0" w:color="auto"/>
              <w:left w:val="single" w:sz="6" w:space="0" w:color="000000"/>
              <w:bottom w:val="single" w:sz="6" w:space="0" w:color="000000"/>
              <w:right w:val="single" w:sz="6" w:space="0" w:color="000000"/>
            </w:tcBorders>
          </w:tcPr>
          <w:p>
            <w:pPr/>
          </w:p>
        </w:tc>
        <w:tc>
          <w:tcPr>
            <w:tcW w:w="919" w:type="dxa"/>
            <w:tcBorders>
              <w:top w:val="nil" w:sz="6" w:space="0" w:color="auto"/>
              <w:left w:val="single" w:sz="6" w:space="0" w:color="000000"/>
              <w:bottom w:val="single" w:sz="6" w:space="0" w:color="000000"/>
              <w:right w:val="single" w:sz="6" w:space="0" w:color="000000"/>
            </w:tcBorders>
          </w:tcPr>
          <w:p>
            <w:pPr/>
          </w:p>
        </w:tc>
        <w:tc>
          <w:tcPr>
            <w:tcW w:w="1770" w:type="dxa"/>
            <w:tcBorders>
              <w:top w:val="nil" w:sz="6" w:space="0" w:color="auto"/>
              <w:left w:val="single" w:sz="6" w:space="0" w:color="000000"/>
              <w:bottom w:val="single" w:sz="6" w:space="0" w:color="000000"/>
              <w:right w:val="single" w:sz="6" w:space="0" w:color="000000"/>
            </w:tcBorders>
          </w:tcPr>
          <w:p>
            <w:pPr/>
          </w:p>
        </w:tc>
        <w:tc>
          <w:tcPr>
            <w:tcW w:w="1194" w:type="dxa"/>
            <w:tcBorders>
              <w:top w:val="nil" w:sz="6" w:space="0" w:color="auto"/>
              <w:left w:val="single" w:sz="6" w:space="0" w:color="000000"/>
              <w:bottom w:val="single" w:sz="6" w:space="0" w:color="000000"/>
              <w:right w:val="single" w:sz="6" w:space="0" w:color="000000"/>
            </w:tcBorders>
          </w:tcPr>
          <w:p>
            <w:pPr/>
          </w:p>
        </w:tc>
        <w:tc>
          <w:tcPr>
            <w:tcW w:w="757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Times New Roman" w:hAnsi="Times New Roman" w:cs="Times New Roman" w:eastAsia="Times New Roman" w:hint="default"/>
                <w:spacing w:val="-2"/>
                <w:sz w:val="15"/>
                <w:szCs w:val="15"/>
              </w:rPr>
              <w:t>5</w:t>
            </w:r>
            <w:r>
              <w:rPr>
                <w:rFonts w:ascii="宋体" w:hAnsi="宋体" w:cs="宋体" w:eastAsia="宋体" w:hint="default"/>
                <w:spacing w:val="-2"/>
                <w:sz w:val="15"/>
                <w:szCs w:val="15"/>
              </w:rPr>
              <w:t>、整合一卡通小额缴费、数字化校园收缴费系统，提供移动终端和自助设备的在线缴费方案，使用银行</w:t>
            </w:r>
            <w:r>
              <w:rPr>
                <w:rFonts w:ascii="Times New Roman" w:hAnsi="Times New Roman" w:cs="Times New Roman" w:eastAsia="Times New Roman" w:hint="default"/>
                <w:spacing w:val="-2"/>
                <w:sz w:val="15"/>
                <w:szCs w:val="15"/>
              </w:rPr>
              <w:t>/</w:t>
            </w:r>
            <w:r>
              <w:rPr>
                <w:rFonts w:ascii="宋体" w:hAnsi="宋体" w:cs="宋体" w:eastAsia="宋体" w:hint="default"/>
                <w:spacing w:val="-2"/>
                <w:sz w:val="15"/>
                <w:szCs w:val="15"/>
              </w:rPr>
              <w:t>第三方支付</w:t>
            </w:r>
          </w:p>
        </w:tc>
      </w:tr>
    </w:tbl>
    <w:p>
      <w:pPr>
        <w:spacing w:after="0" w:line="240" w:lineRule="auto"/>
        <w:jc w:val="left"/>
        <w:rPr>
          <w:rFonts w:ascii="宋体" w:hAnsi="宋体" w:cs="宋体" w:eastAsia="宋体" w:hint="default"/>
          <w:sz w:val="15"/>
          <w:szCs w:val="15"/>
        </w:rPr>
        <w:sectPr>
          <w:pgSz w:w="16840" w:h="11910" w:orient="landscape"/>
          <w:pgMar w:header="867" w:footer="978" w:top="1060" w:bottom="1160" w:left="1320" w:right="1220"/>
        </w:sectPr>
      </w:pPr>
    </w:p>
    <w:p>
      <w:pPr>
        <w:spacing w:line="240" w:lineRule="auto" w:before="0"/>
        <w:rPr>
          <w:rFonts w:ascii="Times New Roman" w:hAnsi="Times New Roman" w:cs="Times New Roman" w:eastAsia="Times New Roman" w:hint="default"/>
          <w:sz w:val="20"/>
          <w:szCs w:val="20"/>
        </w:rPr>
      </w:pPr>
      <w:r>
        <w:rPr/>
        <w:pict>
          <v:shape style="position:absolute;margin-left:71.630997pt;margin-top:55.259998pt;width:703.4pt;height:478.95pt;mso-position-horizontal-relative:page;mso-position-vertical-relative:page;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0"/>
                    <w:gridCol w:w="2028"/>
                    <w:gridCol w:w="919"/>
                    <w:gridCol w:w="1770"/>
                    <w:gridCol w:w="1194"/>
                    <w:gridCol w:w="7574"/>
                  </w:tblGrid>
                  <w:tr>
                    <w:trPr>
                      <w:trHeight w:val="361" w:hRule="exact"/>
                    </w:trPr>
                    <w:tc>
                      <w:tcPr>
                        <w:tcW w:w="560" w:type="dxa"/>
                        <w:tcBorders>
                          <w:top w:val="single" w:sz="17" w:space="0" w:color="000000"/>
                          <w:left w:val="single" w:sz="6" w:space="0" w:color="000000"/>
                          <w:bottom w:val="single" w:sz="6" w:space="0" w:color="000000"/>
                          <w:right w:val="single" w:sz="6" w:space="0" w:color="000000"/>
                        </w:tcBorders>
                      </w:tcPr>
                      <w:p>
                        <w:pPr/>
                      </w:p>
                    </w:tc>
                    <w:tc>
                      <w:tcPr>
                        <w:tcW w:w="2028" w:type="dxa"/>
                        <w:tcBorders>
                          <w:top w:val="single" w:sz="17" w:space="0" w:color="000000"/>
                          <w:left w:val="single" w:sz="6" w:space="0" w:color="000000"/>
                          <w:bottom w:val="single" w:sz="6" w:space="0" w:color="000000"/>
                          <w:right w:val="single" w:sz="6" w:space="0" w:color="000000"/>
                        </w:tcBorders>
                      </w:tcPr>
                      <w:p>
                        <w:pPr/>
                      </w:p>
                    </w:tc>
                    <w:tc>
                      <w:tcPr>
                        <w:tcW w:w="919" w:type="dxa"/>
                        <w:tcBorders>
                          <w:top w:val="single" w:sz="17" w:space="0" w:color="000000"/>
                          <w:left w:val="single" w:sz="6" w:space="0" w:color="000000"/>
                          <w:bottom w:val="single" w:sz="6" w:space="0" w:color="000000"/>
                          <w:right w:val="single" w:sz="6" w:space="0" w:color="000000"/>
                        </w:tcBorders>
                      </w:tcPr>
                      <w:p>
                        <w:pPr/>
                      </w:p>
                    </w:tc>
                    <w:tc>
                      <w:tcPr>
                        <w:tcW w:w="1770" w:type="dxa"/>
                        <w:tcBorders>
                          <w:top w:val="single" w:sz="17" w:space="0" w:color="000000"/>
                          <w:left w:val="single" w:sz="6" w:space="0" w:color="000000"/>
                          <w:bottom w:val="single" w:sz="6" w:space="0" w:color="000000"/>
                          <w:right w:val="single" w:sz="6" w:space="0" w:color="000000"/>
                        </w:tcBorders>
                      </w:tcPr>
                      <w:p>
                        <w:pPr/>
                      </w:p>
                    </w:tc>
                    <w:tc>
                      <w:tcPr>
                        <w:tcW w:w="1194" w:type="dxa"/>
                        <w:tcBorders>
                          <w:top w:val="single" w:sz="17" w:space="0" w:color="000000"/>
                          <w:left w:val="single" w:sz="6" w:space="0" w:color="000000"/>
                          <w:bottom w:val="single" w:sz="6" w:space="0" w:color="000000"/>
                          <w:right w:val="single" w:sz="6" w:space="0" w:color="000000"/>
                        </w:tcBorders>
                      </w:tcPr>
                      <w:p>
                        <w:pPr/>
                      </w:p>
                    </w:tc>
                    <w:tc>
                      <w:tcPr>
                        <w:tcW w:w="7574"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44"/>
                          <w:ind w:left="3" w:right="0"/>
                          <w:jc w:val="left"/>
                          <w:rPr>
                            <w:rFonts w:ascii="宋体" w:hAnsi="宋体" w:cs="宋体" w:eastAsia="宋体" w:hint="default"/>
                            <w:sz w:val="15"/>
                            <w:szCs w:val="15"/>
                          </w:rPr>
                        </w:pPr>
                        <w:r>
                          <w:rPr>
                            <w:rFonts w:ascii="宋体" w:hAnsi="宋体" w:cs="宋体" w:eastAsia="宋体" w:hint="default"/>
                            <w:sz w:val="15"/>
                            <w:szCs w:val="15"/>
                          </w:rPr>
                          <w:t>和校园卡，实现移动互联网自助缴费，解决传统缴费人工收费，缴费排队、低效易错、找零麻烦的问题。</w:t>
                        </w:r>
                      </w:p>
                    </w:tc>
                  </w:tr>
                  <w:tr>
                    <w:trPr>
                      <w:trHeight w:val="333" w:hRule="exact"/>
                    </w:trPr>
                    <w:tc>
                      <w:tcPr>
                        <w:tcW w:w="560" w:type="dxa"/>
                        <w:tcBorders>
                          <w:top w:val="single" w:sz="6" w:space="0" w:color="000000"/>
                          <w:left w:val="single" w:sz="6" w:space="0" w:color="000000"/>
                          <w:bottom w:val="nil" w:sz="6" w:space="0" w:color="auto"/>
                          <w:right w:val="single" w:sz="6" w:space="0" w:color="000000"/>
                        </w:tcBorders>
                      </w:tcPr>
                      <w:p>
                        <w:pPr/>
                      </w:p>
                    </w:tc>
                    <w:tc>
                      <w:tcPr>
                        <w:tcW w:w="2028" w:type="dxa"/>
                        <w:tcBorders>
                          <w:top w:val="single" w:sz="6" w:space="0" w:color="000000"/>
                          <w:left w:val="single" w:sz="6" w:space="0" w:color="000000"/>
                          <w:bottom w:val="nil" w:sz="6" w:space="0" w:color="auto"/>
                          <w:right w:val="single" w:sz="6" w:space="0" w:color="000000"/>
                        </w:tcBorders>
                      </w:tcPr>
                      <w:p>
                        <w:pPr/>
                      </w:p>
                    </w:tc>
                    <w:tc>
                      <w:tcPr>
                        <w:tcW w:w="919" w:type="dxa"/>
                        <w:tcBorders>
                          <w:top w:val="single" w:sz="6" w:space="0" w:color="000000"/>
                          <w:left w:val="single" w:sz="6" w:space="0" w:color="000000"/>
                          <w:bottom w:val="nil" w:sz="6" w:space="0" w:color="auto"/>
                          <w:right w:val="single" w:sz="6" w:space="0" w:color="000000"/>
                        </w:tcBorders>
                      </w:tcPr>
                      <w:p>
                        <w:pPr/>
                      </w:p>
                    </w:tc>
                    <w:tc>
                      <w:tcPr>
                        <w:tcW w:w="1770" w:type="dxa"/>
                        <w:tcBorders>
                          <w:top w:val="single" w:sz="6" w:space="0" w:color="000000"/>
                          <w:left w:val="single" w:sz="6" w:space="0" w:color="000000"/>
                          <w:bottom w:val="nil" w:sz="6" w:space="0" w:color="auto"/>
                          <w:right w:val="single" w:sz="6" w:space="0" w:color="000000"/>
                        </w:tcBorders>
                      </w:tcPr>
                      <w:p>
                        <w:pPr/>
                      </w:p>
                    </w:tc>
                    <w:tc>
                      <w:tcPr>
                        <w:tcW w:w="1194" w:type="dxa"/>
                        <w:tcBorders>
                          <w:top w:val="single" w:sz="6" w:space="0" w:color="000000"/>
                          <w:left w:val="single" w:sz="6" w:space="0" w:color="000000"/>
                          <w:bottom w:val="nil" w:sz="6" w:space="0" w:color="auto"/>
                          <w:right w:val="single" w:sz="6" w:space="0" w:color="000000"/>
                        </w:tcBorders>
                      </w:tcPr>
                      <w:p>
                        <w:pPr/>
                      </w:p>
                    </w:tc>
                    <w:tc>
                      <w:tcPr>
                        <w:tcW w:w="757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4"/>
                          <w:ind w:left="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、国内首创的集校园内社交、学习和生活为一体的综合服务平台；</w:t>
                        </w:r>
                      </w:p>
                    </w:tc>
                  </w:tr>
                  <w:tr>
                    <w:trPr>
                      <w:trHeight w:val="312"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、开创性的从分配制变为订阅制，让学生、老师更自主的选择自己喜欢的服务；</w:t>
                        </w:r>
                      </w:p>
                    </w:tc>
                  </w:tr>
                  <w:tr>
                    <w:trPr>
                      <w:trHeight w:val="312"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17"/>
                          <w:jc w:val="left"/>
                          <w:rPr>
                            <w:rFonts w:ascii="宋体" w:hAnsi="宋体" w:cs="宋体" w:eastAsia="宋体" w:hint="default"/>
                            <w:sz w:val="15"/>
                            <w:szCs w:val="15"/>
                          </w:rPr>
                        </w:pPr>
                        <w:r>
                          <w:rPr>
                            <w:rFonts w:ascii="宋体" w:hAnsi="宋体" w:cs="宋体" w:eastAsia="宋体" w:hint="default"/>
                            <w:spacing w:val="17"/>
                            <w:sz w:val="15"/>
                            <w:szCs w:val="15"/>
                          </w:rPr>
                          <w:t>计划起止日期：</w:t>
                        </w:r>
                        <w:r>
                          <w:rPr>
                            <w:rFonts w:ascii="宋体" w:hAnsi="宋体" w:cs="宋体" w:eastAsia="宋体" w:hint="default"/>
                            <w:spacing w:val="-55"/>
                            <w:sz w:val="15"/>
                            <w:szCs w:val="15"/>
                          </w:rPr>
                          <w:t> </w:t>
                        </w:r>
                        <w:r>
                          <w:rPr>
                            <w:rFonts w:ascii="宋体" w:hAnsi="宋体" w:cs="宋体" w:eastAsia="宋体" w:hint="default"/>
                            <w:sz w:val="15"/>
                            <w:szCs w:val="15"/>
                          </w:rPr>
                        </w: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Times New Roman" w:hAnsi="Times New Roman" w:cs="Times New Roman" w:eastAsia="Times New Roman" w:hint="default"/>
                            <w:spacing w:val="-1"/>
                            <w:sz w:val="15"/>
                            <w:szCs w:val="15"/>
                          </w:rPr>
                          <w:t>3</w:t>
                        </w:r>
                        <w:r>
                          <w:rPr>
                            <w:rFonts w:ascii="宋体" w:hAnsi="宋体" w:cs="宋体" w:eastAsia="宋体" w:hint="default"/>
                            <w:spacing w:val="-1"/>
                            <w:sz w:val="15"/>
                            <w:szCs w:val="15"/>
                          </w:rPr>
                          <w:t>、实现碎片化学习，使学生、老师在课上课下随时沟通学习内容。帮助学生课前预习、课中交流、课后复习。帮助</w:t>
                        </w:r>
                      </w:p>
                    </w:tc>
                  </w:tr>
                  <w:tr>
                    <w:trPr>
                      <w:trHeight w:val="311" w:hRule="exact"/>
                    </w:trPr>
                    <w:tc>
                      <w:tcPr>
                        <w:tcW w:w="560"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5"/>
                            <w:szCs w:val="15"/>
                          </w:rPr>
                        </w:pPr>
                        <w:r>
                          <w:rPr>
                            <w:rFonts w:ascii="Times New Roman"/>
                            <w:sz w:val="15"/>
                          </w:rPr>
                          <w:t>9</w:t>
                        </w:r>
                      </w:p>
                    </w:tc>
                    <w:tc>
                      <w:tcPr>
                        <w:tcW w:w="2028"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宋体" w:hAnsi="宋体" w:cs="宋体" w:eastAsia="宋体" w:hint="default"/>
                            <w:sz w:val="15"/>
                            <w:szCs w:val="15"/>
                          </w:rPr>
                          <w:t>人人通第二阶段功能</w:t>
                        </w:r>
                      </w:p>
                    </w:tc>
                    <w:tc>
                      <w:tcPr>
                        <w:tcW w:w="919"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宋体" w:hAnsi="宋体" w:cs="宋体" w:eastAsia="宋体" w:hint="default"/>
                            <w:sz w:val="15"/>
                            <w:szCs w:val="15"/>
                          </w:rPr>
                          <w:t>信息集成</w:t>
                        </w:r>
                      </w:p>
                    </w:tc>
                    <w:tc>
                      <w:tcPr>
                        <w:tcW w:w="1770"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宋体" w:hAnsi="宋体" w:cs="宋体" w:eastAsia="宋体" w:hint="default"/>
                            <w:sz w:val="15"/>
                            <w:szCs w:val="15"/>
                          </w:rPr>
                          <w:t>结项，已经开始销售</w:t>
                        </w:r>
                      </w:p>
                    </w:tc>
                    <w:tc>
                      <w:tcPr>
                        <w:tcW w:w="1194"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left="3" w:right="0"/>
                          <w:jc w:val="left"/>
                          <w:rPr>
                            <w:rFonts w:ascii="Times New Roman" w:hAnsi="Times New Roman" w:cs="Times New Roman" w:eastAsia="Times New Roman" w:hint="default"/>
                            <w:sz w:val="15"/>
                            <w:szCs w:val="15"/>
                          </w:rPr>
                        </w:pPr>
                        <w:r>
                          <w:rPr>
                            <w:rFonts w:ascii="Times New Roman"/>
                            <w:sz w:val="15"/>
                          </w:rPr>
                          <w:t>2015/3/2-</w:t>
                        </w: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宋体" w:hAnsi="宋体" w:cs="宋体" w:eastAsia="宋体" w:hint="default"/>
                            <w:sz w:val="15"/>
                            <w:szCs w:val="15"/>
                          </w:rPr>
                          <w:t>老师课前组织教学内容、课中与学生沟通、课后辅导学生学习；</w:t>
                        </w:r>
                      </w:p>
                    </w:tc>
                  </w:tr>
                  <w:tr>
                    <w:trPr>
                      <w:trHeight w:val="313"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Style w:val="TableParagraph"/>
                          <w:spacing w:line="240" w:lineRule="auto" w:before="65"/>
                          <w:ind w:left="3" w:right="0"/>
                          <w:jc w:val="left"/>
                          <w:rPr>
                            <w:rFonts w:ascii="Times New Roman" w:hAnsi="Times New Roman" w:cs="Times New Roman" w:eastAsia="Times New Roman" w:hint="default"/>
                            <w:sz w:val="15"/>
                            <w:szCs w:val="15"/>
                          </w:rPr>
                        </w:pPr>
                        <w:r>
                          <w:rPr>
                            <w:rFonts w:ascii="Times New Roman"/>
                            <w:sz w:val="15"/>
                          </w:rPr>
                          <w:t>2015/11/30</w:t>
                        </w: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1"/>
                          <w:ind w:left="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、首次引入圈子概念，以圈子为主线，围绕社交、学习和生活等进行交流；</w:t>
                        </w:r>
                      </w:p>
                    </w:tc>
                  </w:tr>
                  <w:tr>
                    <w:trPr>
                      <w:trHeight w:val="312"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18"/>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宋体" w:hAnsi="宋体" w:cs="宋体" w:eastAsia="宋体" w:hint="default"/>
                            <w:sz w:val="15"/>
                            <w:szCs w:val="15"/>
                          </w:rPr>
                          <w:t>、首次实现为学分制学校的学生入校、在校的学习指引，以课程、专业、成绩等维度帮助学生选择更合适的课程。</w:t>
                        </w:r>
                      </w:p>
                    </w:tc>
                  </w:tr>
                  <w:tr>
                    <w:trPr>
                      <w:trHeight w:val="326" w:hRule="exact"/>
                    </w:trPr>
                    <w:tc>
                      <w:tcPr>
                        <w:tcW w:w="560" w:type="dxa"/>
                        <w:tcBorders>
                          <w:top w:val="nil" w:sz="6" w:space="0" w:color="auto"/>
                          <w:left w:val="single" w:sz="6" w:space="0" w:color="000000"/>
                          <w:bottom w:val="single" w:sz="6" w:space="0" w:color="000000"/>
                          <w:right w:val="single" w:sz="6" w:space="0" w:color="000000"/>
                        </w:tcBorders>
                      </w:tcPr>
                      <w:p>
                        <w:pPr/>
                      </w:p>
                    </w:tc>
                    <w:tc>
                      <w:tcPr>
                        <w:tcW w:w="2028" w:type="dxa"/>
                        <w:tcBorders>
                          <w:top w:val="nil" w:sz="6" w:space="0" w:color="auto"/>
                          <w:left w:val="single" w:sz="6" w:space="0" w:color="000000"/>
                          <w:bottom w:val="single" w:sz="6" w:space="0" w:color="000000"/>
                          <w:right w:val="single" w:sz="6" w:space="0" w:color="000000"/>
                        </w:tcBorders>
                      </w:tcPr>
                      <w:p>
                        <w:pPr/>
                      </w:p>
                    </w:tc>
                    <w:tc>
                      <w:tcPr>
                        <w:tcW w:w="919" w:type="dxa"/>
                        <w:tcBorders>
                          <w:top w:val="nil" w:sz="6" w:space="0" w:color="auto"/>
                          <w:left w:val="single" w:sz="6" w:space="0" w:color="000000"/>
                          <w:bottom w:val="single" w:sz="6" w:space="0" w:color="000000"/>
                          <w:right w:val="single" w:sz="6" w:space="0" w:color="000000"/>
                        </w:tcBorders>
                      </w:tcPr>
                      <w:p>
                        <w:pPr/>
                      </w:p>
                    </w:tc>
                    <w:tc>
                      <w:tcPr>
                        <w:tcW w:w="1770" w:type="dxa"/>
                        <w:tcBorders>
                          <w:top w:val="nil" w:sz="6" w:space="0" w:color="auto"/>
                          <w:left w:val="single" w:sz="6" w:space="0" w:color="000000"/>
                          <w:bottom w:val="single" w:sz="6" w:space="0" w:color="000000"/>
                          <w:right w:val="single" w:sz="6" w:space="0" w:color="000000"/>
                        </w:tcBorders>
                      </w:tcPr>
                      <w:p>
                        <w:pPr/>
                      </w:p>
                    </w:tc>
                    <w:tc>
                      <w:tcPr>
                        <w:tcW w:w="1194" w:type="dxa"/>
                        <w:tcBorders>
                          <w:top w:val="nil" w:sz="6" w:space="0" w:color="auto"/>
                          <w:left w:val="single" w:sz="6" w:space="0" w:color="000000"/>
                          <w:bottom w:val="single" w:sz="6" w:space="0" w:color="000000"/>
                          <w:right w:val="single" w:sz="6" w:space="0" w:color="000000"/>
                        </w:tcBorders>
                      </w:tcPr>
                      <w:p>
                        <w:pPr/>
                      </w:p>
                    </w:tc>
                    <w:tc>
                      <w:tcPr>
                        <w:tcW w:w="757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宋体" w:hAnsi="宋体" w:cs="宋体" w:eastAsia="宋体" w:hint="default"/>
                            <w:sz w:val="15"/>
                            <w:szCs w:val="15"/>
                          </w:rPr>
                          <w:t>在毕业阶段为学生就业、考研进行预测，帮助学生更出色的走出校园。</w:t>
                        </w:r>
                      </w:p>
                    </w:tc>
                  </w:tr>
                  <w:tr>
                    <w:trPr>
                      <w:trHeight w:val="333" w:hRule="exact"/>
                    </w:trPr>
                    <w:tc>
                      <w:tcPr>
                        <w:tcW w:w="560" w:type="dxa"/>
                        <w:tcBorders>
                          <w:top w:val="single" w:sz="6" w:space="0" w:color="000000"/>
                          <w:left w:val="single" w:sz="6" w:space="0" w:color="000000"/>
                          <w:bottom w:val="nil" w:sz="6" w:space="0" w:color="auto"/>
                          <w:right w:val="single" w:sz="6" w:space="0" w:color="000000"/>
                        </w:tcBorders>
                      </w:tcPr>
                      <w:p>
                        <w:pPr/>
                      </w:p>
                    </w:tc>
                    <w:tc>
                      <w:tcPr>
                        <w:tcW w:w="2028" w:type="dxa"/>
                        <w:tcBorders>
                          <w:top w:val="single" w:sz="6" w:space="0" w:color="000000"/>
                          <w:left w:val="single" w:sz="6" w:space="0" w:color="000000"/>
                          <w:bottom w:val="nil" w:sz="6" w:space="0" w:color="auto"/>
                          <w:right w:val="single" w:sz="6" w:space="0" w:color="000000"/>
                        </w:tcBorders>
                      </w:tcPr>
                      <w:p>
                        <w:pPr/>
                      </w:p>
                    </w:tc>
                    <w:tc>
                      <w:tcPr>
                        <w:tcW w:w="919" w:type="dxa"/>
                        <w:tcBorders>
                          <w:top w:val="single" w:sz="6" w:space="0" w:color="000000"/>
                          <w:left w:val="single" w:sz="6" w:space="0" w:color="000000"/>
                          <w:bottom w:val="nil" w:sz="6" w:space="0" w:color="auto"/>
                          <w:right w:val="single" w:sz="6" w:space="0" w:color="000000"/>
                        </w:tcBorders>
                      </w:tcPr>
                      <w:p>
                        <w:pPr/>
                      </w:p>
                    </w:tc>
                    <w:tc>
                      <w:tcPr>
                        <w:tcW w:w="1770" w:type="dxa"/>
                        <w:tcBorders>
                          <w:top w:val="single" w:sz="6" w:space="0" w:color="000000"/>
                          <w:left w:val="single" w:sz="6" w:space="0" w:color="000000"/>
                          <w:bottom w:val="nil" w:sz="6" w:space="0" w:color="auto"/>
                          <w:right w:val="single" w:sz="6" w:space="0" w:color="000000"/>
                        </w:tcBorders>
                      </w:tcPr>
                      <w:p>
                        <w:pPr/>
                      </w:p>
                    </w:tc>
                    <w:tc>
                      <w:tcPr>
                        <w:tcW w:w="1194" w:type="dxa"/>
                        <w:tcBorders>
                          <w:top w:val="single" w:sz="6" w:space="0" w:color="000000"/>
                          <w:left w:val="single" w:sz="6" w:space="0" w:color="000000"/>
                          <w:bottom w:val="nil" w:sz="6" w:space="0" w:color="auto"/>
                          <w:right w:val="single" w:sz="6" w:space="0" w:color="000000"/>
                        </w:tcBorders>
                      </w:tcPr>
                      <w:p>
                        <w:pPr/>
                      </w:p>
                    </w:tc>
                    <w:tc>
                      <w:tcPr>
                        <w:tcW w:w="757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4"/>
                          <w:ind w:left="3" w:right="0"/>
                          <w:jc w:val="left"/>
                          <w:rPr>
                            <w:rFonts w:ascii="宋体" w:hAnsi="宋体" w:cs="宋体" w:eastAsia="宋体" w:hint="default"/>
                            <w:sz w:val="15"/>
                            <w:szCs w:val="15"/>
                          </w:rPr>
                        </w:pPr>
                        <w:r>
                          <w:rPr>
                            <w:rFonts w:ascii="Times New Roman" w:hAnsi="Times New Roman" w:cs="Times New Roman" w:eastAsia="Times New Roman" w:hint="default"/>
                            <w:spacing w:val="-2"/>
                            <w:sz w:val="15"/>
                            <w:szCs w:val="15"/>
                          </w:rPr>
                          <w:t>1</w:t>
                        </w:r>
                        <w:r>
                          <w:rPr>
                            <w:rFonts w:ascii="宋体" w:hAnsi="宋体" w:cs="宋体" w:eastAsia="宋体" w:hint="default"/>
                            <w:spacing w:val="-2"/>
                            <w:sz w:val="15"/>
                            <w:szCs w:val="15"/>
                          </w:rPr>
                          <w:t>、独有的复合电能质量算法，科学融合了傅里叶变换和小波分析方法，能够根据用电器的负载特性准确识别和监控</w:t>
                        </w:r>
                      </w:p>
                    </w:tc>
                  </w:tr>
                  <w:tr>
                    <w:trPr>
                      <w:trHeight w:val="312"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宋体" w:hAnsi="宋体" w:cs="宋体" w:eastAsia="宋体" w:hint="default"/>
                            <w:sz w:val="15"/>
                            <w:szCs w:val="15"/>
                          </w:rPr>
                          <w:t>可根据负载类别进行分类管控，在复杂用电环境下最小识别功率可达</w:t>
                        </w:r>
                        <w:r>
                          <w:rPr>
                            <w:rFonts w:ascii="Times New Roman" w:hAnsi="Times New Roman" w:cs="Times New Roman" w:eastAsia="Times New Roman" w:hint="default"/>
                            <w:sz w:val="15"/>
                            <w:szCs w:val="15"/>
                          </w:rPr>
                          <w:t>30W</w:t>
                        </w:r>
                        <w:r>
                          <w:rPr>
                            <w:rFonts w:ascii="宋体" w:hAnsi="宋体" w:cs="宋体" w:eastAsia="宋体" w:hint="default"/>
                            <w:sz w:val="15"/>
                            <w:szCs w:val="15"/>
                          </w:rPr>
                          <w:t>，达到行业领先水平；</w:t>
                        </w:r>
                      </w:p>
                    </w:tc>
                  </w:tr>
                  <w:tr>
                    <w:trPr>
                      <w:trHeight w:val="312"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、创新性地采用了多核微处理器架构、</w:t>
                        </w:r>
                        <w:r>
                          <w:rPr>
                            <w:rFonts w:ascii="Times New Roman" w:hAnsi="Times New Roman" w:cs="Times New Roman" w:eastAsia="Times New Roman" w:hint="default"/>
                            <w:sz w:val="15"/>
                            <w:szCs w:val="15"/>
                          </w:rPr>
                          <w:t>SOC</w:t>
                        </w:r>
                        <w:r>
                          <w:rPr>
                            <w:rFonts w:ascii="宋体" w:hAnsi="宋体" w:cs="宋体" w:eastAsia="宋体" w:hint="default"/>
                            <w:sz w:val="15"/>
                            <w:szCs w:val="15"/>
                          </w:rPr>
                          <w:t>嵌入式软件电能计算算法、高达</w:t>
                        </w:r>
                        <w:r>
                          <w:rPr>
                            <w:rFonts w:ascii="Times New Roman" w:hAnsi="Times New Roman" w:cs="Times New Roman" w:eastAsia="Times New Roman" w:hint="default"/>
                            <w:sz w:val="15"/>
                            <w:szCs w:val="15"/>
                          </w:rPr>
                          <w:t>24bit  ∑-</w:t>
                        </w:r>
                        <w:r>
                          <w:rPr>
                            <w:rFonts w:ascii="Cambria" w:hAnsi="Cambria" w:cs="Cambria" w:eastAsia="Cambria" w:hint="default"/>
                            <w:sz w:val="15"/>
                            <w:szCs w:val="15"/>
                          </w:rPr>
                          <w:t>6 </w:t>
                        </w:r>
                        <w:r>
                          <w:rPr>
                            <w:rFonts w:ascii="Cambria" w:hAnsi="Cambria" w:cs="Cambria" w:eastAsia="Cambria" w:hint="default"/>
                            <w:spacing w:val="18"/>
                            <w:sz w:val="15"/>
                            <w:szCs w:val="15"/>
                          </w:rPr>
                          <w:t> </w:t>
                        </w:r>
                        <w:r>
                          <w:rPr>
                            <w:rFonts w:ascii="宋体" w:hAnsi="宋体" w:cs="宋体" w:eastAsia="宋体" w:hint="default"/>
                            <w:sz w:val="15"/>
                            <w:szCs w:val="15"/>
                          </w:rPr>
                          <w:t>高速</w:t>
                        </w:r>
                        <w:r>
                          <w:rPr>
                            <w:rFonts w:ascii="Times New Roman" w:hAnsi="Times New Roman" w:cs="Times New Roman" w:eastAsia="Times New Roman" w:hint="default"/>
                            <w:sz w:val="15"/>
                            <w:szCs w:val="15"/>
                          </w:rPr>
                          <w:t>ADC</w:t>
                        </w:r>
                        <w:r>
                          <w:rPr>
                            <w:rFonts w:ascii="宋体" w:hAnsi="宋体" w:cs="宋体" w:eastAsia="宋体" w:hint="default"/>
                            <w:sz w:val="15"/>
                            <w:szCs w:val="15"/>
                          </w:rPr>
                          <w:t>信号采样单元，实</w:t>
                        </w:r>
                      </w:p>
                    </w:tc>
                  </w:tr>
                  <w:tr>
                    <w:trPr>
                      <w:trHeight w:val="230"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17"/>
                          <w:jc w:val="left"/>
                          <w:rPr>
                            <w:rFonts w:ascii="宋体" w:hAnsi="宋体" w:cs="宋体" w:eastAsia="宋体" w:hint="default"/>
                            <w:sz w:val="15"/>
                            <w:szCs w:val="15"/>
                          </w:rPr>
                        </w:pPr>
                        <w:r>
                          <w:rPr>
                            <w:rFonts w:ascii="宋体" w:hAnsi="宋体" w:cs="宋体" w:eastAsia="宋体" w:hint="default"/>
                            <w:spacing w:val="17"/>
                            <w:sz w:val="15"/>
                            <w:szCs w:val="15"/>
                          </w:rPr>
                          <w:t>计划起止日期：</w:t>
                        </w:r>
                        <w:r>
                          <w:rPr>
                            <w:rFonts w:ascii="宋体" w:hAnsi="宋体" w:cs="宋体" w:eastAsia="宋体" w:hint="default"/>
                            <w:spacing w:val="-55"/>
                            <w:sz w:val="15"/>
                            <w:szCs w:val="15"/>
                          </w:rPr>
                          <w:t> </w:t>
                        </w:r>
                        <w:r>
                          <w:rPr>
                            <w:rFonts w:ascii="宋体" w:hAnsi="宋体" w:cs="宋体" w:eastAsia="宋体" w:hint="default"/>
                            <w:sz w:val="15"/>
                            <w:szCs w:val="15"/>
                          </w:rPr>
                        </w: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宋体" w:hAnsi="宋体" w:cs="宋体" w:eastAsia="宋体" w:hint="default"/>
                            <w:sz w:val="15"/>
                            <w:szCs w:val="15"/>
                          </w:rPr>
                          <w:t>现高速、高精度、超宽量程电能计量运算与成本的平衡；</w:t>
                        </w:r>
                      </w:p>
                    </w:tc>
                  </w:tr>
                  <w:tr>
                    <w:trPr>
                      <w:trHeight w:val="160" w:hRule="exact"/>
                    </w:trPr>
                    <w:tc>
                      <w:tcPr>
                        <w:tcW w:w="560" w:type="dxa"/>
                        <w:tcBorders>
                          <w:top w:val="nil" w:sz="6" w:space="0" w:color="auto"/>
                          <w:left w:val="single" w:sz="6" w:space="0" w:color="000000"/>
                          <w:bottom w:val="nil" w:sz="6" w:space="0" w:color="auto"/>
                          <w:right w:val="single" w:sz="6" w:space="0" w:color="000000"/>
                        </w:tcBorders>
                      </w:tcPr>
                      <w:p>
                        <w:pPr>
                          <w:pStyle w:val="TableParagraph"/>
                          <w:spacing w:line="163" w:lineRule="exact"/>
                          <w:ind w:right="1"/>
                          <w:jc w:val="center"/>
                          <w:rPr>
                            <w:rFonts w:ascii="Times New Roman" w:hAnsi="Times New Roman" w:cs="Times New Roman" w:eastAsia="Times New Roman" w:hint="default"/>
                            <w:sz w:val="15"/>
                            <w:szCs w:val="15"/>
                          </w:rPr>
                        </w:pPr>
                        <w:r>
                          <w:rPr>
                            <w:rFonts w:ascii="Times New Roman"/>
                            <w:sz w:val="15"/>
                          </w:rPr>
                          <w:t>10</w:t>
                        </w:r>
                      </w:p>
                    </w:tc>
                    <w:tc>
                      <w:tcPr>
                        <w:tcW w:w="202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2" w:right="0"/>
                          <w:jc w:val="left"/>
                          <w:rPr>
                            <w:rFonts w:ascii="宋体" w:hAnsi="宋体" w:cs="宋体" w:eastAsia="宋体" w:hint="default"/>
                            <w:sz w:val="15"/>
                            <w:szCs w:val="15"/>
                          </w:rPr>
                        </w:pPr>
                        <w:r>
                          <w:rPr>
                            <w:rFonts w:ascii="宋体" w:hAnsi="宋体" w:cs="宋体" w:eastAsia="宋体" w:hint="default"/>
                            <w:sz w:val="15"/>
                            <w:szCs w:val="15"/>
                          </w:rPr>
                          <w:t>国网标准单相电表</w:t>
                        </w:r>
                      </w:p>
                    </w:tc>
                    <w:tc>
                      <w:tcPr>
                        <w:tcW w:w="919"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2" w:right="0"/>
                          <w:jc w:val="left"/>
                          <w:rPr>
                            <w:rFonts w:ascii="宋体" w:hAnsi="宋体" w:cs="宋体" w:eastAsia="宋体" w:hint="default"/>
                            <w:sz w:val="15"/>
                            <w:szCs w:val="15"/>
                          </w:rPr>
                        </w:pPr>
                        <w:r>
                          <w:rPr>
                            <w:rFonts w:ascii="宋体" w:hAnsi="宋体" w:cs="宋体" w:eastAsia="宋体" w:hint="default"/>
                            <w:sz w:val="15"/>
                            <w:szCs w:val="15"/>
                          </w:rPr>
                          <w:t>能源管控</w:t>
                        </w:r>
                      </w:p>
                    </w:tc>
                    <w:tc>
                      <w:tcPr>
                        <w:tcW w:w="1770"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3" w:right="0"/>
                          <w:jc w:val="left"/>
                          <w:rPr>
                            <w:rFonts w:ascii="宋体" w:hAnsi="宋体" w:cs="宋体" w:eastAsia="宋体" w:hint="default"/>
                            <w:sz w:val="15"/>
                            <w:szCs w:val="15"/>
                          </w:rPr>
                        </w:pPr>
                        <w:r>
                          <w:rPr>
                            <w:rFonts w:ascii="宋体" w:hAnsi="宋体" w:cs="宋体" w:eastAsia="宋体" w:hint="default"/>
                            <w:sz w:val="15"/>
                            <w:szCs w:val="15"/>
                          </w:rPr>
                          <w:t>发布阶段</w:t>
                        </w:r>
                      </w:p>
                    </w:tc>
                    <w:tc>
                      <w:tcPr>
                        <w:tcW w:w="1194"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
                    </w:tc>
                  </w:tr>
                  <w:tr>
                    <w:trPr>
                      <w:trHeight w:val="235"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Style w:val="TableParagraph"/>
                          <w:spacing w:line="160" w:lineRule="exact"/>
                          <w:ind w:left="3" w:right="0"/>
                          <w:jc w:val="left"/>
                          <w:rPr>
                            <w:rFonts w:ascii="Times New Roman" w:hAnsi="Times New Roman" w:cs="Times New Roman" w:eastAsia="Times New Roman" w:hint="default"/>
                            <w:sz w:val="15"/>
                            <w:szCs w:val="15"/>
                          </w:rPr>
                        </w:pPr>
                        <w:r>
                          <w:rPr>
                            <w:rFonts w:ascii="Times New Roman"/>
                            <w:sz w:val="15"/>
                          </w:rPr>
                          <w:t>2015/4/1-</w:t>
                        </w:r>
                        <w:r>
                          <w:rPr>
                            <w:rFonts w:ascii="Times New Roman"/>
                            <w:spacing w:val="-6"/>
                            <w:sz w:val="15"/>
                          </w:rPr>
                          <w:t> </w:t>
                        </w:r>
                        <w:r>
                          <w:rPr>
                            <w:rFonts w:ascii="Times New Roman"/>
                            <w:sz w:val="15"/>
                          </w:rPr>
                          <w:t>2016/4/1</w:t>
                        </w: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161" w:lineRule="exact"/>
                          <w:ind w:left="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、采用具有自主知识产权的单组态纳米微晶电流互感器补偿算法，完美解决</w:t>
                        </w:r>
                        <w:r>
                          <w:rPr>
                            <w:rFonts w:ascii="Times New Roman" w:hAnsi="Times New Roman" w:cs="Times New Roman" w:eastAsia="Times New Roman" w:hint="default"/>
                            <w:sz w:val="15"/>
                            <w:szCs w:val="15"/>
                          </w:rPr>
                          <w:t>“</w:t>
                        </w:r>
                        <w:r>
                          <w:rPr>
                            <w:rFonts w:ascii="宋体" w:hAnsi="宋体" w:cs="宋体" w:eastAsia="宋体" w:hint="default"/>
                            <w:sz w:val="15"/>
                            <w:szCs w:val="15"/>
                          </w:rPr>
                          <w:t>偶次谐波与直流分量</w:t>
                        </w:r>
                        <w:r>
                          <w:rPr>
                            <w:rFonts w:ascii="Times New Roman" w:hAnsi="Times New Roman" w:cs="Times New Roman" w:eastAsia="Times New Roman" w:hint="default"/>
                            <w:sz w:val="15"/>
                            <w:szCs w:val="15"/>
                          </w:rPr>
                          <w:t>”</w:t>
                        </w:r>
                        <w:r>
                          <w:rPr>
                            <w:rFonts w:ascii="宋体" w:hAnsi="宋体" w:cs="宋体" w:eastAsia="宋体" w:hint="default"/>
                            <w:sz w:val="15"/>
                            <w:szCs w:val="15"/>
                          </w:rPr>
                          <w:t>计量误差大的行</w:t>
                        </w:r>
                      </w:p>
                    </w:tc>
                  </w:tr>
                  <w:tr>
                    <w:trPr>
                      <w:trHeight w:val="308"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宋体" w:hAnsi="宋体" w:cs="宋体" w:eastAsia="宋体" w:hint="default"/>
                            <w:sz w:val="15"/>
                            <w:szCs w:val="15"/>
                          </w:rPr>
                          <w:t>业难题，达到行业领先水平；</w:t>
                        </w:r>
                      </w:p>
                    </w:tc>
                  </w:tr>
                  <w:tr>
                    <w:trPr>
                      <w:trHeight w:val="316"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3" w:right="0"/>
                          <w:jc w:val="left"/>
                          <w:rPr>
                            <w:rFonts w:ascii="宋体" w:hAnsi="宋体" w:cs="宋体" w:eastAsia="宋体" w:hint="default"/>
                            <w:sz w:val="15"/>
                            <w:szCs w:val="15"/>
                          </w:rPr>
                        </w:pPr>
                        <w:r>
                          <w:rPr>
                            <w:rFonts w:ascii="Times New Roman" w:hAnsi="Times New Roman" w:cs="Times New Roman" w:eastAsia="Times New Roman" w:hint="default"/>
                            <w:spacing w:val="-1"/>
                            <w:sz w:val="15"/>
                            <w:szCs w:val="15"/>
                          </w:rPr>
                          <w:t>4</w:t>
                        </w:r>
                        <w:r>
                          <w:rPr>
                            <w:rFonts w:ascii="宋体" w:hAnsi="宋体" w:cs="宋体" w:eastAsia="宋体" w:hint="default"/>
                            <w:spacing w:val="-1"/>
                            <w:sz w:val="15"/>
                            <w:szCs w:val="15"/>
                          </w:rPr>
                          <w:t>、产品内置高精度温度传感器，可根据电表内微环境温度变化进行实时电能计算温度补偿，极大地提高了电表在不</w:t>
                        </w:r>
                      </w:p>
                    </w:tc>
                  </w:tr>
                  <w:tr>
                    <w:trPr>
                      <w:trHeight w:val="326" w:hRule="exact"/>
                    </w:trPr>
                    <w:tc>
                      <w:tcPr>
                        <w:tcW w:w="560" w:type="dxa"/>
                        <w:tcBorders>
                          <w:top w:val="nil" w:sz="6" w:space="0" w:color="auto"/>
                          <w:left w:val="single" w:sz="6" w:space="0" w:color="000000"/>
                          <w:bottom w:val="single" w:sz="6" w:space="0" w:color="000000"/>
                          <w:right w:val="single" w:sz="6" w:space="0" w:color="000000"/>
                        </w:tcBorders>
                      </w:tcPr>
                      <w:p>
                        <w:pPr/>
                      </w:p>
                    </w:tc>
                    <w:tc>
                      <w:tcPr>
                        <w:tcW w:w="2028" w:type="dxa"/>
                        <w:tcBorders>
                          <w:top w:val="nil" w:sz="6" w:space="0" w:color="auto"/>
                          <w:left w:val="single" w:sz="6" w:space="0" w:color="000000"/>
                          <w:bottom w:val="single" w:sz="6" w:space="0" w:color="000000"/>
                          <w:right w:val="single" w:sz="6" w:space="0" w:color="000000"/>
                        </w:tcBorders>
                      </w:tcPr>
                      <w:p>
                        <w:pPr/>
                      </w:p>
                    </w:tc>
                    <w:tc>
                      <w:tcPr>
                        <w:tcW w:w="919" w:type="dxa"/>
                        <w:tcBorders>
                          <w:top w:val="nil" w:sz="6" w:space="0" w:color="auto"/>
                          <w:left w:val="single" w:sz="6" w:space="0" w:color="000000"/>
                          <w:bottom w:val="single" w:sz="6" w:space="0" w:color="000000"/>
                          <w:right w:val="single" w:sz="6" w:space="0" w:color="000000"/>
                        </w:tcBorders>
                      </w:tcPr>
                      <w:p>
                        <w:pPr/>
                      </w:p>
                    </w:tc>
                    <w:tc>
                      <w:tcPr>
                        <w:tcW w:w="1770" w:type="dxa"/>
                        <w:tcBorders>
                          <w:top w:val="nil" w:sz="6" w:space="0" w:color="auto"/>
                          <w:left w:val="single" w:sz="6" w:space="0" w:color="000000"/>
                          <w:bottom w:val="single" w:sz="6" w:space="0" w:color="000000"/>
                          <w:right w:val="single" w:sz="6" w:space="0" w:color="000000"/>
                        </w:tcBorders>
                      </w:tcPr>
                      <w:p>
                        <w:pPr/>
                      </w:p>
                    </w:tc>
                    <w:tc>
                      <w:tcPr>
                        <w:tcW w:w="1194" w:type="dxa"/>
                        <w:tcBorders>
                          <w:top w:val="nil" w:sz="6" w:space="0" w:color="auto"/>
                          <w:left w:val="single" w:sz="6" w:space="0" w:color="000000"/>
                          <w:bottom w:val="single" w:sz="6" w:space="0" w:color="000000"/>
                          <w:right w:val="single" w:sz="6" w:space="0" w:color="000000"/>
                        </w:tcBorders>
                      </w:tcPr>
                      <w:p>
                        <w:pPr/>
                      </w:p>
                    </w:tc>
                    <w:tc>
                      <w:tcPr>
                        <w:tcW w:w="757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宋体" w:hAnsi="宋体" w:cs="宋体" w:eastAsia="宋体" w:hint="default"/>
                            <w:sz w:val="15"/>
                            <w:szCs w:val="15"/>
                          </w:rPr>
                          <w:t>同环境温度下的计量准确性。</w:t>
                        </w:r>
                      </w:p>
                    </w:tc>
                  </w:tr>
                  <w:tr>
                    <w:trPr>
                      <w:trHeight w:val="333" w:hRule="exact"/>
                    </w:trPr>
                    <w:tc>
                      <w:tcPr>
                        <w:tcW w:w="560" w:type="dxa"/>
                        <w:tcBorders>
                          <w:top w:val="single" w:sz="6" w:space="0" w:color="000000"/>
                          <w:left w:val="single" w:sz="6" w:space="0" w:color="000000"/>
                          <w:bottom w:val="nil" w:sz="6" w:space="0" w:color="auto"/>
                          <w:right w:val="single" w:sz="6" w:space="0" w:color="000000"/>
                        </w:tcBorders>
                      </w:tcPr>
                      <w:p>
                        <w:pPr/>
                      </w:p>
                    </w:tc>
                    <w:tc>
                      <w:tcPr>
                        <w:tcW w:w="2028" w:type="dxa"/>
                        <w:tcBorders>
                          <w:top w:val="single" w:sz="6" w:space="0" w:color="000000"/>
                          <w:left w:val="single" w:sz="6" w:space="0" w:color="000000"/>
                          <w:bottom w:val="nil" w:sz="6" w:space="0" w:color="auto"/>
                          <w:right w:val="single" w:sz="6" w:space="0" w:color="000000"/>
                        </w:tcBorders>
                      </w:tcPr>
                      <w:p>
                        <w:pPr/>
                      </w:p>
                    </w:tc>
                    <w:tc>
                      <w:tcPr>
                        <w:tcW w:w="919" w:type="dxa"/>
                        <w:tcBorders>
                          <w:top w:val="single" w:sz="6" w:space="0" w:color="000000"/>
                          <w:left w:val="single" w:sz="6" w:space="0" w:color="000000"/>
                          <w:bottom w:val="nil" w:sz="6" w:space="0" w:color="auto"/>
                          <w:right w:val="single" w:sz="6" w:space="0" w:color="000000"/>
                        </w:tcBorders>
                      </w:tcPr>
                      <w:p>
                        <w:pPr/>
                      </w:p>
                    </w:tc>
                    <w:tc>
                      <w:tcPr>
                        <w:tcW w:w="1770" w:type="dxa"/>
                        <w:tcBorders>
                          <w:top w:val="single" w:sz="6" w:space="0" w:color="000000"/>
                          <w:left w:val="single" w:sz="6" w:space="0" w:color="000000"/>
                          <w:bottom w:val="nil" w:sz="6" w:space="0" w:color="auto"/>
                          <w:right w:val="single" w:sz="6" w:space="0" w:color="000000"/>
                        </w:tcBorders>
                      </w:tcPr>
                      <w:p>
                        <w:pPr/>
                      </w:p>
                    </w:tc>
                    <w:tc>
                      <w:tcPr>
                        <w:tcW w:w="1194" w:type="dxa"/>
                        <w:tcBorders>
                          <w:top w:val="single" w:sz="6" w:space="0" w:color="000000"/>
                          <w:left w:val="single" w:sz="6" w:space="0" w:color="000000"/>
                          <w:bottom w:val="nil" w:sz="6" w:space="0" w:color="auto"/>
                          <w:right w:val="single" w:sz="6" w:space="0" w:color="000000"/>
                        </w:tcBorders>
                      </w:tcPr>
                      <w:p>
                        <w:pPr/>
                      </w:p>
                    </w:tc>
                    <w:tc>
                      <w:tcPr>
                        <w:tcW w:w="757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4"/>
                          <w:ind w:left="3" w:right="0"/>
                          <w:jc w:val="left"/>
                          <w:rPr>
                            <w:rFonts w:ascii="宋体" w:hAnsi="宋体" w:cs="宋体" w:eastAsia="宋体" w:hint="default"/>
                            <w:sz w:val="15"/>
                            <w:szCs w:val="15"/>
                          </w:rPr>
                        </w:pPr>
                        <w:r>
                          <w:rPr>
                            <w:rFonts w:ascii="Times New Roman" w:hAnsi="Times New Roman" w:cs="Times New Roman" w:eastAsia="Times New Roman" w:hint="default"/>
                            <w:spacing w:val="-1"/>
                            <w:sz w:val="15"/>
                            <w:szCs w:val="15"/>
                          </w:rPr>
                          <w:t>1</w:t>
                        </w:r>
                        <w:r>
                          <w:rPr>
                            <w:rFonts w:ascii="宋体" w:hAnsi="宋体" w:cs="宋体" w:eastAsia="宋体" w:hint="default"/>
                            <w:spacing w:val="-1"/>
                            <w:sz w:val="15"/>
                            <w:szCs w:val="15"/>
                          </w:rPr>
                          <w:t>、对传统门禁进行重新建构，系国内首家基于</w:t>
                        </w:r>
                        <w:r>
                          <w:rPr>
                            <w:rFonts w:ascii="Times New Roman" w:hAnsi="Times New Roman" w:cs="Times New Roman" w:eastAsia="Times New Roman" w:hint="default"/>
                            <w:spacing w:val="-1"/>
                            <w:sz w:val="15"/>
                            <w:szCs w:val="15"/>
                          </w:rPr>
                          <w:t>CAN</w:t>
                        </w:r>
                        <w:r>
                          <w:rPr>
                            <w:rFonts w:ascii="宋体" w:hAnsi="宋体" w:cs="宋体" w:eastAsia="宋体" w:hint="default"/>
                            <w:spacing w:val="-1"/>
                            <w:sz w:val="15"/>
                            <w:szCs w:val="15"/>
                          </w:rPr>
                          <w:t>通讯和标准</w:t>
                        </w:r>
                        <w:r>
                          <w:rPr>
                            <w:rFonts w:ascii="Times New Roman" w:hAnsi="Times New Roman" w:cs="Times New Roman" w:eastAsia="Times New Roman" w:hint="default"/>
                            <w:spacing w:val="-1"/>
                            <w:sz w:val="15"/>
                            <w:szCs w:val="15"/>
                          </w:rPr>
                          <w:t>86</w:t>
                        </w:r>
                        <w:r>
                          <w:rPr>
                            <w:rFonts w:ascii="宋体" w:hAnsi="宋体" w:cs="宋体" w:eastAsia="宋体" w:hint="default"/>
                            <w:spacing w:val="-1"/>
                            <w:sz w:val="15"/>
                            <w:szCs w:val="15"/>
                          </w:rPr>
                          <w:t>盒工业设计的门禁产品，主要用于解决高校宿舍由</w:t>
                        </w:r>
                      </w:p>
                    </w:tc>
                  </w:tr>
                  <w:tr>
                    <w:trPr>
                      <w:trHeight w:val="308"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宋体" w:hAnsi="宋体" w:cs="宋体" w:eastAsia="宋体" w:hint="default"/>
                            <w:sz w:val="15"/>
                            <w:szCs w:val="15"/>
                          </w:rPr>
                          <w:t>于传统门禁整体造价过高、门的改造难度大等造成宿舍管理智能化停滞的问题；</w:t>
                        </w:r>
                      </w:p>
                    </w:tc>
                  </w:tr>
                  <w:tr>
                    <w:trPr>
                      <w:trHeight w:val="316"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3" w:right="-17"/>
                          <w:jc w:val="left"/>
                          <w:rPr>
                            <w:rFonts w:ascii="宋体" w:hAnsi="宋体" w:cs="宋体" w:eastAsia="宋体" w:hint="default"/>
                            <w:sz w:val="15"/>
                            <w:szCs w:val="15"/>
                          </w:rPr>
                        </w:pPr>
                        <w:r>
                          <w:rPr>
                            <w:rFonts w:ascii="宋体" w:hAnsi="宋体" w:cs="宋体" w:eastAsia="宋体" w:hint="default"/>
                            <w:spacing w:val="17"/>
                            <w:sz w:val="15"/>
                            <w:szCs w:val="15"/>
                          </w:rPr>
                          <w:t>计划起止日期：</w:t>
                        </w:r>
                        <w:r>
                          <w:rPr>
                            <w:rFonts w:ascii="宋体" w:hAnsi="宋体" w:cs="宋体" w:eastAsia="宋体" w:hint="default"/>
                            <w:spacing w:val="-55"/>
                            <w:sz w:val="15"/>
                            <w:szCs w:val="15"/>
                          </w:rPr>
                          <w:t> </w:t>
                        </w:r>
                        <w:r>
                          <w:rPr>
                            <w:rFonts w:ascii="宋体" w:hAnsi="宋体" w:cs="宋体" w:eastAsia="宋体" w:hint="default"/>
                            <w:sz w:val="15"/>
                            <w:szCs w:val="15"/>
                          </w:rPr>
                        </w: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3" w:right="0"/>
                          <w:jc w:val="left"/>
                          <w:rPr>
                            <w:rFonts w:ascii="宋体" w:hAnsi="宋体" w:cs="宋体" w:eastAsia="宋体" w:hint="default"/>
                            <w:sz w:val="15"/>
                            <w:szCs w:val="15"/>
                          </w:rPr>
                        </w:pPr>
                        <w:r>
                          <w:rPr>
                            <w:rFonts w:ascii="Times New Roman" w:hAnsi="Times New Roman" w:cs="Times New Roman" w:eastAsia="Times New Roman" w:hint="default"/>
                            <w:spacing w:val="-1"/>
                            <w:sz w:val="15"/>
                            <w:szCs w:val="15"/>
                          </w:rPr>
                          <w:t>2</w:t>
                        </w:r>
                        <w:r>
                          <w:rPr>
                            <w:rFonts w:ascii="宋体" w:hAnsi="宋体" w:cs="宋体" w:eastAsia="宋体" w:hint="default"/>
                            <w:spacing w:val="-1"/>
                            <w:sz w:val="15"/>
                            <w:szCs w:val="15"/>
                          </w:rPr>
                          <w:t>、创新性的将需要独立安装的传统机械式开门开关与</w:t>
                        </w:r>
                        <w:r>
                          <w:rPr>
                            <w:rFonts w:ascii="Times New Roman" w:hAnsi="Times New Roman" w:cs="Times New Roman" w:eastAsia="Times New Roman" w:hint="default"/>
                            <w:spacing w:val="-1"/>
                            <w:sz w:val="15"/>
                            <w:szCs w:val="15"/>
                          </w:rPr>
                          <w:t>86</w:t>
                        </w:r>
                        <w:r>
                          <w:rPr>
                            <w:rFonts w:ascii="宋体" w:hAnsi="宋体" w:cs="宋体" w:eastAsia="宋体" w:hint="default"/>
                            <w:spacing w:val="-1"/>
                            <w:sz w:val="15"/>
                            <w:szCs w:val="15"/>
                          </w:rPr>
                          <w:t>盒控制器融合，使二者合二为一，不仅降低了系统造价、减</w:t>
                        </w:r>
                      </w:p>
                    </w:tc>
                  </w:tr>
                  <w:tr>
                    <w:trPr>
                      <w:trHeight w:val="312" w:hRule="exact"/>
                    </w:trPr>
                    <w:tc>
                      <w:tcPr>
                        <w:tcW w:w="560"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right="1"/>
                          <w:jc w:val="center"/>
                          <w:rPr>
                            <w:rFonts w:ascii="Times New Roman" w:hAnsi="Times New Roman" w:cs="Times New Roman" w:eastAsia="Times New Roman" w:hint="default"/>
                            <w:sz w:val="15"/>
                            <w:szCs w:val="15"/>
                          </w:rPr>
                        </w:pPr>
                        <w:r>
                          <w:rPr>
                            <w:rFonts w:ascii="Times New Roman"/>
                            <w:sz w:val="15"/>
                          </w:rPr>
                          <w:t>11</w:t>
                        </w:r>
                      </w:p>
                    </w:tc>
                    <w:tc>
                      <w:tcPr>
                        <w:tcW w:w="2028"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86</w:t>
                        </w:r>
                        <w:r>
                          <w:rPr>
                            <w:rFonts w:ascii="宋体" w:hAnsi="宋体" w:cs="宋体" w:eastAsia="宋体" w:hint="default"/>
                            <w:sz w:val="15"/>
                            <w:szCs w:val="15"/>
                          </w:rPr>
                          <w:t>盒门禁控制器</w:t>
                        </w:r>
                      </w:p>
                    </w:tc>
                    <w:tc>
                      <w:tcPr>
                        <w:tcW w:w="919"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宋体" w:hAnsi="宋体" w:cs="宋体" w:eastAsia="宋体" w:hint="default"/>
                            <w:sz w:val="15"/>
                            <w:szCs w:val="15"/>
                          </w:rPr>
                          <w:t>身份识别</w:t>
                        </w:r>
                      </w:p>
                    </w:tc>
                    <w:tc>
                      <w:tcPr>
                        <w:tcW w:w="1770"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宋体" w:hAnsi="宋体" w:cs="宋体" w:eastAsia="宋体" w:hint="default"/>
                            <w:sz w:val="15"/>
                            <w:szCs w:val="15"/>
                          </w:rPr>
                          <w:t>结项，已经开始销售</w:t>
                        </w:r>
                      </w:p>
                    </w:tc>
                    <w:tc>
                      <w:tcPr>
                        <w:tcW w:w="1194"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left="3" w:right="0"/>
                          <w:jc w:val="left"/>
                          <w:rPr>
                            <w:rFonts w:ascii="Times New Roman" w:hAnsi="Times New Roman" w:cs="Times New Roman" w:eastAsia="Times New Roman" w:hint="default"/>
                            <w:sz w:val="15"/>
                            <w:szCs w:val="15"/>
                          </w:rPr>
                        </w:pPr>
                        <w:r>
                          <w:rPr>
                            <w:rFonts w:ascii="Times New Roman"/>
                            <w:sz w:val="15"/>
                          </w:rPr>
                          <w:t>2015/2/3-</w:t>
                        </w: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宋体" w:hAnsi="宋体" w:cs="宋体" w:eastAsia="宋体" w:hint="default"/>
                            <w:sz w:val="15"/>
                            <w:szCs w:val="15"/>
                          </w:rPr>
                          <w:t>少了施工布线成本，在美观度上也有质的提升；</w:t>
                        </w:r>
                      </w:p>
                    </w:tc>
                  </w:tr>
                  <w:tr>
                    <w:trPr>
                      <w:trHeight w:val="312"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left="3" w:right="0"/>
                          <w:jc w:val="left"/>
                          <w:rPr>
                            <w:rFonts w:ascii="Times New Roman" w:hAnsi="Times New Roman" w:cs="Times New Roman" w:eastAsia="Times New Roman" w:hint="default"/>
                            <w:sz w:val="15"/>
                            <w:szCs w:val="15"/>
                          </w:rPr>
                        </w:pPr>
                        <w:r>
                          <w:rPr>
                            <w:rFonts w:ascii="Times New Roman"/>
                            <w:sz w:val="15"/>
                          </w:rPr>
                          <w:t>2015/9/30</w:t>
                        </w: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、业界首次将人体手势检测技术运用到室内</w:t>
                        </w:r>
                        <w:r>
                          <w:rPr>
                            <w:rFonts w:ascii="Times New Roman" w:hAnsi="Times New Roman" w:cs="Times New Roman" w:eastAsia="Times New Roman" w:hint="default"/>
                            <w:sz w:val="15"/>
                            <w:szCs w:val="15"/>
                          </w:rPr>
                          <w:t>86</w:t>
                        </w:r>
                        <w:r>
                          <w:rPr>
                            <w:rFonts w:ascii="宋体" w:hAnsi="宋体" w:cs="宋体" w:eastAsia="宋体" w:hint="default"/>
                            <w:sz w:val="15"/>
                            <w:szCs w:val="15"/>
                          </w:rPr>
                          <w:t>盒开门检测上，颠覆性的引领用户开门方式，提高用户体验；</w:t>
                        </w:r>
                      </w:p>
                    </w:tc>
                  </w:tr>
                  <w:tr>
                    <w:trPr>
                      <w:trHeight w:val="312"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、本产品秉承</w:t>
                        </w:r>
                        <w:r>
                          <w:rPr>
                            <w:rFonts w:ascii="Times New Roman" w:hAnsi="Times New Roman" w:cs="Times New Roman" w:eastAsia="Times New Roman" w:hint="default"/>
                            <w:sz w:val="15"/>
                            <w:szCs w:val="15"/>
                          </w:rPr>
                          <w:t>“</w:t>
                        </w:r>
                        <w:r>
                          <w:rPr>
                            <w:rFonts w:ascii="宋体" w:hAnsi="宋体" w:cs="宋体" w:eastAsia="宋体" w:hint="default"/>
                            <w:sz w:val="15"/>
                            <w:szCs w:val="15"/>
                          </w:rPr>
                          <w:t>智慧门禁</w:t>
                        </w:r>
                        <w:r>
                          <w:rPr>
                            <w:rFonts w:ascii="Times New Roman" w:hAnsi="Times New Roman" w:cs="Times New Roman" w:eastAsia="Times New Roman" w:hint="default"/>
                            <w:sz w:val="15"/>
                            <w:szCs w:val="15"/>
                          </w:rPr>
                          <w:t>”</w:t>
                        </w:r>
                        <w:r>
                          <w:rPr>
                            <w:rFonts w:ascii="宋体" w:hAnsi="宋体" w:cs="宋体" w:eastAsia="宋体" w:hint="default"/>
                            <w:sz w:val="15"/>
                            <w:szCs w:val="15"/>
                          </w:rPr>
                          <w:t>设计理念，产品设计上从集中部署、分布式管理等方面进行综合考虑，针对此产品开发的</w:t>
                        </w:r>
                      </w:p>
                    </w:tc>
                  </w:tr>
                  <w:tr>
                    <w:trPr>
                      <w:trHeight w:val="327" w:hRule="exact"/>
                    </w:trPr>
                    <w:tc>
                      <w:tcPr>
                        <w:tcW w:w="560" w:type="dxa"/>
                        <w:tcBorders>
                          <w:top w:val="nil" w:sz="6" w:space="0" w:color="auto"/>
                          <w:left w:val="single" w:sz="6" w:space="0" w:color="000000"/>
                          <w:bottom w:val="single" w:sz="6" w:space="0" w:color="000000"/>
                          <w:right w:val="single" w:sz="6" w:space="0" w:color="000000"/>
                        </w:tcBorders>
                      </w:tcPr>
                      <w:p>
                        <w:pPr/>
                      </w:p>
                    </w:tc>
                    <w:tc>
                      <w:tcPr>
                        <w:tcW w:w="2028" w:type="dxa"/>
                        <w:tcBorders>
                          <w:top w:val="nil" w:sz="6" w:space="0" w:color="auto"/>
                          <w:left w:val="single" w:sz="6" w:space="0" w:color="000000"/>
                          <w:bottom w:val="single" w:sz="6" w:space="0" w:color="000000"/>
                          <w:right w:val="single" w:sz="6" w:space="0" w:color="000000"/>
                        </w:tcBorders>
                      </w:tcPr>
                      <w:p>
                        <w:pPr/>
                      </w:p>
                    </w:tc>
                    <w:tc>
                      <w:tcPr>
                        <w:tcW w:w="919" w:type="dxa"/>
                        <w:tcBorders>
                          <w:top w:val="nil" w:sz="6" w:space="0" w:color="auto"/>
                          <w:left w:val="single" w:sz="6" w:space="0" w:color="000000"/>
                          <w:bottom w:val="single" w:sz="6" w:space="0" w:color="000000"/>
                          <w:right w:val="single" w:sz="6" w:space="0" w:color="000000"/>
                        </w:tcBorders>
                      </w:tcPr>
                      <w:p>
                        <w:pPr/>
                      </w:p>
                    </w:tc>
                    <w:tc>
                      <w:tcPr>
                        <w:tcW w:w="1770" w:type="dxa"/>
                        <w:tcBorders>
                          <w:top w:val="nil" w:sz="6" w:space="0" w:color="auto"/>
                          <w:left w:val="single" w:sz="6" w:space="0" w:color="000000"/>
                          <w:bottom w:val="single" w:sz="6" w:space="0" w:color="000000"/>
                          <w:right w:val="single" w:sz="6" w:space="0" w:color="000000"/>
                        </w:tcBorders>
                      </w:tcPr>
                      <w:p>
                        <w:pPr/>
                      </w:p>
                    </w:tc>
                    <w:tc>
                      <w:tcPr>
                        <w:tcW w:w="1194" w:type="dxa"/>
                        <w:tcBorders>
                          <w:top w:val="nil" w:sz="6" w:space="0" w:color="auto"/>
                          <w:left w:val="single" w:sz="6" w:space="0" w:color="000000"/>
                          <w:bottom w:val="single" w:sz="6" w:space="0" w:color="000000"/>
                          <w:right w:val="single" w:sz="6" w:space="0" w:color="000000"/>
                        </w:tcBorders>
                      </w:tcPr>
                      <w:p>
                        <w:pPr/>
                      </w:p>
                    </w:tc>
                    <w:tc>
                      <w:tcPr>
                        <w:tcW w:w="757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宋体" w:hAnsi="宋体" w:cs="宋体" w:eastAsia="宋体" w:hint="default"/>
                            <w:sz w:val="15"/>
                            <w:szCs w:val="15"/>
                          </w:rPr>
                          <w:t>智能宿管系统，将向用户提供一站式管理和宿舍大数据分析及相关服务。</w:t>
                        </w:r>
                      </w:p>
                    </w:tc>
                  </w:tr>
                  <w:tr>
                    <w:trPr>
                      <w:trHeight w:val="332" w:hRule="exact"/>
                    </w:trPr>
                    <w:tc>
                      <w:tcPr>
                        <w:tcW w:w="560" w:type="dxa"/>
                        <w:tcBorders>
                          <w:top w:val="single" w:sz="6" w:space="0" w:color="000000"/>
                          <w:left w:val="single" w:sz="6" w:space="0" w:color="000000"/>
                          <w:bottom w:val="nil" w:sz="6" w:space="0" w:color="auto"/>
                          <w:right w:val="single" w:sz="6" w:space="0" w:color="000000"/>
                        </w:tcBorders>
                      </w:tcPr>
                      <w:p>
                        <w:pPr/>
                      </w:p>
                    </w:tc>
                    <w:tc>
                      <w:tcPr>
                        <w:tcW w:w="2028" w:type="dxa"/>
                        <w:tcBorders>
                          <w:top w:val="single" w:sz="6" w:space="0" w:color="000000"/>
                          <w:left w:val="single" w:sz="6" w:space="0" w:color="000000"/>
                          <w:bottom w:val="nil" w:sz="6" w:space="0" w:color="auto"/>
                          <w:right w:val="single" w:sz="6" w:space="0" w:color="000000"/>
                        </w:tcBorders>
                      </w:tcPr>
                      <w:p>
                        <w:pPr/>
                      </w:p>
                    </w:tc>
                    <w:tc>
                      <w:tcPr>
                        <w:tcW w:w="919" w:type="dxa"/>
                        <w:tcBorders>
                          <w:top w:val="single" w:sz="6" w:space="0" w:color="000000"/>
                          <w:left w:val="single" w:sz="6" w:space="0" w:color="000000"/>
                          <w:bottom w:val="nil" w:sz="6" w:space="0" w:color="auto"/>
                          <w:right w:val="single" w:sz="6" w:space="0" w:color="000000"/>
                        </w:tcBorders>
                      </w:tcPr>
                      <w:p>
                        <w:pPr/>
                      </w:p>
                    </w:tc>
                    <w:tc>
                      <w:tcPr>
                        <w:tcW w:w="1770" w:type="dxa"/>
                        <w:tcBorders>
                          <w:top w:val="single" w:sz="6" w:space="0" w:color="000000"/>
                          <w:left w:val="single" w:sz="6" w:space="0" w:color="000000"/>
                          <w:bottom w:val="nil" w:sz="6" w:space="0" w:color="auto"/>
                          <w:right w:val="single" w:sz="6" w:space="0" w:color="000000"/>
                        </w:tcBorders>
                      </w:tcPr>
                      <w:p>
                        <w:pPr/>
                      </w:p>
                    </w:tc>
                    <w:tc>
                      <w:tcPr>
                        <w:tcW w:w="1194" w:type="dxa"/>
                        <w:tcBorders>
                          <w:top w:val="single" w:sz="6" w:space="0" w:color="000000"/>
                          <w:left w:val="single" w:sz="6" w:space="0" w:color="000000"/>
                          <w:bottom w:val="nil" w:sz="6" w:space="0" w:color="auto"/>
                          <w:right w:val="single" w:sz="6" w:space="0" w:color="000000"/>
                        </w:tcBorders>
                      </w:tcPr>
                      <w:p>
                        <w:pPr/>
                      </w:p>
                    </w:tc>
                    <w:tc>
                      <w:tcPr>
                        <w:tcW w:w="757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3"/>
                          <w:ind w:left="3" w:right="0"/>
                          <w:jc w:val="left"/>
                          <w:rPr>
                            <w:rFonts w:ascii="宋体" w:hAnsi="宋体" w:cs="宋体" w:eastAsia="宋体" w:hint="default"/>
                            <w:sz w:val="15"/>
                            <w:szCs w:val="15"/>
                          </w:rPr>
                        </w:pPr>
                        <w:r>
                          <w:rPr>
                            <w:rFonts w:ascii="Times New Roman" w:hAnsi="Times New Roman" w:cs="Times New Roman" w:eastAsia="Times New Roman" w:hint="default"/>
                            <w:spacing w:val="-1"/>
                            <w:sz w:val="15"/>
                            <w:szCs w:val="15"/>
                          </w:rPr>
                          <w:t>1</w:t>
                        </w:r>
                        <w:r>
                          <w:rPr>
                            <w:rFonts w:ascii="宋体" w:hAnsi="宋体" w:cs="宋体" w:eastAsia="宋体" w:hint="default"/>
                            <w:spacing w:val="-1"/>
                            <w:sz w:val="15"/>
                            <w:szCs w:val="15"/>
                          </w:rPr>
                          <w:t>、复合信道采用微功率无线和窄带载波通信技术：两种信道互补，首次将业界领先、公司独有的载波受控洪泛自组</w:t>
                        </w:r>
                      </w:p>
                    </w:tc>
                  </w:tr>
                  <w:tr>
                    <w:trPr>
                      <w:trHeight w:val="308"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宋体" w:hAnsi="宋体" w:cs="宋体" w:eastAsia="宋体" w:hint="default"/>
                            <w:sz w:val="15"/>
                            <w:szCs w:val="15"/>
                          </w:rPr>
                          <w:t>网方式应用于无线领域，实现了最佳的本地通信互补技术，彻底解决极端恶劣现场环境和大数据量通信场景；</w:t>
                        </w:r>
                      </w:p>
                    </w:tc>
                  </w:tr>
                  <w:tr>
                    <w:trPr>
                      <w:trHeight w:val="316"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3" w:right="-17"/>
                          <w:jc w:val="left"/>
                          <w:rPr>
                            <w:rFonts w:ascii="宋体" w:hAnsi="宋体" w:cs="宋体" w:eastAsia="宋体" w:hint="default"/>
                            <w:sz w:val="15"/>
                            <w:szCs w:val="15"/>
                          </w:rPr>
                        </w:pPr>
                        <w:r>
                          <w:rPr>
                            <w:rFonts w:ascii="宋体" w:hAnsi="宋体" w:cs="宋体" w:eastAsia="宋体" w:hint="default"/>
                            <w:spacing w:val="17"/>
                            <w:sz w:val="15"/>
                            <w:szCs w:val="15"/>
                          </w:rPr>
                          <w:t>计划起止日期：</w:t>
                        </w:r>
                        <w:r>
                          <w:rPr>
                            <w:rFonts w:ascii="宋体" w:hAnsi="宋体" w:cs="宋体" w:eastAsia="宋体" w:hint="default"/>
                            <w:spacing w:val="-55"/>
                            <w:sz w:val="15"/>
                            <w:szCs w:val="15"/>
                          </w:rPr>
                          <w:t> </w:t>
                        </w:r>
                        <w:r>
                          <w:rPr>
                            <w:rFonts w:ascii="宋体" w:hAnsi="宋体" w:cs="宋体" w:eastAsia="宋体" w:hint="default"/>
                            <w:sz w:val="15"/>
                            <w:szCs w:val="15"/>
                          </w:rPr>
                        </w: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3" w:right="0"/>
                          <w:jc w:val="left"/>
                          <w:rPr>
                            <w:rFonts w:ascii="宋体" w:hAnsi="宋体" w:cs="宋体" w:eastAsia="宋体" w:hint="default"/>
                            <w:sz w:val="15"/>
                            <w:szCs w:val="15"/>
                          </w:rPr>
                        </w:pPr>
                        <w:r>
                          <w:rPr>
                            <w:rFonts w:ascii="Times New Roman" w:hAnsi="Times New Roman" w:cs="Times New Roman" w:eastAsia="Times New Roman" w:hint="default"/>
                            <w:spacing w:val="-1"/>
                            <w:sz w:val="15"/>
                            <w:szCs w:val="15"/>
                          </w:rPr>
                          <w:t>2</w:t>
                        </w:r>
                        <w:r>
                          <w:rPr>
                            <w:rFonts w:ascii="宋体" w:hAnsi="宋体" w:cs="宋体" w:eastAsia="宋体" w:hint="default"/>
                            <w:spacing w:val="-1"/>
                            <w:sz w:val="15"/>
                            <w:szCs w:val="15"/>
                          </w:rPr>
                          <w:t>、载波中心频率自由切换：可有效避让电力线干扰信号，实现频点在线切换功能，确保在恶劣环境下的通信成功率</w:t>
                        </w:r>
                      </w:p>
                    </w:tc>
                  </w:tr>
                  <w:tr>
                    <w:trPr>
                      <w:trHeight w:val="312" w:hRule="exact"/>
                    </w:trPr>
                    <w:tc>
                      <w:tcPr>
                        <w:tcW w:w="560"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right="1"/>
                          <w:jc w:val="center"/>
                          <w:rPr>
                            <w:rFonts w:ascii="Times New Roman" w:hAnsi="Times New Roman" w:cs="Times New Roman" w:eastAsia="Times New Roman" w:hint="default"/>
                            <w:sz w:val="15"/>
                            <w:szCs w:val="15"/>
                          </w:rPr>
                        </w:pPr>
                        <w:r>
                          <w:rPr>
                            <w:rFonts w:ascii="Times New Roman"/>
                            <w:sz w:val="15"/>
                          </w:rPr>
                          <w:t>12</w:t>
                        </w:r>
                      </w:p>
                    </w:tc>
                    <w:tc>
                      <w:tcPr>
                        <w:tcW w:w="2028"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宋体" w:hAnsi="宋体" w:cs="宋体" w:eastAsia="宋体" w:hint="default"/>
                            <w:sz w:val="15"/>
                            <w:szCs w:val="15"/>
                          </w:rPr>
                          <w:t>智能型复合信道集抄系统</w:t>
                        </w:r>
                      </w:p>
                    </w:tc>
                    <w:tc>
                      <w:tcPr>
                        <w:tcW w:w="919"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宋体" w:hAnsi="宋体" w:cs="宋体" w:eastAsia="宋体" w:hint="default"/>
                            <w:sz w:val="15"/>
                            <w:szCs w:val="15"/>
                          </w:rPr>
                          <w:t>电力集成</w:t>
                        </w:r>
                      </w:p>
                    </w:tc>
                    <w:tc>
                      <w:tcPr>
                        <w:tcW w:w="1770"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宋体" w:hAnsi="宋体" w:cs="宋体" w:eastAsia="宋体" w:hint="default"/>
                            <w:sz w:val="15"/>
                            <w:szCs w:val="15"/>
                          </w:rPr>
                          <w:t>发布阶段</w:t>
                        </w:r>
                      </w:p>
                    </w:tc>
                    <w:tc>
                      <w:tcPr>
                        <w:tcW w:w="1194"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left="3" w:right="0"/>
                          <w:jc w:val="left"/>
                          <w:rPr>
                            <w:rFonts w:ascii="Times New Roman" w:hAnsi="Times New Roman" w:cs="Times New Roman" w:eastAsia="Times New Roman" w:hint="default"/>
                            <w:sz w:val="15"/>
                            <w:szCs w:val="15"/>
                          </w:rPr>
                        </w:pPr>
                        <w:r>
                          <w:rPr>
                            <w:rFonts w:ascii="Times New Roman"/>
                            <w:sz w:val="15"/>
                          </w:rPr>
                          <w:t>2015/1/1-</w:t>
                        </w: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宋体" w:hAnsi="宋体" w:cs="宋体" w:eastAsia="宋体" w:hint="default"/>
                            <w:sz w:val="15"/>
                            <w:szCs w:val="15"/>
                          </w:rPr>
                          <w:t>达到</w:t>
                        </w:r>
                        <w:r>
                          <w:rPr>
                            <w:rFonts w:ascii="Times New Roman" w:hAnsi="Times New Roman" w:cs="Times New Roman" w:eastAsia="Times New Roman" w:hint="default"/>
                            <w:sz w:val="15"/>
                            <w:szCs w:val="15"/>
                          </w:rPr>
                          <w:t>100%</w:t>
                        </w:r>
                        <w:r>
                          <w:rPr>
                            <w:rFonts w:ascii="宋体" w:hAnsi="宋体" w:cs="宋体" w:eastAsia="宋体" w:hint="default"/>
                            <w:sz w:val="15"/>
                            <w:szCs w:val="15"/>
                          </w:rPr>
                          <w:t>；</w:t>
                        </w:r>
                      </w:p>
                    </w:tc>
                  </w:tr>
                  <w:tr>
                    <w:trPr>
                      <w:trHeight w:val="312"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left="3" w:right="0"/>
                          <w:jc w:val="left"/>
                          <w:rPr>
                            <w:rFonts w:ascii="Times New Roman" w:hAnsi="Times New Roman" w:cs="Times New Roman" w:eastAsia="Times New Roman" w:hint="default"/>
                            <w:sz w:val="15"/>
                            <w:szCs w:val="15"/>
                          </w:rPr>
                        </w:pPr>
                        <w:r>
                          <w:rPr>
                            <w:rFonts w:ascii="Times New Roman"/>
                            <w:sz w:val="15"/>
                          </w:rPr>
                          <w:t>2015/12/31</w:t>
                        </w: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Times New Roman" w:hAnsi="Times New Roman" w:cs="Times New Roman" w:eastAsia="Times New Roman" w:hint="default"/>
                            <w:spacing w:val="-1"/>
                            <w:sz w:val="15"/>
                            <w:szCs w:val="15"/>
                          </w:rPr>
                          <w:t>3</w:t>
                        </w:r>
                        <w:r>
                          <w:rPr>
                            <w:rFonts w:ascii="宋体" w:hAnsi="宋体" w:cs="宋体" w:eastAsia="宋体" w:hint="default"/>
                            <w:spacing w:val="-1"/>
                            <w:sz w:val="15"/>
                            <w:szCs w:val="15"/>
                          </w:rPr>
                          <w:t>、首家实现载波远程升级功能：可远程通过互联网对现场载波程序更新，大幅降低售后成本，提高现场软件批量可</w:t>
                        </w:r>
                      </w:p>
                    </w:tc>
                  </w:tr>
                  <w:tr>
                    <w:trPr>
                      <w:trHeight w:val="308"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宋体" w:hAnsi="宋体" w:cs="宋体" w:eastAsia="宋体" w:hint="default"/>
                            <w:sz w:val="15"/>
                            <w:szCs w:val="15"/>
                          </w:rPr>
                          <w:t>维护性，更大限度地满足国网及客户的新需求；</w:t>
                        </w:r>
                      </w:p>
                    </w:tc>
                  </w:tr>
                  <w:tr>
                    <w:trPr>
                      <w:trHeight w:val="331" w:hRule="exact"/>
                    </w:trPr>
                    <w:tc>
                      <w:tcPr>
                        <w:tcW w:w="560" w:type="dxa"/>
                        <w:tcBorders>
                          <w:top w:val="nil" w:sz="6" w:space="0" w:color="auto"/>
                          <w:left w:val="single" w:sz="6" w:space="0" w:color="000000"/>
                          <w:bottom w:val="single" w:sz="6" w:space="0" w:color="000000"/>
                          <w:right w:val="single" w:sz="6" w:space="0" w:color="000000"/>
                        </w:tcBorders>
                      </w:tcPr>
                      <w:p>
                        <w:pPr/>
                      </w:p>
                    </w:tc>
                    <w:tc>
                      <w:tcPr>
                        <w:tcW w:w="2028" w:type="dxa"/>
                        <w:tcBorders>
                          <w:top w:val="nil" w:sz="6" w:space="0" w:color="auto"/>
                          <w:left w:val="single" w:sz="6" w:space="0" w:color="000000"/>
                          <w:bottom w:val="single" w:sz="6" w:space="0" w:color="000000"/>
                          <w:right w:val="single" w:sz="6" w:space="0" w:color="000000"/>
                        </w:tcBorders>
                      </w:tcPr>
                      <w:p>
                        <w:pPr/>
                      </w:p>
                    </w:tc>
                    <w:tc>
                      <w:tcPr>
                        <w:tcW w:w="919" w:type="dxa"/>
                        <w:tcBorders>
                          <w:top w:val="nil" w:sz="6" w:space="0" w:color="auto"/>
                          <w:left w:val="single" w:sz="6" w:space="0" w:color="000000"/>
                          <w:bottom w:val="single" w:sz="6" w:space="0" w:color="000000"/>
                          <w:right w:val="single" w:sz="6" w:space="0" w:color="000000"/>
                        </w:tcBorders>
                      </w:tcPr>
                      <w:p>
                        <w:pPr/>
                      </w:p>
                    </w:tc>
                    <w:tc>
                      <w:tcPr>
                        <w:tcW w:w="1770" w:type="dxa"/>
                        <w:tcBorders>
                          <w:top w:val="nil" w:sz="6" w:space="0" w:color="auto"/>
                          <w:left w:val="single" w:sz="6" w:space="0" w:color="000000"/>
                          <w:bottom w:val="single" w:sz="6" w:space="0" w:color="000000"/>
                          <w:right w:val="single" w:sz="6" w:space="0" w:color="000000"/>
                        </w:tcBorders>
                      </w:tcPr>
                      <w:p>
                        <w:pPr/>
                      </w:p>
                    </w:tc>
                    <w:tc>
                      <w:tcPr>
                        <w:tcW w:w="1194" w:type="dxa"/>
                        <w:tcBorders>
                          <w:top w:val="nil" w:sz="6" w:space="0" w:color="auto"/>
                          <w:left w:val="single" w:sz="6" w:space="0" w:color="000000"/>
                          <w:bottom w:val="single" w:sz="6" w:space="0" w:color="000000"/>
                          <w:right w:val="single" w:sz="6" w:space="0" w:color="000000"/>
                        </w:tcBorders>
                      </w:tcPr>
                      <w:p>
                        <w:pPr/>
                      </w:p>
                    </w:tc>
                    <w:tc>
                      <w:tcPr>
                        <w:tcW w:w="757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4"/>
                          <w:ind w:left="3" w:right="0"/>
                          <w:jc w:val="left"/>
                          <w:rPr>
                            <w:rFonts w:ascii="宋体" w:hAnsi="宋体" w:cs="宋体" w:eastAsia="宋体" w:hint="default"/>
                            <w:sz w:val="15"/>
                            <w:szCs w:val="15"/>
                          </w:rPr>
                        </w:pPr>
                        <w:r>
                          <w:rPr>
                            <w:rFonts w:ascii="Times New Roman" w:hAnsi="Times New Roman" w:cs="Times New Roman" w:eastAsia="Times New Roman" w:hint="default"/>
                            <w:spacing w:val="-1"/>
                            <w:sz w:val="15"/>
                            <w:szCs w:val="15"/>
                          </w:rPr>
                          <w:t>4</w:t>
                        </w:r>
                        <w:r>
                          <w:rPr>
                            <w:rFonts w:ascii="宋体" w:hAnsi="宋体" w:cs="宋体" w:eastAsia="宋体" w:hint="default"/>
                            <w:spacing w:val="-1"/>
                            <w:sz w:val="15"/>
                            <w:szCs w:val="15"/>
                          </w:rPr>
                          <w:t>、提高通信速度：在兼顾性价比原则下选择处理能力更强的处理器，并可自由选择过零传输通信模式，极大地提高</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9"/>
          <w:szCs w:val="29"/>
        </w:rPr>
      </w:pPr>
    </w:p>
    <w:p>
      <w:pPr>
        <w:spacing w:before="53"/>
        <w:ind w:left="0" w:right="107" w:firstLine="0"/>
        <w:jc w:val="right"/>
        <w:rPr>
          <w:rFonts w:ascii="宋体" w:hAnsi="宋体" w:cs="宋体" w:eastAsia="宋体" w:hint="default"/>
          <w:sz w:val="15"/>
          <w:szCs w:val="15"/>
        </w:rPr>
      </w:pPr>
      <w:r>
        <w:rPr>
          <w:rFonts w:ascii="宋体" w:hAnsi="宋体" w:cs="宋体" w:eastAsia="宋体" w:hint="default"/>
          <w:sz w:val="15"/>
          <w:szCs w:val="15"/>
        </w:rPr>
        <w:t>，</w:t>
      </w:r>
    </w:p>
    <w:p>
      <w:pPr>
        <w:spacing w:after="0"/>
        <w:jc w:val="right"/>
        <w:rPr>
          <w:rFonts w:ascii="宋体" w:hAnsi="宋体" w:cs="宋体" w:eastAsia="宋体" w:hint="default"/>
          <w:sz w:val="15"/>
          <w:szCs w:val="15"/>
        </w:rPr>
        <w:sectPr>
          <w:pgSz w:w="16840" w:h="11910" w:orient="landscape"/>
          <w:pgMar w:header="867" w:footer="978" w:top="1060" w:bottom="1160" w:left="1320" w:right="1180"/>
        </w:sectPr>
      </w:pPr>
    </w:p>
    <w:p>
      <w:pPr>
        <w:spacing w:line="240" w:lineRule="auto" w:before="0"/>
        <w:rPr>
          <w:rFonts w:ascii="宋体" w:hAnsi="宋体" w:cs="宋体" w:eastAsia="宋体" w:hint="default"/>
          <w:sz w:val="20"/>
          <w:szCs w:val="20"/>
        </w:rPr>
      </w:pPr>
      <w:r>
        <w:rPr/>
        <w:pict>
          <v:shape style="position:absolute;margin-left:71.630997pt;margin-top:55.259998pt;width:703.4pt;height:478.95pt;mso-position-horizontal-relative:page;mso-position-vertical-relative:page;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0"/>
                    <w:gridCol w:w="2028"/>
                    <w:gridCol w:w="919"/>
                    <w:gridCol w:w="1770"/>
                    <w:gridCol w:w="1194"/>
                    <w:gridCol w:w="7574"/>
                  </w:tblGrid>
                  <w:tr>
                    <w:trPr>
                      <w:trHeight w:val="361" w:hRule="exact"/>
                    </w:trPr>
                    <w:tc>
                      <w:tcPr>
                        <w:tcW w:w="560" w:type="dxa"/>
                        <w:tcBorders>
                          <w:top w:val="single" w:sz="17" w:space="0" w:color="000000"/>
                          <w:left w:val="single" w:sz="6" w:space="0" w:color="000000"/>
                          <w:bottom w:val="single" w:sz="6" w:space="0" w:color="000000"/>
                          <w:right w:val="single" w:sz="6" w:space="0" w:color="000000"/>
                        </w:tcBorders>
                      </w:tcPr>
                      <w:p>
                        <w:pPr/>
                      </w:p>
                    </w:tc>
                    <w:tc>
                      <w:tcPr>
                        <w:tcW w:w="2028" w:type="dxa"/>
                        <w:tcBorders>
                          <w:top w:val="single" w:sz="17" w:space="0" w:color="000000"/>
                          <w:left w:val="single" w:sz="6" w:space="0" w:color="000000"/>
                          <w:bottom w:val="single" w:sz="6" w:space="0" w:color="000000"/>
                          <w:right w:val="single" w:sz="6" w:space="0" w:color="000000"/>
                        </w:tcBorders>
                      </w:tcPr>
                      <w:p>
                        <w:pPr/>
                      </w:p>
                    </w:tc>
                    <w:tc>
                      <w:tcPr>
                        <w:tcW w:w="919" w:type="dxa"/>
                        <w:tcBorders>
                          <w:top w:val="single" w:sz="17" w:space="0" w:color="000000"/>
                          <w:left w:val="single" w:sz="6" w:space="0" w:color="000000"/>
                          <w:bottom w:val="single" w:sz="6" w:space="0" w:color="000000"/>
                          <w:right w:val="single" w:sz="6" w:space="0" w:color="000000"/>
                        </w:tcBorders>
                      </w:tcPr>
                      <w:p>
                        <w:pPr/>
                      </w:p>
                    </w:tc>
                    <w:tc>
                      <w:tcPr>
                        <w:tcW w:w="1770" w:type="dxa"/>
                        <w:tcBorders>
                          <w:top w:val="single" w:sz="17" w:space="0" w:color="000000"/>
                          <w:left w:val="single" w:sz="6" w:space="0" w:color="000000"/>
                          <w:bottom w:val="single" w:sz="6" w:space="0" w:color="000000"/>
                          <w:right w:val="single" w:sz="6" w:space="0" w:color="000000"/>
                        </w:tcBorders>
                      </w:tcPr>
                      <w:p>
                        <w:pPr/>
                      </w:p>
                    </w:tc>
                    <w:tc>
                      <w:tcPr>
                        <w:tcW w:w="1194" w:type="dxa"/>
                        <w:tcBorders>
                          <w:top w:val="single" w:sz="17" w:space="0" w:color="000000"/>
                          <w:left w:val="single" w:sz="6" w:space="0" w:color="000000"/>
                          <w:bottom w:val="single" w:sz="6" w:space="0" w:color="000000"/>
                          <w:right w:val="single" w:sz="6" w:space="0" w:color="000000"/>
                        </w:tcBorders>
                      </w:tcPr>
                      <w:p>
                        <w:pPr/>
                      </w:p>
                    </w:tc>
                    <w:tc>
                      <w:tcPr>
                        <w:tcW w:w="7574"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44"/>
                          <w:ind w:left="3" w:right="0"/>
                          <w:jc w:val="left"/>
                          <w:rPr>
                            <w:rFonts w:ascii="宋体" w:hAnsi="宋体" w:cs="宋体" w:eastAsia="宋体" w:hint="default"/>
                            <w:sz w:val="15"/>
                            <w:szCs w:val="15"/>
                          </w:rPr>
                        </w:pPr>
                        <w:r>
                          <w:rPr>
                            <w:rFonts w:ascii="宋体" w:hAnsi="宋体" w:cs="宋体" w:eastAsia="宋体" w:hint="default"/>
                            <w:sz w:val="15"/>
                            <w:szCs w:val="15"/>
                          </w:rPr>
                          <w:t>通信速度和通信可靠性，并具备行业极佳的性价比。</w:t>
                        </w:r>
                      </w:p>
                    </w:tc>
                  </w:tr>
                  <w:tr>
                    <w:trPr>
                      <w:trHeight w:val="1907" w:hRule="exact"/>
                    </w:trPr>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1"/>
                          <w:jc w:val="center"/>
                          <w:rPr>
                            <w:rFonts w:ascii="Times New Roman" w:hAnsi="Times New Roman" w:cs="Times New Roman" w:eastAsia="Times New Roman" w:hint="default"/>
                            <w:sz w:val="15"/>
                            <w:szCs w:val="15"/>
                          </w:rPr>
                        </w:pPr>
                        <w:r>
                          <w:rPr>
                            <w:rFonts w:ascii="Times New Roman"/>
                            <w:sz w:val="15"/>
                          </w:rPr>
                          <w:t>13</w:t>
                        </w: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 w:right="0"/>
                          <w:jc w:val="left"/>
                          <w:rPr>
                            <w:rFonts w:ascii="宋体" w:hAnsi="宋体" w:cs="宋体" w:eastAsia="宋体" w:hint="default"/>
                            <w:sz w:val="15"/>
                            <w:szCs w:val="15"/>
                          </w:rPr>
                        </w:pPr>
                        <w:r>
                          <w:rPr>
                            <w:rFonts w:ascii="宋体" w:hAnsi="宋体" w:cs="宋体" w:eastAsia="宋体" w:hint="default"/>
                            <w:sz w:val="15"/>
                            <w:szCs w:val="15"/>
                          </w:rPr>
                          <w:t>燃气综合管理信息系统</w:t>
                        </w:r>
                        <w:r>
                          <w:rPr>
                            <w:rFonts w:ascii="Times New Roman" w:hAnsi="Times New Roman" w:cs="Times New Roman" w:eastAsia="Times New Roman" w:hint="default"/>
                            <w:sz w:val="15"/>
                            <w:szCs w:val="15"/>
                          </w:rPr>
                          <w:t>BS</w:t>
                        </w:r>
                        <w:r>
                          <w:rPr>
                            <w:rFonts w:ascii="宋体" w:hAnsi="宋体" w:cs="宋体" w:eastAsia="宋体" w:hint="default"/>
                            <w:sz w:val="15"/>
                            <w:szCs w:val="15"/>
                          </w:rPr>
                          <w:t>版</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left"/>
                          <w:rPr>
                            <w:rFonts w:ascii="宋体" w:hAnsi="宋体" w:cs="宋体" w:eastAsia="宋体" w:hint="default"/>
                            <w:sz w:val="15"/>
                            <w:szCs w:val="15"/>
                          </w:rPr>
                        </w:pPr>
                        <w:r>
                          <w:rPr>
                            <w:rFonts w:ascii="宋体" w:hAnsi="宋体" w:cs="宋体" w:eastAsia="宋体" w:hint="default"/>
                            <w:sz w:val="15"/>
                            <w:szCs w:val="15"/>
                          </w:rPr>
                          <w:t>燃气集成</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 w:right="0"/>
                          <w:jc w:val="left"/>
                          <w:rPr>
                            <w:rFonts w:ascii="宋体" w:hAnsi="宋体" w:cs="宋体" w:eastAsia="宋体" w:hint="default"/>
                            <w:sz w:val="15"/>
                            <w:szCs w:val="15"/>
                          </w:rPr>
                        </w:pPr>
                        <w:r>
                          <w:rPr>
                            <w:rFonts w:ascii="宋体" w:hAnsi="宋体" w:cs="宋体" w:eastAsia="宋体" w:hint="default"/>
                            <w:sz w:val="15"/>
                            <w:szCs w:val="15"/>
                          </w:rPr>
                          <w:t>结项，已经开始销售</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8"/>
                          <w:ind w:left="3" w:right="-17"/>
                          <w:jc w:val="left"/>
                          <w:rPr>
                            <w:rFonts w:ascii="宋体" w:hAnsi="宋体" w:cs="宋体" w:eastAsia="宋体" w:hint="default"/>
                            <w:sz w:val="15"/>
                            <w:szCs w:val="15"/>
                          </w:rPr>
                        </w:pPr>
                        <w:r>
                          <w:rPr>
                            <w:rFonts w:ascii="宋体" w:hAnsi="宋体" w:cs="宋体" w:eastAsia="宋体" w:hint="default"/>
                            <w:spacing w:val="17"/>
                            <w:sz w:val="15"/>
                            <w:szCs w:val="15"/>
                          </w:rPr>
                          <w:t>计划起止日期：</w:t>
                        </w:r>
                        <w:r>
                          <w:rPr>
                            <w:rFonts w:ascii="宋体" w:hAnsi="宋体" w:cs="宋体" w:eastAsia="宋体" w:hint="default"/>
                            <w:spacing w:val="-55"/>
                            <w:sz w:val="15"/>
                            <w:szCs w:val="15"/>
                          </w:rPr>
                          <w:t> </w:t>
                        </w:r>
                        <w:r>
                          <w:rPr>
                            <w:rFonts w:ascii="宋体" w:hAnsi="宋体" w:cs="宋体" w:eastAsia="宋体" w:hint="default"/>
                            <w:sz w:val="15"/>
                            <w:szCs w:val="15"/>
                          </w:rPr>
                        </w:r>
                      </w:p>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3" w:right="0"/>
                          <w:jc w:val="left"/>
                          <w:rPr>
                            <w:rFonts w:ascii="Times New Roman" w:hAnsi="Times New Roman" w:cs="Times New Roman" w:eastAsia="Times New Roman" w:hint="default"/>
                            <w:sz w:val="15"/>
                            <w:szCs w:val="15"/>
                          </w:rPr>
                        </w:pPr>
                        <w:r>
                          <w:rPr>
                            <w:rFonts w:ascii="Times New Roman"/>
                            <w:sz w:val="15"/>
                          </w:rPr>
                          <w:t>2015/1/1-</w:t>
                        </w:r>
                        <w:r>
                          <w:rPr>
                            <w:rFonts w:ascii="Times New Roman"/>
                            <w:spacing w:val="-6"/>
                            <w:sz w:val="15"/>
                          </w:rPr>
                          <w:t> </w:t>
                        </w:r>
                        <w:r>
                          <w:rPr>
                            <w:rFonts w:ascii="Times New Roman"/>
                            <w:sz w:val="15"/>
                          </w:rPr>
                          <w:t>2015/6/1</w:t>
                        </w:r>
                      </w:p>
                    </w:tc>
                    <w:tc>
                      <w:tcPr>
                        <w:tcW w:w="7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、采用</w:t>
                        </w:r>
                        <w:r>
                          <w:rPr>
                            <w:rFonts w:ascii="Times New Roman" w:hAnsi="Times New Roman" w:cs="Times New Roman" w:eastAsia="Times New Roman" w:hint="default"/>
                            <w:sz w:val="15"/>
                            <w:szCs w:val="15"/>
                          </w:rPr>
                          <w:t>SOA</w:t>
                        </w:r>
                        <w:r>
                          <w:rPr>
                            <w:rFonts w:ascii="宋体" w:hAnsi="宋体" w:cs="宋体" w:eastAsia="宋体" w:hint="default"/>
                            <w:sz w:val="15"/>
                            <w:szCs w:val="15"/>
                          </w:rPr>
                          <w:t>体系架构及</w:t>
                        </w:r>
                        <w:r>
                          <w:rPr>
                            <w:rFonts w:ascii="Times New Roman" w:hAnsi="Times New Roman" w:cs="Times New Roman" w:eastAsia="Times New Roman" w:hint="default"/>
                            <w:sz w:val="15"/>
                            <w:szCs w:val="15"/>
                          </w:rPr>
                          <w:t>SaaS</w:t>
                        </w:r>
                        <w:r>
                          <w:rPr>
                            <w:rFonts w:ascii="宋体" w:hAnsi="宋体" w:cs="宋体" w:eastAsia="宋体" w:hint="default"/>
                            <w:sz w:val="15"/>
                            <w:szCs w:val="15"/>
                          </w:rPr>
                          <w:t>模式，实现燃气行业多应用统一管理，提高燃气行业信息建设的智能化、标准化；</w:t>
                        </w:r>
                      </w:p>
                      <w:p>
                        <w:pPr>
                          <w:pStyle w:val="TableParagraph"/>
                          <w:spacing w:line="240" w:lineRule="auto" w:before="104"/>
                          <w:ind w:left="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、采用高性能云平台进行运营信息的集成管理，基于</w:t>
                        </w:r>
                        <w:r>
                          <w:rPr>
                            <w:rFonts w:ascii="Times New Roman" w:hAnsi="Times New Roman" w:cs="Times New Roman" w:eastAsia="Times New Roman" w:hint="default"/>
                            <w:sz w:val="15"/>
                            <w:szCs w:val="15"/>
                          </w:rPr>
                          <w:t>Hadoop</w:t>
                        </w:r>
                        <w:r>
                          <w:rPr>
                            <w:rFonts w:ascii="宋体" w:hAnsi="宋体" w:cs="宋体" w:eastAsia="宋体" w:hint="default"/>
                            <w:sz w:val="15"/>
                            <w:szCs w:val="15"/>
                          </w:rPr>
                          <w:t>大数据处理技术，提供燃气行业运营决策信息；</w:t>
                        </w:r>
                      </w:p>
                      <w:p>
                        <w:pPr>
                          <w:pStyle w:val="TableParagraph"/>
                          <w:spacing w:line="367" w:lineRule="auto" w:before="104"/>
                          <w:ind w:left="3" w:right="1"/>
                          <w:jc w:val="left"/>
                          <w:rPr>
                            <w:rFonts w:ascii="宋体" w:hAnsi="宋体" w:cs="宋体" w:eastAsia="宋体" w:hint="default"/>
                            <w:sz w:val="15"/>
                            <w:szCs w:val="15"/>
                          </w:rPr>
                        </w:pPr>
                        <w:r>
                          <w:rPr>
                            <w:rFonts w:ascii="Times New Roman" w:hAnsi="Times New Roman" w:cs="Times New Roman" w:eastAsia="Times New Roman" w:hint="default"/>
                            <w:spacing w:val="-1"/>
                            <w:sz w:val="15"/>
                            <w:szCs w:val="15"/>
                          </w:rPr>
                          <w:t>3</w:t>
                        </w:r>
                        <w:r>
                          <w:rPr>
                            <w:rFonts w:ascii="宋体" w:hAnsi="宋体" w:cs="宋体" w:eastAsia="宋体" w:hint="default"/>
                            <w:spacing w:val="-1"/>
                            <w:sz w:val="15"/>
                            <w:szCs w:val="15"/>
                          </w:rPr>
                          <w:t>、集成客户报装、抄表、收费、安检、智巡检、大客户监控、短信中心、呼叫中心、工单等燃气业务，实现燃气业</w:t>
                        </w:r>
                        <w:r>
                          <w:rPr>
                            <w:rFonts w:ascii="宋体" w:hAnsi="宋体" w:cs="宋体" w:eastAsia="宋体" w:hint="default"/>
                            <w:spacing w:val="-53"/>
                            <w:sz w:val="15"/>
                            <w:szCs w:val="15"/>
                          </w:rPr>
                          <w:t> </w:t>
                        </w:r>
                        <w:r>
                          <w:rPr>
                            <w:rFonts w:ascii="宋体" w:hAnsi="宋体" w:cs="宋体" w:eastAsia="宋体" w:hint="default"/>
                            <w:spacing w:val="-53"/>
                            <w:sz w:val="15"/>
                            <w:szCs w:val="15"/>
                          </w:rPr>
                        </w:r>
                        <w:r>
                          <w:rPr>
                            <w:rFonts w:ascii="宋体" w:hAnsi="宋体" w:cs="宋体" w:eastAsia="宋体" w:hint="default"/>
                            <w:sz w:val="15"/>
                            <w:szCs w:val="15"/>
                          </w:rPr>
                          <w:t>务的集中调度管理，解决行业多应用共存、信息孤岛问题； </w:t>
                        </w:r>
                        <w:r>
                          <w:rPr>
                            <w:rFonts w:ascii="Times New Roman" w:hAnsi="Times New Roman" w:cs="Times New Roman" w:eastAsia="Times New Roman" w:hint="default"/>
                            <w:sz w:val="15"/>
                            <w:szCs w:val="15"/>
                          </w:rPr>
                          <w:t>4</w:t>
                        </w:r>
                        <w:r>
                          <w:rPr>
                            <w:rFonts w:ascii="宋体" w:hAnsi="宋体" w:cs="宋体" w:eastAsia="宋体" w:hint="default"/>
                            <w:sz w:val="15"/>
                            <w:szCs w:val="15"/>
                          </w:rPr>
                          <w:t>、首次将移动</w:t>
                        </w:r>
                        <w:r>
                          <w:rPr>
                            <w:rFonts w:ascii="Times New Roman" w:hAnsi="Times New Roman" w:cs="Times New Roman" w:eastAsia="Times New Roman" w:hint="default"/>
                            <w:sz w:val="15"/>
                            <w:szCs w:val="15"/>
                          </w:rPr>
                          <w:t>APP</w:t>
                        </w:r>
                        <w:r>
                          <w:rPr>
                            <w:rFonts w:ascii="宋体" w:hAnsi="宋体" w:cs="宋体" w:eastAsia="宋体" w:hint="default"/>
                            <w:sz w:val="15"/>
                            <w:szCs w:val="15"/>
                          </w:rPr>
                          <w:t>业务引入燃气行业，在移动端实现抄表、安检、维修、缴费、监控等功能，随时随地进行业务办 理，解决了资源调度不合理，信息滞后的问题。</w:t>
                        </w:r>
                      </w:p>
                    </w:tc>
                  </w:tr>
                  <w:tr>
                    <w:trPr>
                      <w:trHeight w:val="333" w:hRule="exact"/>
                    </w:trPr>
                    <w:tc>
                      <w:tcPr>
                        <w:tcW w:w="560" w:type="dxa"/>
                        <w:tcBorders>
                          <w:top w:val="single" w:sz="6" w:space="0" w:color="000000"/>
                          <w:left w:val="single" w:sz="6" w:space="0" w:color="000000"/>
                          <w:bottom w:val="nil" w:sz="6" w:space="0" w:color="auto"/>
                          <w:right w:val="single" w:sz="6" w:space="0" w:color="000000"/>
                        </w:tcBorders>
                      </w:tcPr>
                      <w:p>
                        <w:pPr/>
                      </w:p>
                    </w:tc>
                    <w:tc>
                      <w:tcPr>
                        <w:tcW w:w="2028" w:type="dxa"/>
                        <w:tcBorders>
                          <w:top w:val="single" w:sz="6" w:space="0" w:color="000000"/>
                          <w:left w:val="single" w:sz="6" w:space="0" w:color="000000"/>
                          <w:bottom w:val="nil" w:sz="6" w:space="0" w:color="auto"/>
                          <w:right w:val="single" w:sz="6" w:space="0" w:color="000000"/>
                        </w:tcBorders>
                      </w:tcPr>
                      <w:p>
                        <w:pPr/>
                      </w:p>
                    </w:tc>
                    <w:tc>
                      <w:tcPr>
                        <w:tcW w:w="919" w:type="dxa"/>
                        <w:tcBorders>
                          <w:top w:val="single" w:sz="6" w:space="0" w:color="000000"/>
                          <w:left w:val="single" w:sz="6" w:space="0" w:color="000000"/>
                          <w:bottom w:val="nil" w:sz="6" w:space="0" w:color="auto"/>
                          <w:right w:val="single" w:sz="6" w:space="0" w:color="000000"/>
                        </w:tcBorders>
                      </w:tcPr>
                      <w:p>
                        <w:pPr/>
                      </w:p>
                    </w:tc>
                    <w:tc>
                      <w:tcPr>
                        <w:tcW w:w="1770" w:type="dxa"/>
                        <w:tcBorders>
                          <w:top w:val="single" w:sz="6" w:space="0" w:color="000000"/>
                          <w:left w:val="single" w:sz="6" w:space="0" w:color="000000"/>
                          <w:bottom w:val="nil" w:sz="6" w:space="0" w:color="auto"/>
                          <w:right w:val="single" w:sz="6" w:space="0" w:color="000000"/>
                        </w:tcBorders>
                      </w:tcPr>
                      <w:p>
                        <w:pPr/>
                      </w:p>
                    </w:tc>
                    <w:tc>
                      <w:tcPr>
                        <w:tcW w:w="1194" w:type="dxa"/>
                        <w:tcBorders>
                          <w:top w:val="single" w:sz="6" w:space="0" w:color="000000"/>
                          <w:left w:val="single" w:sz="6" w:space="0" w:color="000000"/>
                          <w:bottom w:val="nil" w:sz="6" w:space="0" w:color="auto"/>
                          <w:right w:val="single" w:sz="6" w:space="0" w:color="000000"/>
                        </w:tcBorders>
                      </w:tcPr>
                      <w:p>
                        <w:pPr/>
                      </w:p>
                    </w:tc>
                    <w:tc>
                      <w:tcPr>
                        <w:tcW w:w="757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4"/>
                          <w:ind w:left="3" w:right="0"/>
                          <w:jc w:val="left"/>
                          <w:rPr>
                            <w:rFonts w:ascii="宋体" w:hAnsi="宋体" w:cs="宋体" w:eastAsia="宋体" w:hint="default"/>
                            <w:sz w:val="15"/>
                            <w:szCs w:val="15"/>
                          </w:rPr>
                        </w:pPr>
                        <w:r>
                          <w:rPr>
                            <w:rFonts w:ascii="Times New Roman" w:hAnsi="Times New Roman" w:cs="Times New Roman" w:eastAsia="Times New Roman" w:hint="default"/>
                            <w:spacing w:val="-1"/>
                            <w:sz w:val="15"/>
                            <w:szCs w:val="15"/>
                          </w:rPr>
                          <w:t>1</w:t>
                        </w:r>
                        <w:r>
                          <w:rPr>
                            <w:rFonts w:ascii="宋体" w:hAnsi="宋体" w:cs="宋体" w:eastAsia="宋体" w:hint="default"/>
                            <w:spacing w:val="-1"/>
                            <w:sz w:val="15"/>
                            <w:szCs w:val="15"/>
                          </w:rPr>
                          <w:t>、国内首款采用全电子方式实现民用燃气表温度和定值压力补偿，有效解决了由于温度和压力的变化引起天然气计</w:t>
                        </w:r>
                      </w:p>
                    </w:tc>
                  </w:tr>
                  <w:tr>
                    <w:trPr>
                      <w:trHeight w:val="308"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宋体" w:hAnsi="宋体" w:cs="宋体" w:eastAsia="宋体" w:hint="default"/>
                            <w:sz w:val="15"/>
                            <w:szCs w:val="15"/>
                          </w:rPr>
                          <w:t>量误差的问题，实现了公平计量、公平用气的目的；</w:t>
                        </w:r>
                      </w:p>
                    </w:tc>
                  </w:tr>
                  <w:tr>
                    <w:trPr>
                      <w:trHeight w:val="316"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3" w:right="-17"/>
                          <w:jc w:val="left"/>
                          <w:rPr>
                            <w:rFonts w:ascii="宋体" w:hAnsi="宋体" w:cs="宋体" w:eastAsia="宋体" w:hint="default"/>
                            <w:sz w:val="15"/>
                            <w:szCs w:val="15"/>
                          </w:rPr>
                        </w:pPr>
                        <w:r>
                          <w:rPr>
                            <w:rFonts w:ascii="宋体" w:hAnsi="宋体" w:cs="宋体" w:eastAsia="宋体" w:hint="default"/>
                            <w:spacing w:val="17"/>
                            <w:sz w:val="15"/>
                            <w:szCs w:val="15"/>
                          </w:rPr>
                          <w:t>计划起止日期：</w:t>
                        </w:r>
                        <w:r>
                          <w:rPr>
                            <w:rFonts w:ascii="宋体" w:hAnsi="宋体" w:cs="宋体" w:eastAsia="宋体" w:hint="default"/>
                            <w:spacing w:val="-55"/>
                            <w:sz w:val="15"/>
                            <w:szCs w:val="15"/>
                          </w:rPr>
                          <w:t> </w:t>
                        </w:r>
                        <w:r>
                          <w:rPr>
                            <w:rFonts w:ascii="宋体" w:hAnsi="宋体" w:cs="宋体" w:eastAsia="宋体" w:hint="default"/>
                            <w:sz w:val="15"/>
                            <w:szCs w:val="15"/>
                          </w:rPr>
                        </w: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、计量精度高，通过仪表系数的配置，使得膜式表的计量精度可以比国标要求提高</w:t>
                        </w:r>
                        <w:r>
                          <w:rPr>
                            <w:rFonts w:ascii="Times New Roman" w:hAnsi="Times New Roman" w:cs="Times New Roman" w:eastAsia="Times New Roman" w:hint="default"/>
                            <w:sz w:val="15"/>
                            <w:szCs w:val="15"/>
                          </w:rPr>
                          <w:t>50%</w:t>
                        </w:r>
                        <w:r>
                          <w:rPr>
                            <w:rFonts w:ascii="宋体" w:hAnsi="宋体" w:cs="宋体" w:eastAsia="宋体" w:hint="default"/>
                            <w:sz w:val="15"/>
                            <w:szCs w:val="15"/>
                          </w:rPr>
                          <w:t>；</w:t>
                        </w:r>
                      </w:p>
                    </w:tc>
                  </w:tr>
                  <w:tr>
                    <w:trPr>
                      <w:trHeight w:val="312" w:hRule="exact"/>
                    </w:trPr>
                    <w:tc>
                      <w:tcPr>
                        <w:tcW w:w="560"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right="1"/>
                          <w:jc w:val="center"/>
                          <w:rPr>
                            <w:rFonts w:ascii="Times New Roman" w:hAnsi="Times New Roman" w:cs="Times New Roman" w:eastAsia="Times New Roman" w:hint="default"/>
                            <w:sz w:val="15"/>
                            <w:szCs w:val="15"/>
                          </w:rPr>
                        </w:pPr>
                        <w:r>
                          <w:rPr>
                            <w:rFonts w:ascii="Times New Roman"/>
                            <w:sz w:val="15"/>
                          </w:rPr>
                          <w:t>14</w:t>
                        </w:r>
                      </w:p>
                    </w:tc>
                    <w:tc>
                      <w:tcPr>
                        <w:tcW w:w="2028"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宋体" w:hAnsi="宋体" w:cs="宋体" w:eastAsia="宋体" w:hint="default"/>
                            <w:sz w:val="15"/>
                            <w:szCs w:val="15"/>
                          </w:rPr>
                          <w:t>智能温补膜式燃气表</w:t>
                        </w:r>
                      </w:p>
                    </w:tc>
                    <w:tc>
                      <w:tcPr>
                        <w:tcW w:w="919"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宋体" w:hAnsi="宋体" w:cs="宋体" w:eastAsia="宋体" w:hint="default"/>
                            <w:sz w:val="15"/>
                            <w:szCs w:val="15"/>
                          </w:rPr>
                          <w:t>燃气集成</w:t>
                        </w:r>
                      </w:p>
                    </w:tc>
                    <w:tc>
                      <w:tcPr>
                        <w:tcW w:w="1770"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宋体" w:hAnsi="宋体" w:cs="宋体" w:eastAsia="宋体" w:hint="default"/>
                            <w:sz w:val="15"/>
                            <w:szCs w:val="15"/>
                          </w:rPr>
                          <w:t>发布阶段</w:t>
                        </w:r>
                      </w:p>
                    </w:tc>
                    <w:tc>
                      <w:tcPr>
                        <w:tcW w:w="1194"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left="3" w:right="0"/>
                          <w:jc w:val="left"/>
                          <w:rPr>
                            <w:rFonts w:ascii="Times New Roman" w:hAnsi="Times New Roman" w:cs="Times New Roman" w:eastAsia="Times New Roman" w:hint="default"/>
                            <w:sz w:val="15"/>
                            <w:szCs w:val="15"/>
                          </w:rPr>
                        </w:pPr>
                        <w:r>
                          <w:rPr>
                            <w:rFonts w:ascii="Times New Roman"/>
                            <w:sz w:val="15"/>
                          </w:rPr>
                          <w:t>2015/4/1-</w:t>
                        </w: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、采用</w:t>
                        </w:r>
                        <w:r>
                          <w:rPr>
                            <w:rFonts w:ascii="Times New Roman" w:hAnsi="Times New Roman" w:cs="Times New Roman" w:eastAsia="Times New Roman" w:hint="default"/>
                            <w:sz w:val="15"/>
                            <w:szCs w:val="15"/>
                          </w:rPr>
                          <w:t>Lora</w:t>
                        </w:r>
                        <w:r>
                          <w:rPr>
                            <w:rFonts w:ascii="宋体" w:hAnsi="宋体" w:cs="宋体" w:eastAsia="宋体" w:hint="default"/>
                            <w:sz w:val="15"/>
                            <w:szCs w:val="15"/>
                          </w:rPr>
                          <w:t>扩频技术实现极低功耗下的自组网和数据远传技术，提供远端数据采集和控制接口；</w:t>
                        </w:r>
                      </w:p>
                    </w:tc>
                  </w:tr>
                  <w:tr>
                    <w:trPr>
                      <w:trHeight w:val="312"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left="3" w:right="0"/>
                          <w:jc w:val="left"/>
                          <w:rPr>
                            <w:rFonts w:ascii="Times New Roman" w:hAnsi="Times New Roman" w:cs="Times New Roman" w:eastAsia="Times New Roman" w:hint="default"/>
                            <w:sz w:val="15"/>
                            <w:szCs w:val="15"/>
                          </w:rPr>
                        </w:pPr>
                        <w:r>
                          <w:rPr>
                            <w:rFonts w:ascii="Times New Roman"/>
                            <w:sz w:val="15"/>
                          </w:rPr>
                          <w:t>2016/1/31</w:t>
                        </w: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Times New Roman" w:hAnsi="Times New Roman" w:cs="Times New Roman" w:eastAsia="Times New Roman" w:hint="default"/>
                            <w:spacing w:val="-2"/>
                            <w:sz w:val="15"/>
                            <w:szCs w:val="15"/>
                          </w:rPr>
                          <w:t>4</w:t>
                        </w:r>
                        <w:r>
                          <w:rPr>
                            <w:rFonts w:ascii="宋体" w:hAnsi="宋体" w:cs="宋体" w:eastAsia="宋体" w:hint="default"/>
                            <w:spacing w:val="-2"/>
                            <w:sz w:val="15"/>
                            <w:szCs w:val="15"/>
                          </w:rPr>
                          <w:t>、具有预付费</w:t>
                        </w:r>
                        <w:r>
                          <w:rPr>
                            <w:rFonts w:ascii="Times New Roman" w:hAnsi="Times New Roman" w:cs="Times New Roman" w:eastAsia="Times New Roman" w:hint="default"/>
                            <w:spacing w:val="-2"/>
                            <w:sz w:val="15"/>
                            <w:szCs w:val="15"/>
                          </w:rPr>
                          <w:t>/</w:t>
                        </w:r>
                        <w:r>
                          <w:rPr>
                            <w:rFonts w:ascii="宋体" w:hAnsi="宋体" w:cs="宋体" w:eastAsia="宋体" w:hint="default"/>
                            <w:spacing w:val="-2"/>
                            <w:sz w:val="15"/>
                            <w:szCs w:val="15"/>
                          </w:rPr>
                          <w:t>后付费功能、阶梯计价功能、透支功能、最小方提示功能、泄露报警功能、远程阀门控制功能、大流</w:t>
                        </w:r>
                      </w:p>
                    </w:tc>
                  </w:tr>
                  <w:tr>
                    <w:trPr>
                      <w:trHeight w:val="312"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宋体" w:hAnsi="宋体" w:cs="宋体" w:eastAsia="宋体" w:hint="default"/>
                            <w:sz w:val="15"/>
                            <w:szCs w:val="15"/>
                          </w:rPr>
                          <w:t>量检测功能、微小流量检测功能、无线远传功能、</w:t>
                        </w:r>
                        <w:r>
                          <w:rPr>
                            <w:rFonts w:ascii="Times New Roman" w:hAnsi="Times New Roman" w:cs="Times New Roman" w:eastAsia="Times New Roman" w:hint="default"/>
                            <w:sz w:val="15"/>
                            <w:szCs w:val="15"/>
                          </w:rPr>
                          <w:t>LED</w:t>
                        </w:r>
                        <w:r>
                          <w:rPr>
                            <w:rFonts w:ascii="宋体" w:hAnsi="宋体" w:cs="宋体" w:eastAsia="宋体" w:hint="default"/>
                            <w:sz w:val="15"/>
                            <w:szCs w:val="15"/>
                          </w:rPr>
                          <w:t>脉冲指示功能、声音提示功能等；</w:t>
                        </w:r>
                      </w:p>
                    </w:tc>
                  </w:tr>
                  <w:tr>
                    <w:trPr>
                      <w:trHeight w:val="326" w:hRule="exact"/>
                    </w:trPr>
                    <w:tc>
                      <w:tcPr>
                        <w:tcW w:w="560" w:type="dxa"/>
                        <w:tcBorders>
                          <w:top w:val="nil" w:sz="6" w:space="0" w:color="auto"/>
                          <w:left w:val="single" w:sz="6" w:space="0" w:color="000000"/>
                          <w:bottom w:val="single" w:sz="6" w:space="0" w:color="000000"/>
                          <w:right w:val="single" w:sz="6" w:space="0" w:color="000000"/>
                        </w:tcBorders>
                      </w:tcPr>
                      <w:p>
                        <w:pPr/>
                      </w:p>
                    </w:tc>
                    <w:tc>
                      <w:tcPr>
                        <w:tcW w:w="2028" w:type="dxa"/>
                        <w:tcBorders>
                          <w:top w:val="nil" w:sz="6" w:space="0" w:color="auto"/>
                          <w:left w:val="single" w:sz="6" w:space="0" w:color="000000"/>
                          <w:bottom w:val="single" w:sz="6" w:space="0" w:color="000000"/>
                          <w:right w:val="single" w:sz="6" w:space="0" w:color="000000"/>
                        </w:tcBorders>
                      </w:tcPr>
                      <w:p>
                        <w:pPr/>
                      </w:p>
                    </w:tc>
                    <w:tc>
                      <w:tcPr>
                        <w:tcW w:w="919" w:type="dxa"/>
                        <w:tcBorders>
                          <w:top w:val="nil" w:sz="6" w:space="0" w:color="auto"/>
                          <w:left w:val="single" w:sz="6" w:space="0" w:color="000000"/>
                          <w:bottom w:val="single" w:sz="6" w:space="0" w:color="000000"/>
                          <w:right w:val="single" w:sz="6" w:space="0" w:color="000000"/>
                        </w:tcBorders>
                      </w:tcPr>
                      <w:p>
                        <w:pPr/>
                      </w:p>
                    </w:tc>
                    <w:tc>
                      <w:tcPr>
                        <w:tcW w:w="1770" w:type="dxa"/>
                        <w:tcBorders>
                          <w:top w:val="nil" w:sz="6" w:space="0" w:color="auto"/>
                          <w:left w:val="single" w:sz="6" w:space="0" w:color="000000"/>
                          <w:bottom w:val="single" w:sz="6" w:space="0" w:color="000000"/>
                          <w:right w:val="single" w:sz="6" w:space="0" w:color="000000"/>
                        </w:tcBorders>
                      </w:tcPr>
                      <w:p>
                        <w:pPr/>
                      </w:p>
                    </w:tc>
                    <w:tc>
                      <w:tcPr>
                        <w:tcW w:w="1194" w:type="dxa"/>
                        <w:tcBorders>
                          <w:top w:val="nil" w:sz="6" w:space="0" w:color="auto"/>
                          <w:left w:val="single" w:sz="6" w:space="0" w:color="000000"/>
                          <w:bottom w:val="single" w:sz="6" w:space="0" w:color="000000"/>
                          <w:right w:val="single" w:sz="6" w:space="0" w:color="000000"/>
                        </w:tcBorders>
                      </w:tcPr>
                      <w:p>
                        <w:pPr/>
                      </w:p>
                    </w:tc>
                    <w:tc>
                      <w:tcPr>
                        <w:tcW w:w="757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宋体" w:hAnsi="宋体" w:cs="宋体" w:eastAsia="宋体" w:hint="default"/>
                            <w:sz w:val="15"/>
                            <w:szCs w:val="15"/>
                          </w:rPr>
                          <w:t>、符合</w:t>
                        </w:r>
                        <w:r>
                          <w:rPr>
                            <w:rFonts w:ascii="Times New Roman" w:hAnsi="Times New Roman" w:cs="Times New Roman" w:eastAsia="Times New Roman" w:hint="default"/>
                            <w:sz w:val="15"/>
                            <w:szCs w:val="15"/>
                          </w:rPr>
                          <w:t>GB/T 6968-2011</w:t>
                        </w:r>
                        <w:r>
                          <w:rPr>
                            <w:rFonts w:ascii="宋体" w:hAnsi="宋体" w:cs="宋体" w:eastAsia="宋体" w:hint="default"/>
                            <w:sz w:val="15"/>
                            <w:szCs w:val="15"/>
                          </w:rPr>
                          <w:t>、</w:t>
                        </w:r>
                        <w:r>
                          <w:rPr>
                            <w:rFonts w:ascii="Times New Roman" w:hAnsi="Times New Roman" w:cs="Times New Roman" w:eastAsia="Times New Roman" w:hint="default"/>
                            <w:sz w:val="15"/>
                            <w:szCs w:val="15"/>
                          </w:rPr>
                          <w:t>JJG</w:t>
                        </w:r>
                        <w:r>
                          <w:rPr>
                            <w:rFonts w:ascii="Times New Roman" w:hAnsi="Times New Roman" w:cs="Times New Roman" w:eastAsia="Times New Roman" w:hint="default"/>
                            <w:spacing w:val="-12"/>
                            <w:sz w:val="15"/>
                            <w:szCs w:val="15"/>
                          </w:rPr>
                          <w:t> </w:t>
                        </w:r>
                        <w:r>
                          <w:rPr>
                            <w:rFonts w:ascii="Times New Roman" w:hAnsi="Times New Roman" w:cs="Times New Roman" w:eastAsia="Times New Roman" w:hint="default"/>
                            <w:sz w:val="15"/>
                            <w:szCs w:val="15"/>
                          </w:rPr>
                          <w:t>577-2012</w:t>
                        </w:r>
                        <w:r>
                          <w:rPr>
                            <w:rFonts w:ascii="宋体" w:hAnsi="宋体" w:cs="宋体" w:eastAsia="宋体" w:hint="default"/>
                            <w:sz w:val="15"/>
                            <w:szCs w:val="15"/>
                          </w:rPr>
                          <w:t>标准。</w:t>
                        </w:r>
                      </w:p>
                    </w:tc>
                  </w:tr>
                  <w:tr>
                    <w:trPr>
                      <w:trHeight w:val="333" w:hRule="exact"/>
                    </w:trPr>
                    <w:tc>
                      <w:tcPr>
                        <w:tcW w:w="560" w:type="dxa"/>
                        <w:tcBorders>
                          <w:top w:val="single" w:sz="6" w:space="0" w:color="000000"/>
                          <w:left w:val="single" w:sz="6" w:space="0" w:color="000000"/>
                          <w:bottom w:val="nil" w:sz="6" w:space="0" w:color="auto"/>
                          <w:right w:val="single" w:sz="6" w:space="0" w:color="000000"/>
                        </w:tcBorders>
                      </w:tcPr>
                      <w:p>
                        <w:pPr/>
                      </w:p>
                    </w:tc>
                    <w:tc>
                      <w:tcPr>
                        <w:tcW w:w="2028" w:type="dxa"/>
                        <w:tcBorders>
                          <w:top w:val="single" w:sz="6" w:space="0" w:color="000000"/>
                          <w:left w:val="single" w:sz="6" w:space="0" w:color="000000"/>
                          <w:bottom w:val="nil" w:sz="6" w:space="0" w:color="auto"/>
                          <w:right w:val="single" w:sz="6" w:space="0" w:color="000000"/>
                        </w:tcBorders>
                      </w:tcPr>
                      <w:p>
                        <w:pPr/>
                      </w:p>
                    </w:tc>
                    <w:tc>
                      <w:tcPr>
                        <w:tcW w:w="919" w:type="dxa"/>
                        <w:tcBorders>
                          <w:top w:val="single" w:sz="6" w:space="0" w:color="000000"/>
                          <w:left w:val="single" w:sz="6" w:space="0" w:color="000000"/>
                          <w:bottom w:val="nil" w:sz="6" w:space="0" w:color="auto"/>
                          <w:right w:val="single" w:sz="6" w:space="0" w:color="000000"/>
                        </w:tcBorders>
                      </w:tcPr>
                      <w:p>
                        <w:pPr/>
                      </w:p>
                    </w:tc>
                    <w:tc>
                      <w:tcPr>
                        <w:tcW w:w="1770" w:type="dxa"/>
                        <w:tcBorders>
                          <w:top w:val="single" w:sz="6" w:space="0" w:color="000000"/>
                          <w:left w:val="single" w:sz="6" w:space="0" w:color="000000"/>
                          <w:bottom w:val="nil" w:sz="6" w:space="0" w:color="auto"/>
                          <w:right w:val="single" w:sz="6" w:space="0" w:color="000000"/>
                        </w:tcBorders>
                      </w:tcPr>
                      <w:p>
                        <w:pPr/>
                      </w:p>
                    </w:tc>
                    <w:tc>
                      <w:tcPr>
                        <w:tcW w:w="1194" w:type="dxa"/>
                        <w:tcBorders>
                          <w:top w:val="single" w:sz="6" w:space="0" w:color="000000"/>
                          <w:left w:val="single" w:sz="6" w:space="0" w:color="000000"/>
                          <w:bottom w:val="nil" w:sz="6" w:space="0" w:color="auto"/>
                          <w:right w:val="single" w:sz="6" w:space="0" w:color="000000"/>
                        </w:tcBorders>
                      </w:tcPr>
                      <w:p>
                        <w:pPr/>
                      </w:p>
                    </w:tc>
                    <w:tc>
                      <w:tcPr>
                        <w:tcW w:w="757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4"/>
                          <w:ind w:left="3" w:right="0"/>
                          <w:jc w:val="left"/>
                          <w:rPr>
                            <w:rFonts w:ascii="宋体" w:hAnsi="宋体" w:cs="宋体" w:eastAsia="宋体" w:hint="default"/>
                            <w:sz w:val="15"/>
                            <w:szCs w:val="15"/>
                          </w:rPr>
                        </w:pPr>
                        <w:r>
                          <w:rPr>
                            <w:rFonts w:ascii="Times New Roman" w:hAnsi="Times New Roman" w:cs="Times New Roman" w:eastAsia="Times New Roman" w:hint="default"/>
                            <w:spacing w:val="-1"/>
                            <w:sz w:val="15"/>
                            <w:szCs w:val="15"/>
                          </w:rPr>
                          <w:t>1</w:t>
                        </w:r>
                        <w:r>
                          <w:rPr>
                            <w:rFonts w:ascii="宋体" w:hAnsi="宋体" w:cs="宋体" w:eastAsia="宋体" w:hint="default"/>
                            <w:spacing w:val="-1"/>
                            <w:sz w:val="15"/>
                            <w:szCs w:val="15"/>
                          </w:rPr>
                          <w:t>、行业内首创的移动物联网数据采集终端，采用最新的</w:t>
                        </w:r>
                        <w:r>
                          <w:rPr>
                            <w:rFonts w:ascii="Times New Roman" w:hAnsi="Times New Roman" w:cs="Times New Roman" w:eastAsia="Times New Roman" w:hint="default"/>
                            <w:spacing w:val="-1"/>
                            <w:sz w:val="15"/>
                            <w:szCs w:val="15"/>
                          </w:rPr>
                          <w:t>Android</w:t>
                        </w:r>
                        <w:r>
                          <w:rPr>
                            <w:rFonts w:ascii="宋体" w:hAnsi="宋体" w:cs="宋体" w:eastAsia="宋体" w:hint="default"/>
                            <w:spacing w:val="-1"/>
                            <w:sz w:val="15"/>
                            <w:szCs w:val="15"/>
                          </w:rPr>
                          <w:t>操作系统，兼容</w:t>
                        </w:r>
                        <w:r>
                          <w:rPr>
                            <w:rFonts w:ascii="Times New Roman" w:hAnsi="Times New Roman" w:cs="Times New Roman" w:eastAsia="Times New Roman" w:hint="default"/>
                            <w:spacing w:val="-1"/>
                            <w:sz w:val="15"/>
                            <w:szCs w:val="15"/>
                          </w:rPr>
                          <w:t>4G</w:t>
                        </w:r>
                        <w:r>
                          <w:rPr>
                            <w:rFonts w:ascii="宋体" w:hAnsi="宋体" w:cs="宋体" w:eastAsia="宋体" w:hint="default"/>
                            <w:spacing w:val="-1"/>
                            <w:sz w:val="15"/>
                            <w:szCs w:val="15"/>
                          </w:rPr>
                          <w:t>、</w:t>
                        </w:r>
                        <w:r>
                          <w:rPr>
                            <w:rFonts w:ascii="Times New Roman" w:hAnsi="Times New Roman" w:cs="Times New Roman" w:eastAsia="Times New Roman" w:hint="default"/>
                            <w:spacing w:val="-1"/>
                            <w:sz w:val="15"/>
                            <w:szCs w:val="15"/>
                          </w:rPr>
                          <w:t>wifi</w:t>
                        </w:r>
                        <w:r>
                          <w:rPr>
                            <w:rFonts w:ascii="宋体" w:hAnsi="宋体" w:cs="宋体" w:eastAsia="宋体" w:hint="default"/>
                            <w:spacing w:val="-1"/>
                            <w:sz w:val="15"/>
                            <w:szCs w:val="15"/>
                          </w:rPr>
                          <w:t>、蓝牙等流行传输技术，配</w:t>
                        </w:r>
                      </w:p>
                    </w:tc>
                  </w:tr>
                  <w:tr>
                    <w:trPr>
                      <w:trHeight w:val="312"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宋体" w:hAnsi="宋体" w:cs="宋体" w:eastAsia="宋体" w:hint="default"/>
                            <w:sz w:val="15"/>
                            <w:szCs w:val="15"/>
                          </w:rPr>
                          <w:t>有高能低耗的</w:t>
                        </w:r>
                        <w:r>
                          <w:rPr>
                            <w:rFonts w:ascii="Times New Roman" w:hAnsi="Times New Roman" w:cs="Times New Roman" w:eastAsia="Times New Roman" w:hint="default"/>
                            <w:sz w:val="15"/>
                            <w:szCs w:val="15"/>
                          </w:rPr>
                          <w:t>MSM</w:t>
                        </w:r>
                        <w:r>
                          <w:rPr>
                            <w:rFonts w:ascii="宋体" w:hAnsi="宋体" w:cs="宋体" w:eastAsia="宋体" w:hint="default"/>
                            <w:sz w:val="15"/>
                            <w:szCs w:val="15"/>
                          </w:rPr>
                          <w:t>四核高速处理器；</w:t>
                        </w:r>
                      </w:p>
                    </w:tc>
                  </w:tr>
                  <w:tr>
                    <w:trPr>
                      <w:trHeight w:val="312"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、创新性的将</w:t>
                        </w:r>
                        <w:r>
                          <w:rPr>
                            <w:rFonts w:ascii="Times New Roman" w:hAnsi="Times New Roman" w:cs="Times New Roman" w:eastAsia="Times New Roman" w:hint="default"/>
                            <w:sz w:val="15"/>
                            <w:szCs w:val="15"/>
                          </w:rPr>
                          <w:t>400M</w:t>
                        </w:r>
                        <w:r>
                          <w:rPr>
                            <w:rFonts w:ascii="宋体" w:hAnsi="宋体" w:cs="宋体" w:eastAsia="宋体" w:hint="default"/>
                            <w:sz w:val="15"/>
                            <w:szCs w:val="15"/>
                          </w:rPr>
                          <w:t>模块引入到无线抄表手持机，自动跳频，抗干扰能力极强，抄表距离远，实现了抄表与远程控</w:t>
                        </w:r>
                      </w:p>
                    </w:tc>
                  </w:tr>
                  <w:tr>
                    <w:trPr>
                      <w:trHeight w:val="308"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17"/>
                          <w:jc w:val="left"/>
                          <w:rPr>
                            <w:rFonts w:ascii="宋体" w:hAnsi="宋体" w:cs="宋体" w:eastAsia="宋体" w:hint="default"/>
                            <w:sz w:val="15"/>
                            <w:szCs w:val="15"/>
                          </w:rPr>
                        </w:pPr>
                        <w:r>
                          <w:rPr>
                            <w:rFonts w:ascii="宋体" w:hAnsi="宋体" w:cs="宋体" w:eastAsia="宋体" w:hint="default"/>
                            <w:spacing w:val="17"/>
                            <w:sz w:val="15"/>
                            <w:szCs w:val="15"/>
                          </w:rPr>
                          <w:t>计划起止日期：</w:t>
                        </w:r>
                        <w:r>
                          <w:rPr>
                            <w:rFonts w:ascii="宋体" w:hAnsi="宋体" w:cs="宋体" w:eastAsia="宋体" w:hint="default"/>
                            <w:spacing w:val="-55"/>
                            <w:sz w:val="15"/>
                            <w:szCs w:val="15"/>
                          </w:rPr>
                          <w:t> </w:t>
                        </w:r>
                        <w:r>
                          <w:rPr>
                            <w:rFonts w:ascii="宋体" w:hAnsi="宋体" w:cs="宋体" w:eastAsia="宋体" w:hint="default"/>
                            <w:sz w:val="15"/>
                            <w:szCs w:val="15"/>
                          </w:rPr>
                        </w: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宋体" w:hAnsi="宋体" w:cs="宋体" w:eastAsia="宋体" w:hint="default"/>
                            <w:sz w:val="15"/>
                            <w:szCs w:val="15"/>
                          </w:rPr>
                          <w:t>制的完美结合；</w:t>
                        </w:r>
                      </w:p>
                    </w:tc>
                  </w:tr>
                  <w:tr>
                    <w:trPr>
                      <w:trHeight w:val="316" w:hRule="exact"/>
                    </w:trPr>
                    <w:tc>
                      <w:tcPr>
                        <w:tcW w:w="560" w:type="dxa"/>
                        <w:tcBorders>
                          <w:top w:val="nil" w:sz="6" w:space="0" w:color="auto"/>
                          <w:left w:val="single" w:sz="6" w:space="0" w:color="000000"/>
                          <w:bottom w:val="nil" w:sz="6" w:space="0" w:color="auto"/>
                          <w:right w:val="single" w:sz="6" w:space="0" w:color="000000"/>
                        </w:tcBorders>
                      </w:tcPr>
                      <w:p>
                        <w:pPr>
                          <w:pStyle w:val="TableParagraph"/>
                          <w:spacing w:line="240" w:lineRule="auto" w:before="68"/>
                          <w:ind w:right="1"/>
                          <w:jc w:val="center"/>
                          <w:rPr>
                            <w:rFonts w:ascii="Times New Roman" w:hAnsi="Times New Roman" w:cs="Times New Roman" w:eastAsia="Times New Roman" w:hint="default"/>
                            <w:sz w:val="15"/>
                            <w:szCs w:val="15"/>
                          </w:rPr>
                        </w:pPr>
                        <w:r>
                          <w:rPr>
                            <w:rFonts w:ascii="Times New Roman"/>
                            <w:sz w:val="15"/>
                          </w:rPr>
                          <w:t>15</w:t>
                        </w:r>
                      </w:p>
                    </w:tc>
                    <w:tc>
                      <w:tcPr>
                        <w:tcW w:w="202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left"/>
                          <w:rPr>
                            <w:rFonts w:ascii="宋体" w:hAnsi="宋体" w:cs="宋体" w:eastAsia="宋体" w:hint="default"/>
                            <w:sz w:val="15"/>
                            <w:szCs w:val="15"/>
                          </w:rPr>
                        </w:pPr>
                        <w:r>
                          <w:rPr>
                            <w:rFonts w:ascii="宋体" w:hAnsi="宋体" w:cs="宋体" w:eastAsia="宋体" w:hint="default"/>
                            <w:sz w:val="15"/>
                            <w:szCs w:val="15"/>
                          </w:rPr>
                          <w:t>无线抄表手持机</w:t>
                        </w:r>
                      </w:p>
                    </w:tc>
                    <w:tc>
                      <w:tcPr>
                        <w:tcW w:w="919"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left"/>
                          <w:rPr>
                            <w:rFonts w:ascii="宋体" w:hAnsi="宋体" w:cs="宋体" w:eastAsia="宋体" w:hint="default"/>
                            <w:sz w:val="15"/>
                            <w:szCs w:val="15"/>
                          </w:rPr>
                        </w:pPr>
                        <w:r>
                          <w:rPr>
                            <w:rFonts w:ascii="宋体" w:hAnsi="宋体" w:cs="宋体" w:eastAsia="宋体" w:hint="default"/>
                            <w:sz w:val="15"/>
                            <w:szCs w:val="15"/>
                          </w:rPr>
                          <w:t>燃气集成</w:t>
                        </w:r>
                      </w:p>
                    </w:tc>
                    <w:tc>
                      <w:tcPr>
                        <w:tcW w:w="1770"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3" w:right="0"/>
                          <w:jc w:val="left"/>
                          <w:rPr>
                            <w:rFonts w:ascii="宋体" w:hAnsi="宋体" w:cs="宋体" w:eastAsia="宋体" w:hint="default"/>
                            <w:sz w:val="15"/>
                            <w:szCs w:val="15"/>
                          </w:rPr>
                        </w:pPr>
                        <w:r>
                          <w:rPr>
                            <w:rFonts w:ascii="宋体" w:hAnsi="宋体" w:cs="宋体" w:eastAsia="宋体" w:hint="default"/>
                            <w:sz w:val="15"/>
                            <w:szCs w:val="15"/>
                          </w:rPr>
                          <w:t>结项，已经开始销售</w:t>
                        </w:r>
                      </w:p>
                    </w:tc>
                    <w:tc>
                      <w:tcPr>
                        <w:tcW w:w="1194" w:type="dxa"/>
                        <w:tcBorders>
                          <w:top w:val="nil" w:sz="6" w:space="0" w:color="auto"/>
                          <w:left w:val="single" w:sz="6" w:space="0" w:color="000000"/>
                          <w:bottom w:val="nil" w:sz="6" w:space="0" w:color="auto"/>
                          <w:right w:val="single" w:sz="6" w:space="0" w:color="000000"/>
                        </w:tcBorders>
                      </w:tcPr>
                      <w:p>
                        <w:pPr>
                          <w:pStyle w:val="TableParagraph"/>
                          <w:spacing w:line="240" w:lineRule="auto" w:before="68"/>
                          <w:ind w:left="3" w:right="0"/>
                          <w:jc w:val="left"/>
                          <w:rPr>
                            <w:rFonts w:ascii="Times New Roman" w:hAnsi="Times New Roman" w:cs="Times New Roman" w:eastAsia="Times New Roman" w:hint="default"/>
                            <w:sz w:val="15"/>
                            <w:szCs w:val="15"/>
                          </w:rPr>
                        </w:pPr>
                        <w:r>
                          <w:rPr>
                            <w:rFonts w:ascii="Times New Roman"/>
                            <w:sz w:val="15"/>
                          </w:rPr>
                          <w:t>2015/4/1-</w:t>
                        </w: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3" w:right="0"/>
                          <w:jc w:val="left"/>
                          <w:rPr>
                            <w:rFonts w:ascii="宋体" w:hAnsi="宋体" w:cs="宋体" w:eastAsia="宋体" w:hint="default"/>
                            <w:sz w:val="15"/>
                            <w:szCs w:val="15"/>
                          </w:rPr>
                        </w:pPr>
                        <w:r>
                          <w:rPr>
                            <w:rFonts w:ascii="Times New Roman" w:hAnsi="Times New Roman" w:cs="Times New Roman" w:eastAsia="Times New Roman" w:hint="default"/>
                            <w:spacing w:val="-1"/>
                            <w:sz w:val="15"/>
                            <w:szCs w:val="15"/>
                          </w:rPr>
                          <w:t>3</w:t>
                        </w:r>
                        <w:r>
                          <w:rPr>
                            <w:rFonts w:ascii="宋体" w:hAnsi="宋体" w:cs="宋体" w:eastAsia="宋体" w:hint="default"/>
                            <w:spacing w:val="-1"/>
                            <w:sz w:val="15"/>
                            <w:szCs w:val="15"/>
                          </w:rPr>
                          <w:t>、功能强大，集成了移动抄表，空中充值，与第三方支付平台无缝对接；用户足不出户能实现在线消费、燃气表充</w:t>
                        </w:r>
                      </w:p>
                    </w:tc>
                  </w:tr>
                  <w:tr>
                    <w:trPr>
                      <w:trHeight w:val="311"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left="3" w:right="0"/>
                          <w:jc w:val="left"/>
                          <w:rPr>
                            <w:rFonts w:ascii="Times New Roman" w:hAnsi="Times New Roman" w:cs="Times New Roman" w:eastAsia="Times New Roman" w:hint="default"/>
                            <w:sz w:val="15"/>
                            <w:szCs w:val="15"/>
                          </w:rPr>
                        </w:pPr>
                        <w:r>
                          <w:rPr>
                            <w:rFonts w:ascii="Times New Roman"/>
                            <w:sz w:val="15"/>
                          </w:rPr>
                          <w:t>2015/9/30</w:t>
                        </w: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宋体" w:hAnsi="宋体" w:cs="宋体" w:eastAsia="宋体" w:hint="default"/>
                            <w:sz w:val="15"/>
                            <w:szCs w:val="15"/>
                          </w:rPr>
                          <w:t>值等服务；</w:t>
                        </w:r>
                      </w:p>
                    </w:tc>
                  </w:tr>
                  <w:tr>
                    <w:trPr>
                      <w:trHeight w:val="313"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1"/>
                          <w:ind w:left="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、基于</w:t>
                        </w:r>
                        <w:r>
                          <w:rPr>
                            <w:rFonts w:ascii="Times New Roman" w:hAnsi="Times New Roman" w:cs="Times New Roman" w:eastAsia="Times New Roman" w:hint="default"/>
                            <w:sz w:val="15"/>
                            <w:szCs w:val="15"/>
                          </w:rPr>
                          <w:t>GPS</w:t>
                        </w:r>
                        <w:r>
                          <w:rPr>
                            <w:rFonts w:ascii="宋体" w:hAnsi="宋体" w:cs="宋体" w:eastAsia="宋体" w:hint="default"/>
                            <w:sz w:val="15"/>
                            <w:szCs w:val="15"/>
                          </w:rPr>
                          <w:t>定位，与巡检平台结合，实现就近智能派工；</w:t>
                        </w:r>
                      </w:p>
                    </w:tc>
                  </w:tr>
                  <w:tr>
                    <w:trPr>
                      <w:trHeight w:val="312"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Times New Roman" w:hAnsi="Times New Roman" w:cs="Times New Roman" w:eastAsia="Times New Roman" w:hint="default"/>
                            <w:spacing w:val="-1"/>
                            <w:sz w:val="15"/>
                            <w:szCs w:val="15"/>
                          </w:rPr>
                          <w:t>5</w:t>
                        </w:r>
                        <w:r>
                          <w:rPr>
                            <w:rFonts w:ascii="宋体" w:hAnsi="宋体" w:cs="宋体" w:eastAsia="宋体" w:hint="default"/>
                            <w:spacing w:val="-1"/>
                            <w:sz w:val="15"/>
                            <w:szCs w:val="15"/>
                          </w:rPr>
                          <w:t>、符合</w:t>
                        </w:r>
                        <w:r>
                          <w:rPr>
                            <w:rFonts w:ascii="Times New Roman" w:hAnsi="Times New Roman" w:cs="Times New Roman" w:eastAsia="Times New Roman" w:hint="default"/>
                            <w:spacing w:val="-1"/>
                            <w:sz w:val="15"/>
                            <w:szCs w:val="15"/>
                          </w:rPr>
                          <w:t>2013</w:t>
                        </w:r>
                        <w:r>
                          <w:rPr>
                            <w:rFonts w:ascii="宋体" w:hAnsi="宋体" w:cs="宋体" w:eastAsia="宋体" w:hint="default"/>
                            <w:spacing w:val="-1"/>
                            <w:sz w:val="15"/>
                            <w:szCs w:val="15"/>
                          </w:rPr>
                          <w:t>年国家发改委下发的《关于建立健全居民生活用气阶梯价格制度的指导意见》（三阶气价），可对表端</w:t>
                        </w:r>
                      </w:p>
                    </w:tc>
                  </w:tr>
                  <w:tr>
                    <w:trPr>
                      <w:trHeight w:val="327" w:hRule="exact"/>
                    </w:trPr>
                    <w:tc>
                      <w:tcPr>
                        <w:tcW w:w="560" w:type="dxa"/>
                        <w:tcBorders>
                          <w:top w:val="nil" w:sz="6" w:space="0" w:color="auto"/>
                          <w:left w:val="single" w:sz="6" w:space="0" w:color="000000"/>
                          <w:bottom w:val="single" w:sz="6" w:space="0" w:color="000000"/>
                          <w:right w:val="single" w:sz="6" w:space="0" w:color="000000"/>
                        </w:tcBorders>
                      </w:tcPr>
                      <w:p>
                        <w:pPr/>
                      </w:p>
                    </w:tc>
                    <w:tc>
                      <w:tcPr>
                        <w:tcW w:w="2028" w:type="dxa"/>
                        <w:tcBorders>
                          <w:top w:val="nil" w:sz="6" w:space="0" w:color="auto"/>
                          <w:left w:val="single" w:sz="6" w:space="0" w:color="000000"/>
                          <w:bottom w:val="single" w:sz="6" w:space="0" w:color="000000"/>
                          <w:right w:val="single" w:sz="6" w:space="0" w:color="000000"/>
                        </w:tcBorders>
                      </w:tcPr>
                      <w:p>
                        <w:pPr/>
                      </w:p>
                    </w:tc>
                    <w:tc>
                      <w:tcPr>
                        <w:tcW w:w="919" w:type="dxa"/>
                        <w:tcBorders>
                          <w:top w:val="nil" w:sz="6" w:space="0" w:color="auto"/>
                          <w:left w:val="single" w:sz="6" w:space="0" w:color="000000"/>
                          <w:bottom w:val="single" w:sz="6" w:space="0" w:color="000000"/>
                          <w:right w:val="single" w:sz="6" w:space="0" w:color="000000"/>
                        </w:tcBorders>
                      </w:tcPr>
                      <w:p>
                        <w:pPr/>
                      </w:p>
                    </w:tc>
                    <w:tc>
                      <w:tcPr>
                        <w:tcW w:w="1770" w:type="dxa"/>
                        <w:tcBorders>
                          <w:top w:val="nil" w:sz="6" w:space="0" w:color="auto"/>
                          <w:left w:val="single" w:sz="6" w:space="0" w:color="000000"/>
                          <w:bottom w:val="single" w:sz="6" w:space="0" w:color="000000"/>
                          <w:right w:val="single" w:sz="6" w:space="0" w:color="000000"/>
                        </w:tcBorders>
                      </w:tcPr>
                      <w:p>
                        <w:pPr/>
                      </w:p>
                    </w:tc>
                    <w:tc>
                      <w:tcPr>
                        <w:tcW w:w="1194" w:type="dxa"/>
                        <w:tcBorders>
                          <w:top w:val="nil" w:sz="6" w:space="0" w:color="auto"/>
                          <w:left w:val="single" w:sz="6" w:space="0" w:color="000000"/>
                          <w:bottom w:val="single" w:sz="6" w:space="0" w:color="000000"/>
                          <w:right w:val="single" w:sz="6" w:space="0" w:color="000000"/>
                        </w:tcBorders>
                      </w:tcPr>
                      <w:p>
                        <w:pPr/>
                      </w:p>
                    </w:tc>
                    <w:tc>
                      <w:tcPr>
                        <w:tcW w:w="757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宋体" w:hAnsi="宋体" w:cs="宋体" w:eastAsia="宋体" w:hint="default"/>
                            <w:sz w:val="15"/>
                            <w:szCs w:val="15"/>
                          </w:rPr>
                          <w:t>设置五档阶梯气价。</w:t>
                        </w:r>
                      </w:p>
                    </w:tc>
                  </w:tr>
                  <w:tr>
                    <w:trPr>
                      <w:trHeight w:val="332" w:hRule="exact"/>
                    </w:trPr>
                    <w:tc>
                      <w:tcPr>
                        <w:tcW w:w="560" w:type="dxa"/>
                        <w:tcBorders>
                          <w:top w:val="single" w:sz="6" w:space="0" w:color="000000"/>
                          <w:left w:val="single" w:sz="6" w:space="0" w:color="000000"/>
                          <w:bottom w:val="nil" w:sz="6" w:space="0" w:color="auto"/>
                          <w:right w:val="single" w:sz="6" w:space="0" w:color="000000"/>
                        </w:tcBorders>
                      </w:tcPr>
                      <w:p>
                        <w:pPr/>
                      </w:p>
                    </w:tc>
                    <w:tc>
                      <w:tcPr>
                        <w:tcW w:w="2028" w:type="dxa"/>
                        <w:tcBorders>
                          <w:top w:val="single" w:sz="6" w:space="0" w:color="000000"/>
                          <w:left w:val="single" w:sz="6" w:space="0" w:color="000000"/>
                          <w:bottom w:val="nil" w:sz="6" w:space="0" w:color="auto"/>
                          <w:right w:val="single" w:sz="6" w:space="0" w:color="000000"/>
                        </w:tcBorders>
                      </w:tcPr>
                      <w:p>
                        <w:pPr/>
                      </w:p>
                    </w:tc>
                    <w:tc>
                      <w:tcPr>
                        <w:tcW w:w="919" w:type="dxa"/>
                        <w:tcBorders>
                          <w:top w:val="single" w:sz="6" w:space="0" w:color="000000"/>
                          <w:left w:val="single" w:sz="6" w:space="0" w:color="000000"/>
                          <w:bottom w:val="nil" w:sz="6" w:space="0" w:color="auto"/>
                          <w:right w:val="single" w:sz="6" w:space="0" w:color="000000"/>
                        </w:tcBorders>
                      </w:tcPr>
                      <w:p>
                        <w:pPr/>
                      </w:p>
                    </w:tc>
                    <w:tc>
                      <w:tcPr>
                        <w:tcW w:w="1770" w:type="dxa"/>
                        <w:tcBorders>
                          <w:top w:val="single" w:sz="6" w:space="0" w:color="000000"/>
                          <w:left w:val="single" w:sz="6" w:space="0" w:color="000000"/>
                          <w:bottom w:val="nil" w:sz="6" w:space="0" w:color="auto"/>
                          <w:right w:val="single" w:sz="6" w:space="0" w:color="000000"/>
                        </w:tcBorders>
                      </w:tcPr>
                      <w:p>
                        <w:pPr/>
                      </w:p>
                    </w:tc>
                    <w:tc>
                      <w:tcPr>
                        <w:tcW w:w="1194" w:type="dxa"/>
                        <w:tcBorders>
                          <w:top w:val="single" w:sz="6" w:space="0" w:color="000000"/>
                          <w:left w:val="single" w:sz="6" w:space="0" w:color="000000"/>
                          <w:bottom w:val="nil" w:sz="6" w:space="0" w:color="auto"/>
                          <w:right w:val="single" w:sz="6" w:space="0" w:color="000000"/>
                        </w:tcBorders>
                      </w:tcPr>
                      <w:p>
                        <w:pPr/>
                      </w:p>
                    </w:tc>
                    <w:tc>
                      <w:tcPr>
                        <w:tcW w:w="757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3"/>
                          <w:ind w:left="3" w:right="0"/>
                          <w:jc w:val="left"/>
                          <w:rPr>
                            <w:rFonts w:ascii="宋体" w:hAnsi="宋体" w:cs="宋体" w:eastAsia="宋体" w:hint="default"/>
                            <w:sz w:val="15"/>
                            <w:szCs w:val="15"/>
                          </w:rPr>
                        </w:pPr>
                        <w:r>
                          <w:rPr>
                            <w:rFonts w:ascii="Times New Roman" w:hAnsi="Times New Roman" w:cs="Times New Roman" w:eastAsia="Times New Roman" w:hint="default"/>
                            <w:spacing w:val="-1"/>
                            <w:sz w:val="15"/>
                            <w:szCs w:val="15"/>
                          </w:rPr>
                          <w:t>1</w:t>
                        </w:r>
                        <w:r>
                          <w:rPr>
                            <w:rFonts w:ascii="宋体" w:hAnsi="宋体" w:cs="宋体" w:eastAsia="宋体" w:hint="default"/>
                            <w:spacing w:val="-1"/>
                            <w:sz w:val="15"/>
                            <w:szCs w:val="15"/>
                          </w:rPr>
                          <w:t>、以移动互联网技术，实现了以校园一卡通、大数据以及智能终端为核心的</w:t>
                        </w:r>
                        <w:r>
                          <w:rPr>
                            <w:rFonts w:ascii="Times New Roman" w:hAnsi="Times New Roman" w:cs="Times New Roman" w:eastAsia="Times New Roman" w:hint="default"/>
                            <w:spacing w:val="-1"/>
                            <w:sz w:val="15"/>
                            <w:szCs w:val="15"/>
                          </w:rPr>
                          <w:t>O2O</w:t>
                        </w:r>
                        <w:r>
                          <w:rPr>
                            <w:rFonts w:ascii="宋体" w:hAnsi="宋体" w:cs="宋体" w:eastAsia="宋体" w:hint="default"/>
                            <w:spacing w:val="-1"/>
                            <w:sz w:val="15"/>
                            <w:szCs w:val="15"/>
                          </w:rPr>
                          <w:t>生态闭环，将智慧校园线下业务与</w:t>
                        </w:r>
                      </w:p>
                    </w:tc>
                  </w:tr>
                  <w:tr>
                    <w:trPr>
                      <w:trHeight w:val="308"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宋体" w:hAnsi="宋体" w:cs="宋体" w:eastAsia="宋体" w:hint="default"/>
                            <w:sz w:val="15"/>
                            <w:szCs w:val="15"/>
                          </w:rPr>
                          <w:t>线上业务互动融合；</w:t>
                        </w:r>
                      </w:p>
                    </w:tc>
                  </w:tr>
                  <w:tr>
                    <w:trPr>
                      <w:trHeight w:val="316"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3" w:right="-17"/>
                          <w:jc w:val="left"/>
                          <w:rPr>
                            <w:rFonts w:ascii="宋体" w:hAnsi="宋体" w:cs="宋体" w:eastAsia="宋体" w:hint="default"/>
                            <w:sz w:val="15"/>
                            <w:szCs w:val="15"/>
                          </w:rPr>
                        </w:pPr>
                        <w:r>
                          <w:rPr>
                            <w:rFonts w:ascii="宋体" w:hAnsi="宋体" w:cs="宋体" w:eastAsia="宋体" w:hint="default"/>
                            <w:spacing w:val="17"/>
                            <w:sz w:val="15"/>
                            <w:szCs w:val="15"/>
                          </w:rPr>
                          <w:t>计划起止日期：</w:t>
                        </w:r>
                        <w:r>
                          <w:rPr>
                            <w:rFonts w:ascii="宋体" w:hAnsi="宋体" w:cs="宋体" w:eastAsia="宋体" w:hint="default"/>
                            <w:spacing w:val="-55"/>
                            <w:sz w:val="15"/>
                            <w:szCs w:val="15"/>
                          </w:rPr>
                          <w:t> </w:t>
                        </w:r>
                        <w:r>
                          <w:rPr>
                            <w:rFonts w:ascii="宋体" w:hAnsi="宋体" w:cs="宋体" w:eastAsia="宋体" w:hint="default"/>
                            <w:sz w:val="15"/>
                            <w:szCs w:val="15"/>
                          </w:rPr>
                        </w: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、基于移动支付及</w:t>
                        </w:r>
                        <w:r>
                          <w:rPr>
                            <w:rFonts w:ascii="Times New Roman" w:hAnsi="Times New Roman" w:cs="Times New Roman" w:eastAsia="Times New Roman" w:hint="default"/>
                            <w:sz w:val="15"/>
                            <w:szCs w:val="15"/>
                          </w:rPr>
                          <w:t>NFC</w:t>
                        </w:r>
                        <w:r>
                          <w:rPr>
                            <w:rFonts w:ascii="宋体" w:hAnsi="宋体" w:cs="宋体" w:eastAsia="宋体" w:hint="default"/>
                            <w:sz w:val="15"/>
                            <w:szCs w:val="15"/>
                          </w:rPr>
                          <w:t>技术实现了校园卡的空中圈存、充值、缴费；</w:t>
                        </w:r>
                      </w:p>
                    </w:tc>
                  </w:tr>
                  <w:tr>
                    <w:trPr>
                      <w:trHeight w:val="312" w:hRule="exact"/>
                    </w:trPr>
                    <w:tc>
                      <w:tcPr>
                        <w:tcW w:w="560"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right="1"/>
                          <w:jc w:val="center"/>
                          <w:rPr>
                            <w:rFonts w:ascii="Times New Roman" w:hAnsi="Times New Roman" w:cs="Times New Roman" w:eastAsia="Times New Roman" w:hint="default"/>
                            <w:sz w:val="15"/>
                            <w:szCs w:val="15"/>
                          </w:rPr>
                        </w:pPr>
                        <w:r>
                          <w:rPr>
                            <w:rFonts w:ascii="Times New Roman"/>
                            <w:sz w:val="15"/>
                          </w:rPr>
                          <w:t>16</w:t>
                        </w:r>
                      </w:p>
                    </w:tc>
                    <w:tc>
                      <w:tcPr>
                        <w:tcW w:w="2028"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宋体" w:hAnsi="宋体" w:cs="宋体" w:eastAsia="宋体" w:hint="default"/>
                            <w:sz w:val="15"/>
                            <w:szCs w:val="15"/>
                          </w:rPr>
                          <w:t>玩校</w:t>
                        </w:r>
                      </w:p>
                    </w:tc>
                    <w:tc>
                      <w:tcPr>
                        <w:tcW w:w="919"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宋体" w:hAnsi="宋体" w:cs="宋体" w:eastAsia="宋体" w:hint="default"/>
                            <w:sz w:val="15"/>
                            <w:szCs w:val="15"/>
                          </w:rPr>
                          <w:t>移动互联</w:t>
                        </w:r>
                      </w:p>
                    </w:tc>
                    <w:tc>
                      <w:tcPr>
                        <w:tcW w:w="1770"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宋体" w:hAnsi="宋体" w:cs="宋体" w:eastAsia="宋体" w:hint="default"/>
                            <w:sz w:val="15"/>
                            <w:szCs w:val="15"/>
                          </w:rPr>
                          <w:t>发布阶段</w:t>
                        </w:r>
                      </w:p>
                    </w:tc>
                    <w:tc>
                      <w:tcPr>
                        <w:tcW w:w="1194"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left="3" w:right="0"/>
                          <w:jc w:val="left"/>
                          <w:rPr>
                            <w:rFonts w:ascii="Times New Roman" w:hAnsi="Times New Roman" w:cs="Times New Roman" w:eastAsia="Times New Roman" w:hint="default"/>
                            <w:sz w:val="15"/>
                            <w:szCs w:val="15"/>
                          </w:rPr>
                        </w:pPr>
                        <w:r>
                          <w:rPr>
                            <w:rFonts w:ascii="Times New Roman"/>
                            <w:sz w:val="15"/>
                          </w:rPr>
                          <w:t>2015/1/1-</w:t>
                        </w: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、搭建了高校</w:t>
                        </w:r>
                        <w:r>
                          <w:rPr>
                            <w:rFonts w:ascii="Times New Roman" w:hAnsi="Times New Roman" w:cs="Times New Roman" w:eastAsia="Times New Roman" w:hint="default"/>
                            <w:sz w:val="15"/>
                            <w:szCs w:val="15"/>
                          </w:rPr>
                          <w:t>“+</w:t>
                        </w:r>
                        <w:r>
                          <w:rPr>
                            <w:rFonts w:ascii="宋体" w:hAnsi="宋体" w:cs="宋体" w:eastAsia="宋体" w:hint="default"/>
                            <w:sz w:val="15"/>
                            <w:szCs w:val="15"/>
                          </w:rPr>
                          <w:t>互联网平台</w:t>
                        </w:r>
                        <w:r>
                          <w:rPr>
                            <w:rFonts w:ascii="Times New Roman" w:hAnsi="Times New Roman" w:cs="Times New Roman" w:eastAsia="Times New Roman" w:hint="default"/>
                            <w:sz w:val="15"/>
                            <w:szCs w:val="15"/>
                          </w:rPr>
                          <w:t>”</w:t>
                        </w:r>
                        <w:r>
                          <w:rPr>
                            <w:rFonts w:ascii="宋体" w:hAnsi="宋体" w:cs="宋体" w:eastAsia="宋体" w:hint="default"/>
                            <w:sz w:val="15"/>
                            <w:szCs w:val="15"/>
                          </w:rPr>
                          <w:t>：提供一卡通充值、缴费、购水、购电、课表、成绩、图书借阅等丰富的服务；</w:t>
                        </w:r>
                      </w:p>
                    </w:tc>
                  </w:tr>
                  <w:tr>
                    <w:trPr>
                      <w:trHeight w:val="312"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left="3" w:right="0"/>
                          <w:jc w:val="left"/>
                          <w:rPr>
                            <w:rFonts w:ascii="Times New Roman" w:hAnsi="Times New Roman" w:cs="Times New Roman" w:eastAsia="Times New Roman" w:hint="default"/>
                            <w:sz w:val="15"/>
                            <w:szCs w:val="15"/>
                          </w:rPr>
                        </w:pPr>
                        <w:r>
                          <w:rPr>
                            <w:rFonts w:ascii="Times New Roman"/>
                            <w:sz w:val="15"/>
                          </w:rPr>
                          <w:t>2015/12/31</w:t>
                        </w: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、打造了国内首家以实名认证方式的高校可信社交平台；</w:t>
                        </w:r>
                      </w:p>
                    </w:tc>
                  </w:tr>
                  <w:tr>
                    <w:trPr>
                      <w:trHeight w:val="312" w:hRule="exact"/>
                    </w:trPr>
                    <w:tc>
                      <w:tcPr>
                        <w:tcW w:w="560" w:type="dxa"/>
                        <w:tcBorders>
                          <w:top w:val="nil" w:sz="6" w:space="0" w:color="auto"/>
                          <w:left w:val="single" w:sz="6" w:space="0" w:color="000000"/>
                          <w:bottom w:val="nil" w:sz="6" w:space="0" w:color="auto"/>
                          <w:right w:val="single" w:sz="6" w:space="0" w:color="000000"/>
                        </w:tcBorders>
                      </w:tcPr>
                      <w:p>
                        <w:pPr/>
                      </w:p>
                    </w:tc>
                    <w:tc>
                      <w:tcPr>
                        <w:tcW w:w="2028" w:type="dxa"/>
                        <w:tcBorders>
                          <w:top w:val="nil" w:sz="6" w:space="0" w:color="auto"/>
                          <w:left w:val="single" w:sz="6" w:space="0" w:color="000000"/>
                          <w:bottom w:val="nil" w:sz="6" w:space="0" w:color="auto"/>
                          <w:right w:val="single" w:sz="6" w:space="0" w:color="000000"/>
                        </w:tcBorders>
                      </w:tcPr>
                      <w:p>
                        <w:pPr/>
                      </w:p>
                    </w:tc>
                    <w:tc>
                      <w:tcPr>
                        <w:tcW w:w="919" w:type="dxa"/>
                        <w:tcBorders>
                          <w:top w:val="nil" w:sz="6" w:space="0" w:color="auto"/>
                          <w:left w:val="single" w:sz="6" w:space="0" w:color="000000"/>
                          <w:bottom w:val="nil" w:sz="6" w:space="0" w:color="auto"/>
                          <w:right w:val="single" w:sz="6" w:space="0" w:color="000000"/>
                        </w:tcBorders>
                      </w:tcPr>
                      <w:p>
                        <w:pPr/>
                      </w:p>
                    </w:tc>
                    <w:tc>
                      <w:tcPr>
                        <w:tcW w:w="1770"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single" w:sz="6" w:space="0" w:color="000000"/>
                        </w:tcBorders>
                      </w:tcPr>
                      <w:p>
                        <w:pPr/>
                      </w:p>
                    </w:tc>
                    <w:tc>
                      <w:tcPr>
                        <w:tcW w:w="757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3"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pacing w:val="-3"/>
                            <w:sz w:val="15"/>
                            <w:szCs w:val="15"/>
                          </w:rPr>
                          <w:t>5</w:t>
                        </w:r>
                        <w:r>
                          <w:rPr>
                            <w:rFonts w:ascii="宋体" w:hAnsi="宋体" w:cs="宋体" w:eastAsia="宋体" w:hint="default"/>
                            <w:spacing w:val="-3"/>
                            <w:sz w:val="15"/>
                            <w:szCs w:val="15"/>
                          </w:rPr>
                          <w:t>、依托于同学圈、校讯录、校园活动、调查等线上内容，构建了以开放平台、大数据为核心的高校</w:t>
                        </w:r>
                        <w:r>
                          <w:rPr>
                            <w:rFonts w:ascii="Times New Roman" w:hAnsi="Times New Roman" w:cs="Times New Roman" w:eastAsia="Times New Roman" w:hint="default"/>
                            <w:spacing w:val="-3"/>
                            <w:sz w:val="15"/>
                            <w:szCs w:val="15"/>
                          </w:rPr>
                          <w:t>“</w:t>
                        </w:r>
                        <w:r>
                          <w:rPr>
                            <w:rFonts w:ascii="宋体" w:hAnsi="宋体" w:cs="宋体" w:eastAsia="宋体" w:hint="default"/>
                            <w:spacing w:val="-3"/>
                            <w:sz w:val="15"/>
                            <w:szCs w:val="15"/>
                          </w:rPr>
                          <w:t>互联网 </w:t>
                        </w:r>
                        <w:r>
                          <w:rPr>
                            <w:rFonts w:ascii="Times New Roman" w:hAnsi="Times New Roman" w:cs="Times New Roman" w:eastAsia="Times New Roman" w:hint="default"/>
                            <w:sz w:val="15"/>
                            <w:szCs w:val="15"/>
                          </w:rPr>
                          <w:t>+</w:t>
                        </w:r>
                        <w:r>
                          <w:rPr>
                            <w:rFonts w:ascii="Times New Roman" w:hAnsi="Times New Roman" w:cs="Times New Roman" w:eastAsia="Times New Roman" w:hint="default"/>
                            <w:spacing w:val="16"/>
                            <w:sz w:val="15"/>
                            <w:szCs w:val="15"/>
                          </w:rPr>
                          <w:t> </w:t>
                        </w:r>
                        <w:r>
                          <w:rPr>
                            <w:rFonts w:ascii="宋体" w:hAnsi="宋体" w:cs="宋体" w:eastAsia="宋体" w:hint="default"/>
                            <w:sz w:val="15"/>
                            <w:szCs w:val="15"/>
                          </w:rPr>
                          <w:t>平台</w:t>
                        </w:r>
                        <w:r>
                          <w:rPr>
                            <w:rFonts w:ascii="Times New Roman" w:hAnsi="Times New Roman" w:cs="Times New Roman" w:eastAsia="Times New Roman" w:hint="default"/>
                            <w:sz w:val="15"/>
                            <w:szCs w:val="15"/>
                          </w:rPr>
                          <w:t>”</w:t>
                        </w:r>
                      </w:p>
                    </w:tc>
                  </w:tr>
                  <w:tr>
                    <w:trPr>
                      <w:trHeight w:val="327" w:hRule="exact"/>
                    </w:trPr>
                    <w:tc>
                      <w:tcPr>
                        <w:tcW w:w="560" w:type="dxa"/>
                        <w:tcBorders>
                          <w:top w:val="nil" w:sz="6" w:space="0" w:color="auto"/>
                          <w:left w:val="single" w:sz="6" w:space="0" w:color="000000"/>
                          <w:bottom w:val="single" w:sz="6" w:space="0" w:color="000000"/>
                          <w:right w:val="single" w:sz="6" w:space="0" w:color="000000"/>
                        </w:tcBorders>
                      </w:tcPr>
                      <w:p>
                        <w:pPr/>
                      </w:p>
                    </w:tc>
                    <w:tc>
                      <w:tcPr>
                        <w:tcW w:w="2028" w:type="dxa"/>
                        <w:tcBorders>
                          <w:top w:val="nil" w:sz="6" w:space="0" w:color="auto"/>
                          <w:left w:val="single" w:sz="6" w:space="0" w:color="000000"/>
                          <w:bottom w:val="single" w:sz="6" w:space="0" w:color="000000"/>
                          <w:right w:val="single" w:sz="6" w:space="0" w:color="000000"/>
                        </w:tcBorders>
                      </w:tcPr>
                      <w:p>
                        <w:pPr/>
                      </w:p>
                    </w:tc>
                    <w:tc>
                      <w:tcPr>
                        <w:tcW w:w="919" w:type="dxa"/>
                        <w:tcBorders>
                          <w:top w:val="nil" w:sz="6" w:space="0" w:color="auto"/>
                          <w:left w:val="single" w:sz="6" w:space="0" w:color="000000"/>
                          <w:bottom w:val="single" w:sz="6" w:space="0" w:color="000000"/>
                          <w:right w:val="single" w:sz="6" w:space="0" w:color="000000"/>
                        </w:tcBorders>
                      </w:tcPr>
                      <w:p>
                        <w:pPr/>
                      </w:p>
                    </w:tc>
                    <w:tc>
                      <w:tcPr>
                        <w:tcW w:w="1770" w:type="dxa"/>
                        <w:tcBorders>
                          <w:top w:val="nil" w:sz="6" w:space="0" w:color="auto"/>
                          <w:left w:val="single" w:sz="6" w:space="0" w:color="000000"/>
                          <w:bottom w:val="single" w:sz="6" w:space="0" w:color="000000"/>
                          <w:right w:val="single" w:sz="6" w:space="0" w:color="000000"/>
                        </w:tcBorders>
                      </w:tcPr>
                      <w:p>
                        <w:pPr/>
                      </w:p>
                    </w:tc>
                    <w:tc>
                      <w:tcPr>
                        <w:tcW w:w="1194" w:type="dxa"/>
                        <w:tcBorders>
                          <w:top w:val="nil" w:sz="6" w:space="0" w:color="auto"/>
                          <w:left w:val="single" w:sz="6" w:space="0" w:color="000000"/>
                          <w:bottom w:val="single" w:sz="6" w:space="0" w:color="000000"/>
                          <w:right w:val="single" w:sz="6" w:space="0" w:color="000000"/>
                        </w:tcBorders>
                      </w:tcPr>
                      <w:p>
                        <w:pPr/>
                      </w:p>
                    </w:tc>
                    <w:tc>
                      <w:tcPr>
                        <w:tcW w:w="757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0"/>
                          <w:ind w:left="3" w:right="0"/>
                          <w:jc w:val="left"/>
                          <w:rPr>
                            <w:rFonts w:ascii="宋体" w:hAnsi="宋体" w:cs="宋体" w:eastAsia="宋体" w:hint="default"/>
                            <w:sz w:val="15"/>
                            <w:szCs w:val="15"/>
                          </w:rPr>
                        </w:pPr>
                        <w:r>
                          <w:rPr>
                            <w:rFonts w:ascii="宋体" w:hAnsi="宋体" w:cs="宋体" w:eastAsia="宋体" w:hint="default"/>
                            <w:sz w:val="15"/>
                            <w:szCs w:val="15"/>
                          </w:rPr>
                          <w:t>成为国内首家校园领域开放平台，打造国内最大的校园产品生态圈。</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spacing w:before="53"/>
        <w:ind w:left="0" w:right="108" w:firstLine="0"/>
        <w:jc w:val="right"/>
        <w:rPr>
          <w:rFonts w:ascii="宋体" w:hAnsi="宋体" w:cs="宋体" w:eastAsia="宋体" w:hint="default"/>
          <w:sz w:val="15"/>
          <w:szCs w:val="15"/>
        </w:rPr>
      </w:pPr>
      <w:r>
        <w:rPr>
          <w:rFonts w:ascii="宋体" w:hAnsi="宋体" w:cs="宋体" w:eastAsia="宋体" w:hint="default"/>
          <w:sz w:val="15"/>
          <w:szCs w:val="15"/>
        </w:rPr>
        <w:t>，</w:t>
      </w:r>
    </w:p>
    <w:p>
      <w:pPr>
        <w:spacing w:after="0"/>
        <w:jc w:val="right"/>
        <w:rPr>
          <w:rFonts w:ascii="宋体" w:hAnsi="宋体" w:cs="宋体" w:eastAsia="宋体" w:hint="default"/>
          <w:sz w:val="15"/>
          <w:szCs w:val="15"/>
        </w:rPr>
        <w:sectPr>
          <w:pgSz w:w="16840" w:h="11910" w:orient="landscape"/>
          <w:pgMar w:header="867" w:footer="978" w:top="1060" w:bottom="1160" w:left="1320" w:right="1180"/>
        </w:sectPr>
      </w:pPr>
    </w:p>
    <w:p>
      <w:pPr>
        <w:spacing w:line="240" w:lineRule="auto" w:before="0"/>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37.33%</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27.86%</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24.95%</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46,543,999.48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28,940,826.51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22,170,883.01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9.12%</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9.18%</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10.02%</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875,047.94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1.88%</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1.45%</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38" w:lineRule="auto" w:before="117"/>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研发投入资本化率大幅变动的原因及其合理性说明</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5"/>
        <w:ind w:left="574" w:right="0"/>
        <w:jc w:val="left"/>
      </w:pPr>
      <w:r>
        <w:rPr/>
        <w:t>报告期内，公司合并范围发生变化，研发支出资本化金额系上海树维合并期限内发生额。</w:t>
      </w:r>
    </w:p>
    <w:p>
      <w:pPr>
        <w:spacing w:line="240" w:lineRule="auto" w:before="0"/>
        <w:rPr>
          <w:rFonts w:ascii="宋体" w:hAnsi="宋体" w:cs="宋体" w:eastAsia="宋体" w:hint="default"/>
          <w:sz w:val="20"/>
          <w:szCs w:val="20"/>
        </w:rPr>
      </w:pPr>
    </w:p>
    <w:p>
      <w:pPr>
        <w:pStyle w:val="Heading4"/>
        <w:spacing w:line="240" w:lineRule="auto" w:before="154"/>
        <w:ind w:left="153"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567,521,336.08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345,102,164.40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64.45%</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488,936,284.66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341,480,419.53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43.18%</w:t>
            </w:r>
            <w:r>
              <w:rPr>
                <w:rFonts w:ascii="Times New Roman"/>
                <w:sz w:val="18"/>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78,585,051.42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3,621,744.87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2,069.81%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225,450.00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-91.79%</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198,274,698.79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58,111,369.43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241.20%</w:t>
            </w:r>
            <w:r>
              <w:rPr>
                <w:rFonts w:ascii="Times New Roman"/>
                <w:sz w:val="18"/>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-198,256,198.79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-57,885,919.43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-242.49%</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187,954,048.74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10,266,700.00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1,730.72%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41,879,415.63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8,983,329.32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366.19%</w:t>
            </w:r>
            <w:r>
              <w:rPr>
                <w:rFonts w:ascii="Times New Roman"/>
                <w:sz w:val="18"/>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146,074,633.11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1,283,370.68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11,282.11%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26,403,485.74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-52,980,803.88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149.84%</w:t>
            </w:r>
            <w:r>
              <w:rPr>
                <w:rFonts w:ascii="Times New Roman"/>
                <w:sz w:val="18"/>
              </w:rPr>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3"/>
        <w:ind w:left="574" w:right="0"/>
        <w:jc w:val="left"/>
      </w:pPr>
      <w:r>
        <w:rPr/>
        <w:t>（</w:t>
      </w:r>
      <w:r>
        <w:rPr>
          <w:rFonts w:ascii="Times New Roman" w:hAnsi="Times New Roman" w:cs="Times New Roman" w:eastAsia="Times New Roman" w:hint="default"/>
        </w:rPr>
        <w:t>1</w:t>
      </w:r>
      <w:r>
        <w:rPr/>
        <w:t>）经营活动产生的现金流量净额较上年同期增加</w:t>
      </w:r>
      <w:r>
        <w:rPr>
          <w:rFonts w:ascii="Times New Roman" w:hAnsi="Times New Roman" w:cs="Times New Roman" w:eastAsia="Times New Roman" w:hint="default"/>
        </w:rPr>
        <w:t>2,069.81%</w:t>
      </w:r>
      <w:r>
        <w:rPr/>
        <w:t>，主要系合并范围增加及经营活动现金</w:t>
      </w:r>
    </w:p>
    <w:p>
      <w:pPr>
        <w:spacing w:after="0" w:line="240" w:lineRule="auto"/>
        <w:jc w:val="left"/>
        <w:sectPr>
          <w:headerReference w:type="default" r:id="rId17"/>
          <w:footerReference w:type="default" r:id="rId18"/>
          <w:pgSz w:w="11910" w:h="16840"/>
          <w:pgMar w:header="877" w:footer="982" w:top="1100" w:bottom="1180" w:left="980" w:right="980"/>
          <w:pgNumType w:start="30"/>
        </w:sectPr>
      </w:pPr>
    </w:p>
    <w:p>
      <w:pPr>
        <w:spacing w:line="240" w:lineRule="auto" w:before="8"/>
        <w:rPr>
          <w:rFonts w:ascii="宋体" w:hAnsi="宋体" w:cs="宋体" w:eastAsia="宋体" w:hint="default"/>
          <w:sz w:val="26"/>
          <w:szCs w:val="26"/>
        </w:rPr>
      </w:pPr>
    </w:p>
    <w:p>
      <w:pPr>
        <w:pStyle w:val="BodyText"/>
        <w:spacing w:line="240" w:lineRule="auto" w:before="35"/>
        <w:ind w:right="0"/>
        <w:jc w:val="left"/>
      </w:pPr>
      <w:r>
        <w:rPr/>
        <w:t>流入增速超过流出增加所致。</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w:t>
      </w:r>
      <w:r>
        <w:rPr>
          <w:rFonts w:ascii="Times New Roman" w:hAnsi="Times New Roman" w:cs="Times New Roman" w:eastAsia="Times New Roman" w:hint="default"/>
        </w:rPr>
        <w:t>2</w:t>
      </w:r>
      <w:r>
        <w:rPr/>
        <w:t>）投资活动产生的现金流量净额较上年同期下降</w:t>
      </w:r>
      <w:r>
        <w:rPr>
          <w:rFonts w:ascii="Times New Roman" w:hAnsi="Times New Roman" w:cs="Times New Roman" w:eastAsia="Times New Roman" w:hint="default"/>
        </w:rPr>
        <w:t>242.49%</w:t>
      </w:r>
      <w:r>
        <w:rPr/>
        <w:t>，主要系并购子公司支付的现金所致。</w:t>
      </w:r>
    </w:p>
    <w:p>
      <w:pPr>
        <w:pStyle w:val="BodyText"/>
        <w:spacing w:line="386" w:lineRule="auto" w:before="177"/>
        <w:ind w:right="140" w:firstLine="420"/>
        <w:jc w:val="left"/>
      </w:pPr>
      <w:r>
        <w:rPr>
          <w:spacing w:val="-2"/>
        </w:rPr>
        <w:t>（</w:t>
      </w:r>
      <w:r>
        <w:rPr>
          <w:rFonts w:ascii="Times New Roman" w:hAnsi="Times New Roman" w:cs="Times New Roman" w:eastAsia="Times New Roman" w:hint="default"/>
          <w:spacing w:val="-2"/>
        </w:rPr>
        <w:t>3</w:t>
      </w:r>
      <w:r>
        <w:rPr>
          <w:spacing w:val="-2"/>
        </w:rPr>
        <w:t>）筹资活动产生的现金流量净额较上年同期增加</w:t>
      </w:r>
      <w:r>
        <w:rPr>
          <w:rFonts w:ascii="Times New Roman" w:hAnsi="Times New Roman" w:cs="Times New Roman" w:eastAsia="Times New Roman" w:hint="default"/>
          <w:spacing w:val="-2"/>
        </w:rPr>
        <w:t>11,282.11%</w:t>
      </w:r>
      <w:r>
        <w:rPr>
          <w:spacing w:val="-2"/>
        </w:rPr>
        <w:t>，主要系定向增发筹资的现金流入及银</w:t>
      </w:r>
      <w:r>
        <w:rPr/>
        <w:t> 行借款增加所致。</w:t>
      </w:r>
    </w:p>
    <w:p>
      <w:pPr>
        <w:spacing w:before="53"/>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三、非主营业务情况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2"/>
        <w:gridCol w:w="2254"/>
        <w:gridCol w:w="2254"/>
      </w:tblGrid>
      <w:tr>
        <w:trPr>
          <w:trHeight w:val="401"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01"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217,111.05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0.31%</w:t>
            </w:r>
            <w:r>
              <w:rPr>
                <w:rFonts w:ascii="Times New Roman"/>
                <w:sz w:val="18"/>
              </w:rPr>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9"/>
              <w:jc w:val="left"/>
              <w:rPr>
                <w:rFonts w:ascii="宋体" w:hAnsi="宋体" w:cs="宋体" w:eastAsia="宋体" w:hint="default"/>
                <w:sz w:val="18"/>
                <w:szCs w:val="18"/>
              </w:rPr>
            </w:pPr>
            <w:r>
              <w:rPr>
                <w:rFonts w:ascii="宋体" w:hAnsi="宋体" w:cs="宋体" w:eastAsia="宋体" w:hint="default"/>
                <w:sz w:val="18"/>
                <w:szCs w:val="18"/>
              </w:rPr>
              <w:t>主要系成都兰途及丹诚开普 合伙企业所致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9,335,370.31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13.41%</w:t>
            </w:r>
            <w:r>
              <w:rPr>
                <w:rFonts w:ascii="Times New Roman"/>
                <w:sz w:val="18"/>
              </w:rPr>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9"/>
              <w:jc w:val="both"/>
              <w:rPr>
                <w:rFonts w:ascii="宋体" w:hAnsi="宋体" w:cs="宋体" w:eastAsia="宋体" w:hint="default"/>
                <w:sz w:val="18"/>
                <w:szCs w:val="18"/>
              </w:rPr>
            </w:pPr>
            <w:r>
              <w:rPr>
                <w:rFonts w:ascii="宋体" w:hAnsi="宋体" w:cs="宋体" w:eastAsia="宋体" w:hint="default"/>
                <w:sz w:val="18"/>
                <w:szCs w:val="18"/>
              </w:rPr>
              <w:t>主要系计提应收款项坏账准 备金及对上海微令的可供出 售金融资产减值准备金</w:t>
            </w: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5,165,042.73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7.42%</w:t>
            </w:r>
            <w:r>
              <w:rPr>
                <w:rFonts w:ascii="Times New Roman"/>
                <w:sz w:val="18"/>
              </w:rPr>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4"/>
              <w:jc w:val="center"/>
              <w:rPr>
                <w:rFonts w:ascii="宋体" w:hAnsi="宋体" w:cs="宋体" w:eastAsia="宋体" w:hint="default"/>
                <w:sz w:val="18"/>
                <w:szCs w:val="18"/>
              </w:rPr>
            </w:pPr>
            <w:r>
              <w:rPr>
                <w:rFonts w:ascii="宋体" w:hAnsi="宋体" w:cs="宋体" w:eastAsia="宋体" w:hint="default"/>
                <w:sz w:val="18"/>
                <w:szCs w:val="18"/>
              </w:rPr>
              <w:t>增值税软件退税、政府补助</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1,844,849.77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2.65%</w:t>
            </w:r>
            <w:r>
              <w:rPr>
                <w:rFonts w:ascii="Times New Roman"/>
                <w:sz w:val="18"/>
              </w:rPr>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9"/>
              <w:jc w:val="left"/>
              <w:rPr>
                <w:rFonts w:ascii="宋体" w:hAnsi="宋体" w:cs="宋体" w:eastAsia="宋体" w:hint="default"/>
                <w:sz w:val="18"/>
                <w:szCs w:val="18"/>
              </w:rPr>
            </w:pPr>
            <w:r>
              <w:rPr>
                <w:rFonts w:ascii="宋体" w:hAnsi="宋体" w:cs="宋体" w:eastAsia="宋体" w:hint="default"/>
                <w:sz w:val="18"/>
                <w:szCs w:val="18"/>
              </w:rPr>
              <w:t>主要系捐赠支出及计提的诉 讼预计负债</w:t>
            </w:r>
          </w:p>
        </w:tc>
        <w:tc>
          <w:tcPr>
            <w:tcW w:w="225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5"/>
        <w:gridCol w:w="1063"/>
        <w:gridCol w:w="798"/>
        <w:gridCol w:w="2917"/>
      </w:tblGrid>
      <w:tr>
        <w:trPr>
          <w:trHeight w:val="383"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72" w:hRule="exact"/>
        </w:trPr>
        <w:tc>
          <w:tcPr>
            <w:tcW w:w="1368" w:type="dxa"/>
            <w:vMerge/>
            <w:tcBorders>
              <w:left w:val="single" w:sz="4" w:space="0" w:color="000000"/>
              <w:right w:val="single" w:sz="4" w:space="0" w:color="000000"/>
            </w:tcBorders>
            <w:shd w:val="clear" w:color="auto" w:fill="D3D3D3"/>
          </w:tcPr>
          <w:p>
            <w:pPr/>
          </w:p>
        </w:tc>
        <w:tc>
          <w:tcPr>
            <w:tcW w:w="11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tcBorders>
              <w:left w:val="single" w:sz="4" w:space="0" w:color="000000"/>
              <w:right w:val="single" w:sz="4" w:space="0" w:color="000000"/>
            </w:tcBorders>
            <w:shd w:val="clear" w:color="auto" w:fill="D3D3D3"/>
          </w:tcPr>
          <w:p>
            <w:pPr/>
          </w:p>
        </w:tc>
        <w:tc>
          <w:tcPr>
            <w:tcW w:w="291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64"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291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198,663,050.1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14.77%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171,758,522.59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26.56%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-11.79%</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2"/>
              <w:jc w:val="left"/>
              <w:rPr>
                <w:rFonts w:ascii="宋体" w:hAnsi="宋体" w:cs="宋体" w:eastAsia="宋体" w:hint="default"/>
                <w:sz w:val="18"/>
                <w:szCs w:val="18"/>
              </w:rPr>
            </w:pPr>
            <w:r>
              <w:rPr>
                <w:rFonts w:ascii="宋体" w:hAnsi="宋体" w:cs="宋体" w:eastAsia="宋体" w:hint="default"/>
                <w:sz w:val="18"/>
                <w:szCs w:val="18"/>
              </w:rPr>
              <w:t>本报告期合并范围变化引起资产总 额增加使货币资金占比下降</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211,534,612.6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142,414,643.59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-6.30%</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174,782,234.2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106,244,066.70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-3.44%</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）随着销售业务的增长，发出商 </w:t>
            </w:r>
            <w:r>
              <w:rPr>
                <w:rFonts w:ascii="宋体" w:hAnsi="宋体" w:cs="宋体" w:eastAsia="宋体" w:hint="default"/>
                <w:spacing w:val="-7"/>
                <w:sz w:val="18"/>
                <w:szCs w:val="18"/>
              </w:rPr>
              <w:t>品增加；（</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）本报告期合并范围变化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影响。</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18,231,011.52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1.36%</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19,238,212.43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2.97%</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19,617,111.05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1.46%</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1.46%</w:t>
            </w:r>
            <w:r>
              <w:rPr>
                <w:rFonts w:ascii="Times New Roman"/>
                <w:sz w:val="18"/>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主要系对兰途、乐智及丹诚开普有限</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5"/>
        <w:gridCol w:w="1063"/>
        <w:gridCol w:w="798"/>
        <w:gridCol w:w="2917"/>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合伙企业投资</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153,683,226.4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158,160,877.64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24.46%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-13.04%</w:t>
            </w:r>
            <w:r>
              <w:rPr>
                <w:rFonts w:ascii="Times New Roman"/>
                <w:sz w:val="18"/>
              </w:rPr>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1,572,103.36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0.12%</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1,212,168.70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0.19%</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5.61%</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5.61%</w:t>
            </w:r>
            <w:r>
              <w:rPr>
                <w:rFonts w:ascii="Times New Roman"/>
                <w:sz w:val="18"/>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系本报告期母公司新增借款额</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17,333,333.34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1.29%</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1.29%</w:t>
            </w:r>
            <w:r>
              <w:rPr>
                <w:rFonts w:ascii="Times New Roman"/>
                <w:sz w:val="18"/>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报告期内母公司新增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年期贷款</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556,400,000.00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18,446.67%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1026" w:hRule="exact"/>
        </w:trPr>
        <w:tc>
          <w:tcPr>
            <w:tcW w:w="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7" w:right="66"/>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合作方</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6" w:right="65"/>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6" w:right="65"/>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宋体" w:hAnsi="宋体" w:cs="宋体" w:eastAsia="宋体" w:hint="default"/>
                <w:sz w:val="18"/>
                <w:szCs w:val="18"/>
              </w:rPr>
              <w:t>迪科远</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5"/>
              <w:jc w:val="center"/>
              <w:rPr>
                <w:rFonts w:ascii="宋体" w:hAnsi="宋体" w:cs="宋体" w:eastAsia="宋体" w:hint="default"/>
                <w:sz w:val="18"/>
                <w:szCs w:val="18"/>
              </w:rPr>
            </w:pPr>
            <w:r>
              <w:rPr>
                <w:rFonts w:ascii="宋体" w:hAnsi="宋体" w:cs="宋体" w:eastAsia="宋体" w:hint="default"/>
                <w:sz w:val="18"/>
                <w:szCs w:val="18"/>
              </w:rPr>
              <w:t>望全体</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5"/>
              <w:jc w:val="center"/>
              <w:rPr>
                <w:rFonts w:ascii="宋体" w:hAnsi="宋体" w:cs="宋体" w:eastAsia="宋体" w:hint="default"/>
                <w:sz w:val="18"/>
                <w:szCs w:val="18"/>
              </w:rPr>
            </w:pPr>
            <w:r>
              <w:rPr>
                <w:rFonts w:ascii="宋体" w:hAnsi="宋体" w:cs="宋体" w:eastAsia="宋体" w:hint="default"/>
                <w:sz w:val="18"/>
                <w:szCs w:val="18"/>
              </w:rPr>
              <w:t>股东刘</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智能一</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5"/>
              <w:jc w:val="center"/>
              <w:rPr>
                <w:rFonts w:ascii="宋体" w:hAnsi="宋体" w:cs="宋体" w:eastAsia="宋体" w:hint="default"/>
                <w:sz w:val="18"/>
                <w:szCs w:val="18"/>
              </w:rPr>
            </w:pPr>
            <w:r>
              <w:rPr>
                <w:rFonts w:ascii="宋体" w:hAnsi="宋体" w:cs="宋体" w:eastAsia="宋体" w:hint="default"/>
                <w:sz w:val="18"/>
                <w:szCs w:val="18"/>
              </w:rPr>
              <w:t>永春、</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1564"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北京迪 科远望 科技有 限公司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卡通系 统及产 品的研 发、生 产、销</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320,000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自有资 金及配 套募集 资金</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丛伟 滋、李 洪、熊 小洪、 白海</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3"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15,669,</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049.97</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38" w:lineRule="auto" w:before="11"/>
              <w:ind w:left="22" w:right="55"/>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r>
              <w:rPr>
                <w:rFonts w:ascii="Times New Roman" w:hAnsi="Times New Roman" w:cs="Times New Roman" w:eastAsia="Times New Roman" w:hint="default"/>
                <w:spacing w:val="-3"/>
                <w:sz w:val="18"/>
                <w:szCs w:val="18"/>
              </w:rPr>
              <w:t>www.cn</w:t>
            </w:r>
          </w:p>
          <w:p>
            <w:pPr>
              <w:pStyle w:val="TableParagraph"/>
              <w:spacing w:line="362" w:lineRule="auto" w:before="23"/>
              <w:ind w:left="22" w:right="141"/>
              <w:jc w:val="left"/>
              <w:rPr>
                <w:rFonts w:ascii="Times New Roman" w:hAnsi="Times New Roman" w:cs="Times New Roman" w:eastAsia="Times New Roman" w:hint="default"/>
                <w:sz w:val="18"/>
                <w:szCs w:val="18"/>
              </w:rPr>
            </w:pPr>
            <w:r>
              <w:rPr>
                <w:rFonts w:ascii="Times New Roman"/>
                <w:sz w:val="18"/>
              </w:rPr>
              <w:t>info.co</w:t>
            </w:r>
            <w:r>
              <w:rPr>
                <w:rFonts w:ascii="Times New Roman"/>
                <w:w w:val="100"/>
                <w:sz w:val="18"/>
              </w:rPr>
              <w:t> </w:t>
            </w:r>
            <w:r>
              <w:rPr>
                <w:rFonts w:ascii="Times New Roman"/>
                <w:sz w:val="18"/>
              </w:rPr>
              <w:t>m.cn</w:t>
            </w:r>
          </w:p>
        </w:tc>
      </w:tr>
      <w:tr>
        <w:trPr>
          <w:trHeight w:val="308"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售</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85"/>
              <w:jc w:val="center"/>
              <w:rPr>
                <w:rFonts w:ascii="宋体" w:hAnsi="宋体" w:cs="宋体" w:eastAsia="宋体" w:hint="default"/>
                <w:sz w:val="18"/>
                <w:szCs w:val="18"/>
              </w:rPr>
            </w:pPr>
            <w:r>
              <w:rPr>
                <w:rFonts w:ascii="宋体" w:hAnsi="宋体" w:cs="宋体" w:eastAsia="宋体" w:hint="default"/>
                <w:sz w:val="18"/>
                <w:szCs w:val="18"/>
              </w:rPr>
              <w:t>清、黄</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5"/>
              <w:jc w:val="center"/>
              <w:rPr>
                <w:rFonts w:ascii="宋体" w:hAnsi="宋体" w:cs="宋体" w:eastAsia="宋体" w:hint="default"/>
                <w:sz w:val="18"/>
                <w:szCs w:val="18"/>
              </w:rPr>
            </w:pPr>
            <w:r>
              <w:rPr>
                <w:rFonts w:ascii="宋体" w:hAnsi="宋体" w:cs="宋体" w:eastAsia="宋体" w:hint="default"/>
                <w:sz w:val="18"/>
                <w:szCs w:val="18"/>
              </w:rPr>
              <w:t>暂度等</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31"/>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名交</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85"/>
              <w:jc w:val="center"/>
              <w:rPr>
                <w:rFonts w:ascii="宋体" w:hAnsi="宋体" w:cs="宋体" w:eastAsia="宋体" w:hint="default"/>
                <w:sz w:val="18"/>
                <w:szCs w:val="18"/>
              </w:rPr>
            </w:pPr>
            <w:r>
              <w:rPr>
                <w:rFonts w:ascii="宋体" w:hAnsi="宋体" w:cs="宋体" w:eastAsia="宋体" w:hint="default"/>
                <w:sz w:val="18"/>
                <w:szCs w:val="18"/>
              </w:rPr>
              <w:t>易对方</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10"/>
              <w:jc w:val="left"/>
              <w:rPr>
                <w:rFonts w:ascii="宋体" w:hAnsi="宋体" w:cs="宋体" w:eastAsia="宋体" w:hint="default"/>
                <w:sz w:val="18"/>
                <w:szCs w:val="18"/>
              </w:rPr>
            </w:pPr>
            <w:r>
              <w:rPr>
                <w:rFonts w:ascii="宋体" w:hAnsi="宋体" w:cs="宋体" w:eastAsia="宋体" w:hint="default"/>
                <w:sz w:val="18"/>
                <w:szCs w:val="18"/>
              </w:rPr>
              <w:t>上海树 维信息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08"/>
              <w:jc w:val="left"/>
              <w:rPr>
                <w:rFonts w:ascii="宋体" w:hAnsi="宋体" w:cs="宋体" w:eastAsia="宋体" w:hint="default"/>
                <w:sz w:val="18"/>
                <w:szCs w:val="18"/>
              </w:rPr>
            </w:pPr>
            <w:r>
              <w:rPr>
                <w:rFonts w:ascii="宋体" w:hAnsi="宋体" w:cs="宋体" w:eastAsia="宋体" w:hint="default"/>
                <w:sz w:val="18"/>
                <w:szCs w:val="18"/>
              </w:rPr>
              <w:t>智能一 卡通系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199,000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08"/>
              <w:jc w:val="left"/>
              <w:rPr>
                <w:rFonts w:ascii="宋体" w:hAnsi="宋体" w:cs="宋体" w:eastAsia="宋体" w:hint="default"/>
                <w:sz w:val="18"/>
                <w:szCs w:val="18"/>
              </w:rPr>
            </w:pPr>
            <w:r>
              <w:rPr>
                <w:rFonts w:ascii="宋体" w:hAnsi="宋体" w:cs="宋体" w:eastAsia="宋体" w:hint="default"/>
                <w:sz w:val="18"/>
                <w:szCs w:val="18"/>
              </w:rPr>
              <w:t>公司超 募资金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08"/>
              <w:jc w:val="left"/>
              <w:rPr>
                <w:rFonts w:ascii="宋体" w:hAnsi="宋体" w:cs="宋体" w:eastAsia="宋体" w:hint="default"/>
                <w:sz w:val="18"/>
                <w:szCs w:val="18"/>
              </w:rPr>
            </w:pPr>
            <w:r>
              <w:rPr>
                <w:rFonts w:ascii="宋体" w:hAnsi="宋体" w:cs="宋体" w:eastAsia="宋体" w:hint="default"/>
                <w:sz w:val="18"/>
                <w:szCs w:val="18"/>
              </w:rPr>
              <w:t>上海树 维全体</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9,255,3</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65.07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08"/>
              <w:jc w:val="left"/>
              <w:rPr>
                <w:rFonts w:ascii="宋体" w:hAnsi="宋体" w:cs="宋体" w:eastAsia="宋体" w:hint="default"/>
                <w:sz w:val="18"/>
                <w:szCs w:val="18"/>
              </w:rPr>
            </w:pPr>
            <w:r>
              <w:rPr>
                <w:rFonts w:ascii="宋体" w:hAnsi="宋体" w:cs="宋体" w:eastAsia="宋体" w:hint="default"/>
                <w:sz w:val="18"/>
                <w:szCs w:val="18"/>
              </w:rPr>
              <w:t>巨潮资 讯网</w:t>
            </w:r>
          </w:p>
        </w:tc>
      </w:tr>
    </w:tbl>
    <w:p>
      <w:pPr>
        <w:spacing w:after="0" w:line="316"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21"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科技有</w:t>
            </w: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统、数</w:t>
            </w: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及自有</w:t>
            </w: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股东何</w:t>
            </w: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pacing w:val="-3"/>
                <w:sz w:val="18"/>
              </w:rPr>
              <w:t>www.cn</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字化校</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伟、乔</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info.co</w:t>
            </w: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园系</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志刚、</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2" w:right="0"/>
              <w:jc w:val="left"/>
              <w:rPr>
                <w:rFonts w:ascii="Times New Roman" w:hAnsi="Times New Roman" w:cs="Times New Roman" w:eastAsia="Times New Roman" w:hint="default"/>
                <w:sz w:val="18"/>
                <w:szCs w:val="18"/>
              </w:rPr>
            </w:pPr>
            <w:r>
              <w:rPr>
                <w:rFonts w:ascii="Times New Roman"/>
                <w:sz w:val="18"/>
              </w:rPr>
              <w:t>m.cn</w:t>
            </w:r>
          </w:p>
        </w:tc>
      </w:tr>
      <w:tr>
        <w:trPr>
          <w:trHeight w:val="308"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统、教</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杨宏</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务系统</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生、周</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的研</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华、王</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发、销</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建成、</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售</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吴琼、</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上海君</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略投资</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管理合</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伙企业</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交易对</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方</w:t>
            </w: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成都兰</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途原有</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东洪</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叶、李</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10"/>
              <w:jc w:val="both"/>
              <w:rPr>
                <w:rFonts w:ascii="宋体" w:hAnsi="宋体" w:cs="宋体" w:eastAsia="宋体" w:hint="default"/>
                <w:sz w:val="18"/>
                <w:szCs w:val="18"/>
              </w:rPr>
            </w:pPr>
            <w:r>
              <w:rPr>
                <w:rFonts w:ascii="宋体" w:hAnsi="宋体" w:cs="宋体" w:eastAsia="宋体" w:hint="default"/>
                <w:sz w:val="18"/>
                <w:szCs w:val="18"/>
              </w:rPr>
              <w:t>成都兰 途网络 科技有 限公司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高校官 方移动 信息化 平台建 设</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8,750,0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茂珊及 李皓、 马春 涛、魏 晨、王 楠、张</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3"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216,911.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38" w:lineRule="auto"/>
              <w:ind w:left="22" w:right="55"/>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r>
              <w:rPr>
                <w:rFonts w:ascii="Times New Roman" w:hAnsi="Times New Roman" w:cs="Times New Roman" w:eastAsia="Times New Roman" w:hint="default"/>
                <w:spacing w:val="-3"/>
                <w:sz w:val="18"/>
                <w:szCs w:val="18"/>
              </w:rPr>
              <w:t>www.cn</w:t>
            </w:r>
          </w:p>
          <w:p>
            <w:pPr>
              <w:pStyle w:val="TableParagraph"/>
              <w:spacing w:line="362" w:lineRule="auto" w:before="23"/>
              <w:ind w:left="22" w:right="141"/>
              <w:jc w:val="left"/>
              <w:rPr>
                <w:rFonts w:ascii="Times New Roman" w:hAnsi="Times New Roman" w:cs="Times New Roman" w:eastAsia="Times New Roman" w:hint="default"/>
                <w:sz w:val="18"/>
                <w:szCs w:val="18"/>
              </w:rPr>
            </w:pPr>
            <w:r>
              <w:rPr>
                <w:rFonts w:ascii="Times New Roman"/>
                <w:sz w:val="18"/>
              </w:rPr>
              <w:t>info.co</w:t>
            </w:r>
            <w:r>
              <w:rPr>
                <w:rFonts w:ascii="Times New Roman"/>
                <w:w w:val="100"/>
                <w:sz w:val="18"/>
              </w:rPr>
              <w:t> </w:t>
            </w:r>
            <w:r>
              <w:rPr>
                <w:rFonts w:ascii="Times New Roman"/>
                <w:sz w:val="18"/>
              </w:rPr>
              <w:t>m.cn</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一帆等</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位新</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增自然</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人股东</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北京乐</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为在校</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智原有</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大学生</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股东薄</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1565"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北京乐 智科技 有限公 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提供创 业、就 业培 训，致 力于人</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3,900,0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19.50%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胜、孙 海永及 简晶、 张永浩 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位</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3"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38" w:lineRule="auto" w:before="11"/>
              <w:ind w:left="22" w:right="55"/>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r>
              <w:rPr>
                <w:rFonts w:ascii="Times New Roman" w:hAnsi="Times New Roman" w:cs="Times New Roman" w:eastAsia="Times New Roman" w:hint="default"/>
                <w:spacing w:val="-3"/>
                <w:sz w:val="18"/>
                <w:szCs w:val="18"/>
              </w:rPr>
              <w:t>www.cn</w:t>
            </w:r>
          </w:p>
          <w:p>
            <w:pPr>
              <w:pStyle w:val="TableParagraph"/>
              <w:spacing w:line="362" w:lineRule="auto" w:before="23"/>
              <w:ind w:left="22" w:right="141"/>
              <w:jc w:val="left"/>
              <w:rPr>
                <w:rFonts w:ascii="Times New Roman" w:hAnsi="Times New Roman" w:cs="Times New Roman" w:eastAsia="Times New Roman" w:hint="default"/>
                <w:sz w:val="18"/>
                <w:szCs w:val="18"/>
              </w:rPr>
            </w:pPr>
            <w:r>
              <w:rPr>
                <w:rFonts w:ascii="Times New Roman"/>
                <w:sz w:val="18"/>
              </w:rPr>
              <w:t>info.co</w:t>
            </w:r>
            <w:r>
              <w:rPr>
                <w:rFonts w:ascii="Times New Roman"/>
                <w:w w:val="100"/>
                <w:sz w:val="18"/>
              </w:rPr>
              <w:t> </w:t>
            </w:r>
            <w:r>
              <w:rPr>
                <w:rFonts w:ascii="Times New Roman"/>
                <w:sz w:val="18"/>
              </w:rPr>
              <w:t>m.cn</w:t>
            </w:r>
          </w:p>
        </w:tc>
      </w:tr>
      <w:tr>
        <w:trPr>
          <w:trHeight w:val="307"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才孵化</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新增自</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然人股</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嘉兴丹</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股权投</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10" w:right="0"/>
              <w:jc w:val="left"/>
              <w:rPr>
                <w:rFonts w:ascii="Times New Roman" w:hAnsi="Times New Roman" w:cs="Times New Roman" w:eastAsia="Times New Roman" w:hint="default"/>
                <w:sz w:val="18"/>
                <w:szCs w:val="18"/>
              </w:rPr>
            </w:pPr>
            <w:r>
              <w:rPr>
                <w:rFonts w:ascii="Times New Roman"/>
                <w:sz w:val="18"/>
              </w:rPr>
              <w:t>6,750,0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96.67%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自有资</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北京丹</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199.23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巨潮资</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22"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诚开普</w:t>
            </w: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w:t>
            </w: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5" w:right="0"/>
              <w:jc w:val="left"/>
              <w:rPr>
                <w:rFonts w:ascii="Times New Roman" w:hAnsi="Times New Roman" w:cs="Times New Roman" w:eastAsia="Times New Roman" w:hint="default"/>
                <w:sz w:val="18"/>
                <w:szCs w:val="18"/>
              </w:rPr>
            </w:pPr>
            <w:r>
              <w:rPr>
                <w:rFonts w:ascii="Times New Roman"/>
                <w:sz w:val="18"/>
              </w:rPr>
              <w:t>00.00</w:t>
            </w:r>
          </w:p>
        </w:tc>
        <w:tc>
          <w:tcPr>
            <w:tcW w:w="684"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诚资产</w:t>
            </w: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w:t>
            </w: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讯网</w:t>
            </w: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股权投</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管理有</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22" w:right="0"/>
              <w:jc w:val="left"/>
              <w:rPr>
                <w:rFonts w:ascii="Times New Roman" w:hAnsi="Times New Roman" w:cs="Times New Roman" w:eastAsia="Times New Roman" w:hint="default"/>
                <w:sz w:val="18"/>
                <w:szCs w:val="18"/>
              </w:rPr>
            </w:pPr>
            <w:r>
              <w:rPr>
                <w:rFonts w:ascii="Times New Roman"/>
                <w:spacing w:val="-3"/>
                <w:sz w:val="18"/>
              </w:rPr>
              <w:t>www.cn</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资合伙</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info.co</w:t>
            </w: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2" w:right="0"/>
              <w:jc w:val="left"/>
              <w:rPr>
                <w:rFonts w:ascii="Times New Roman" w:hAnsi="Times New Roman" w:cs="Times New Roman" w:eastAsia="Times New Roman" w:hint="default"/>
                <w:sz w:val="18"/>
                <w:szCs w:val="18"/>
              </w:rPr>
            </w:pPr>
            <w:r>
              <w:rPr>
                <w:rFonts w:ascii="Times New Roman"/>
                <w:sz w:val="18"/>
              </w:rPr>
              <w:t>m.cn</w:t>
            </w:r>
          </w:p>
        </w:tc>
      </w:tr>
      <w:tr>
        <w:trPr>
          <w:trHeight w:val="30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河南华</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r>
      <w:tr>
        <w:trPr>
          <w:trHeight w:val="2184"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河南华 夏海纳 创业投 资集团 有限公 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创业项 目天使 投资及 新三板 项目投 资</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288"/>
              <w:jc w:val="right"/>
              <w:rPr>
                <w:rFonts w:ascii="宋体" w:hAnsi="宋体" w:cs="宋体" w:eastAsia="宋体" w:hint="default"/>
                <w:sz w:val="18"/>
                <w:szCs w:val="18"/>
              </w:rPr>
            </w:pPr>
            <w:r>
              <w:rPr>
                <w:rFonts w:ascii="宋体" w:hAnsi="宋体" w:cs="宋体" w:eastAsia="宋体" w:hint="default"/>
                <w:sz w:val="18"/>
                <w:szCs w:val="18"/>
              </w:rPr>
              <w:t>其他</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18,000,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87" w:right="0"/>
              <w:jc w:val="left"/>
              <w:rPr>
                <w:rFonts w:ascii="Times New Roman" w:hAnsi="Times New Roman" w:cs="Times New Roman" w:eastAsia="Times New Roman" w:hint="default"/>
                <w:sz w:val="18"/>
                <w:szCs w:val="18"/>
              </w:rPr>
            </w:pPr>
            <w:r>
              <w:rPr>
                <w:rFonts w:ascii="Times New Roman"/>
                <w:sz w:val="18"/>
              </w:rPr>
              <w:t>3.12%</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夏海纳 创业投 资集团 有限公 司原股 东李 祺、李</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288"/>
              <w:jc w:val="right"/>
              <w:rPr>
                <w:rFonts w:ascii="宋体" w:hAnsi="宋体" w:cs="宋体" w:eastAsia="宋体" w:hint="default"/>
                <w:sz w:val="18"/>
                <w:szCs w:val="18"/>
              </w:rPr>
            </w:pPr>
            <w:r>
              <w:rPr>
                <w:rFonts w:ascii="宋体" w:hAnsi="宋体" w:cs="宋体" w:eastAsia="宋体" w:hint="default"/>
                <w:sz w:val="18"/>
                <w:szCs w:val="18"/>
              </w:rPr>
              <w:t>长期</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85"/>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83"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337"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38" w:lineRule="auto" w:before="116"/>
              <w:ind w:left="22" w:right="55"/>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r>
              <w:rPr>
                <w:rFonts w:ascii="Times New Roman" w:hAnsi="Times New Roman" w:cs="Times New Roman" w:eastAsia="Times New Roman" w:hint="default"/>
                <w:spacing w:val="-3"/>
                <w:sz w:val="18"/>
                <w:szCs w:val="18"/>
              </w:rPr>
              <w:t>www.cn</w:t>
            </w:r>
          </w:p>
          <w:p>
            <w:pPr>
              <w:pStyle w:val="TableParagraph"/>
              <w:spacing w:line="362" w:lineRule="auto" w:before="23"/>
              <w:ind w:left="22" w:right="141"/>
              <w:jc w:val="left"/>
              <w:rPr>
                <w:rFonts w:ascii="Times New Roman" w:hAnsi="Times New Roman" w:cs="Times New Roman" w:eastAsia="Times New Roman" w:hint="default"/>
                <w:sz w:val="18"/>
                <w:szCs w:val="18"/>
              </w:rPr>
            </w:pPr>
            <w:r>
              <w:rPr>
                <w:rFonts w:ascii="Times New Roman"/>
                <w:sz w:val="18"/>
              </w:rPr>
              <w:t>info.co</w:t>
            </w:r>
            <w:r>
              <w:rPr>
                <w:rFonts w:ascii="Times New Roman"/>
                <w:w w:val="100"/>
                <w:sz w:val="18"/>
              </w:rPr>
              <w:t> </w:t>
            </w:r>
            <w:r>
              <w:rPr>
                <w:rFonts w:ascii="Times New Roman"/>
                <w:sz w:val="18"/>
              </w:rPr>
              <w:t>m.cn</w:t>
            </w: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明等</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75"/>
              <w:jc w:val="right"/>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556,400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75"/>
              <w:jc w:val="right"/>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25,141,</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526.09</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6"/>
        <w:gridCol w:w="863"/>
        <w:gridCol w:w="877"/>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338"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2011</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首次公开 发行股票 并在创业 板上市</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29,902.66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7,803.07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31,412.73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重大资产</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7,095.4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7,095.4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7,095.4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存放于募</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r>
        <w:rPr/>
        <w:pict>
          <v:shape style="position:absolute;margin-left:56.459999pt;margin-top:71.999962pt;width:478.95pt;height:695.7pt;mso-position-horizontal-relative:page;mso-position-vertical-relative:page;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6"/>
                    <w:gridCol w:w="863"/>
                    <w:gridCol w:w="877"/>
                    <w:gridCol w:w="870"/>
                    <w:gridCol w:w="870"/>
                    <w:gridCol w:w="869"/>
                    <w:gridCol w:w="870"/>
                    <w:gridCol w:w="870"/>
                    <w:gridCol w:w="870"/>
                    <w:gridCol w:w="870"/>
                    <w:gridCol w:w="869"/>
                  </w:tblGrid>
                  <w:tr>
                    <w:trPr>
                      <w:trHeight w:val="674" w:hRule="exact"/>
                    </w:trPr>
                    <w:tc>
                      <w:tcPr>
                        <w:tcW w:w="866"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重组募集 配套资金</w:t>
                        </w:r>
                      </w:p>
                    </w:tc>
                    <w:tc>
                      <w:tcPr>
                        <w:tcW w:w="87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5"/>
                          <w:jc w:val="left"/>
                          <w:rPr>
                            <w:rFonts w:ascii="宋体" w:hAnsi="宋体" w:cs="宋体" w:eastAsia="宋体" w:hint="default"/>
                            <w:sz w:val="18"/>
                            <w:szCs w:val="18"/>
                          </w:rPr>
                        </w:pPr>
                        <w:r>
                          <w:rPr>
                            <w:rFonts w:ascii="宋体" w:hAnsi="宋体" w:cs="宋体" w:eastAsia="宋体" w:hint="default"/>
                            <w:sz w:val="18"/>
                            <w:szCs w:val="18"/>
                          </w:rPr>
                          <w:t>集资金专 户中</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36,998.06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14,898.47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38,508.13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1" w:right="0"/>
                          <w:jc w:val="left"/>
                          <w:rPr>
                            <w:rFonts w:ascii="Times New Roman" w:hAnsi="Times New Roman" w:cs="Times New Roman" w:eastAsia="Times New Roman" w:hint="default"/>
                            <w:sz w:val="18"/>
                            <w:szCs w:val="18"/>
                          </w:rPr>
                        </w:pPr>
                        <w:r>
                          <w:rPr>
                            <w:rFonts w:ascii="Times New Roman"/>
                            <w:sz w:val="18"/>
                          </w:rPr>
                          <w:t>0.34</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2426"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①募集资金金额及到位情况：</w:t>
                        </w:r>
                      </w:p>
                      <w:p>
                        <w:pPr>
                          <w:pStyle w:val="TableParagraph"/>
                          <w:spacing w:line="300" w:lineRule="auto" w:before="116"/>
                          <w:ind w:left="22" w:right="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a.</w:t>
                        </w:r>
                        <w:r>
                          <w:rPr>
                            <w:rFonts w:ascii="宋体" w:hAnsi="宋体" w:cs="宋体" w:eastAsia="宋体" w:hint="default"/>
                            <w:spacing w:val="-3"/>
                            <w:sz w:val="18"/>
                            <w:szCs w:val="18"/>
                          </w:rPr>
                          <w:t>中国证监会监督管理委员会《关于核准郑州新开普电子股份有限公司首次公开发行股票并在创业板上市的批复》（证监许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可</w:t>
                        </w:r>
                        <w:r>
                          <w:rPr>
                            <w:rFonts w:ascii="Times New Roman" w:hAnsi="Times New Roman" w:cs="Times New Roman" w:eastAsia="Times New Roman" w:hint="default"/>
                            <w:sz w:val="18"/>
                            <w:szCs w:val="18"/>
                          </w:rPr>
                          <w:t>[2011]1067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号）核准，向社会公众发行人民币普通股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1,120 </w:t>
                        </w:r>
                        <w:r>
                          <w:rPr>
                            <w:rFonts w:ascii="宋体" w:hAnsi="宋体" w:cs="宋体" w:eastAsia="宋体" w:hint="default"/>
                            <w:spacing w:val="-3"/>
                            <w:sz w:val="18"/>
                            <w:szCs w:val="18"/>
                          </w:rPr>
                          <w:t>万股，股票面值为人民币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pacing w:val="-3"/>
                            <w:sz w:val="18"/>
                            <w:szCs w:val="18"/>
                          </w:rPr>
                          <w:t>元，发行价格每股人民币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30.00</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元，公司募集资金总额为人民币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万元，扣除各项发行费用合计人民币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3,697.34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万元，实际募集资金净额为人民币</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29,902.66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万元，其中其他与主营业务相关的营运资金（超募资金）人民币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13,877.56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万元。利安达会计师事务所有限责任</w:t>
                        </w:r>
                      </w:p>
                      <w:p>
                        <w:pPr>
                          <w:pStyle w:val="TableParagraph"/>
                          <w:spacing w:line="312" w:lineRule="auto" w:before="63"/>
                          <w:ind w:left="22" w:right="23"/>
                          <w:jc w:val="both"/>
                          <w:rPr>
                            <w:rFonts w:ascii="宋体" w:hAnsi="宋体" w:cs="宋体" w:eastAsia="宋体" w:hint="default"/>
                            <w:sz w:val="18"/>
                            <w:szCs w:val="18"/>
                          </w:rPr>
                        </w:pPr>
                        <w:r>
                          <w:rPr>
                            <w:rFonts w:ascii="宋体" w:hAnsi="宋体" w:cs="宋体" w:eastAsia="宋体" w:hint="default"/>
                            <w:spacing w:val="-1"/>
                            <w:sz w:val="18"/>
                            <w:szCs w:val="18"/>
                          </w:rPr>
                          <w:t>公司已对公司首次公开发行股票的资金到位情况进行了审验，并出具利安达验字</w:t>
                        </w:r>
                        <w:r>
                          <w:rPr>
                            <w:rFonts w:ascii="Times New Roman" w:hAnsi="Times New Roman" w:cs="Times New Roman" w:eastAsia="Times New Roman" w:hint="default"/>
                            <w:spacing w:val="-1"/>
                            <w:sz w:val="18"/>
                            <w:szCs w:val="18"/>
                          </w:rPr>
                          <w:t>[2011]</w:t>
                        </w:r>
                        <w:r>
                          <w:rPr>
                            <w:rFonts w:ascii="宋体" w:hAnsi="宋体" w:cs="宋体" w:eastAsia="宋体" w:hint="default"/>
                            <w:spacing w:val="-1"/>
                            <w:sz w:val="18"/>
                            <w:szCs w:val="18"/>
                          </w:rPr>
                          <w:t>第</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1067</w:t>
                        </w:r>
                        <w:r>
                          <w:rPr>
                            <w:rFonts w:ascii="Times New Roman" w:hAnsi="Times New Roman" w:cs="Times New Roman" w:eastAsia="Times New Roman" w:hint="default"/>
                            <w:spacing w:val="11"/>
                            <w:sz w:val="18"/>
                            <w:szCs w:val="18"/>
                          </w:rPr>
                          <w:t> </w:t>
                        </w:r>
                        <w:r>
                          <w:rPr>
                            <w:rFonts w:ascii="宋体" w:hAnsi="宋体" w:cs="宋体" w:eastAsia="宋体" w:hint="default"/>
                            <w:spacing w:val="-8"/>
                            <w:sz w:val="18"/>
                            <w:szCs w:val="18"/>
                          </w:rPr>
                          <w:t>号《验资报告》。根据《深</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圳证券交易所创业板股票上市规则》、《深圳证券交易所创业板上市公司规范运作指引》等相关法律法规，公司与保荐机构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南京证券股份有限公司分别与中国银行股份有限公司郑州高新技术开发区支行、交通银行股份有限公司郑州高新技术开发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区支行两家银行签订《募集资金三方监管协议》，对公司募集资金进行监管，并开设了募集资金专用账户。</w:t>
                        </w:r>
                      </w:p>
                      <w:p>
                        <w:pPr>
                          <w:pStyle w:val="TableParagraph"/>
                          <w:spacing w:line="240" w:lineRule="auto" w:before="6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经中国证券监督管理委员会《关于核准新开普电子股份有限公司向刘永春等发行股份购买资产并募集配套资金的批复》</w:t>
                        </w:r>
                      </w:p>
                      <w:p>
                        <w:pPr>
                          <w:pStyle w:val="TableParagraph"/>
                          <w:spacing w:line="300" w:lineRule="auto" w:before="63"/>
                          <w:ind w:left="22" w:right="36"/>
                          <w:jc w:val="left"/>
                          <w:rPr>
                            <w:rFonts w:ascii="宋体" w:hAnsi="宋体" w:cs="宋体" w:eastAsia="宋体" w:hint="default"/>
                            <w:sz w:val="18"/>
                            <w:szCs w:val="18"/>
                          </w:rPr>
                        </w:pP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[2015]1417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号）核准，本公司非公开向郑州佳辰、罗会军、柳楠、吴凤辉发行人民币普通股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5,645,729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股，每 股面值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元，每股发行价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元，募集资金总额为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79,999,979.93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元，扣除支付的各项发行费用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9,045,931.19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元后的实际</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募集资金净额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70,954,048.74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日全部到位，该募集资金已经立信会计师事务所（特殊普通合伙）验</w:t>
                        </w:r>
                      </w:p>
                      <w:p>
                        <w:pPr>
                          <w:pStyle w:val="TableParagraph"/>
                          <w:spacing w:line="309" w:lineRule="auto" w:before="63"/>
                          <w:ind w:left="22" w:right="20"/>
                          <w:jc w:val="both"/>
                          <w:rPr>
                            <w:rFonts w:ascii="宋体" w:hAnsi="宋体" w:cs="宋体" w:eastAsia="宋体" w:hint="default"/>
                            <w:sz w:val="18"/>
                            <w:szCs w:val="18"/>
                          </w:rPr>
                        </w:pPr>
                        <w:r>
                          <w:rPr>
                            <w:rFonts w:ascii="宋体" w:hAnsi="宋体" w:cs="宋体" w:eastAsia="宋体" w:hint="default"/>
                            <w:spacing w:val="-1"/>
                            <w:sz w:val="18"/>
                            <w:szCs w:val="18"/>
                          </w:rPr>
                          <w:t>证，并出具了信会师报字</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第</w:t>
                        </w:r>
                        <w:r>
                          <w:rPr>
                            <w:rFonts w:ascii="宋体" w:hAnsi="宋体" w:cs="宋体" w:eastAsia="宋体" w:hint="default"/>
                            <w:spacing w:val="-33"/>
                            <w:sz w:val="18"/>
                            <w:szCs w:val="18"/>
                          </w:rPr>
                          <w:t> </w:t>
                        </w:r>
                        <w:r>
                          <w:rPr>
                            <w:rFonts w:ascii="Times New Roman" w:hAnsi="Times New Roman" w:cs="Times New Roman" w:eastAsia="Times New Roman" w:hint="default"/>
                            <w:spacing w:val="-2"/>
                            <w:sz w:val="18"/>
                            <w:szCs w:val="18"/>
                          </w:rPr>
                          <w:t>711441</w:t>
                        </w:r>
                        <w:r>
                          <w:rPr>
                            <w:rFonts w:ascii="Times New Roman" w:hAnsi="Times New Roman" w:cs="Times New Roman" w:eastAsia="Times New Roman" w:hint="default"/>
                            <w:spacing w:val="12"/>
                            <w:sz w:val="18"/>
                            <w:szCs w:val="18"/>
                          </w:rPr>
                          <w:t> </w:t>
                        </w:r>
                        <w:r>
                          <w:rPr>
                            <w:rFonts w:ascii="宋体" w:hAnsi="宋体" w:cs="宋体" w:eastAsia="宋体" w:hint="default"/>
                            <w:spacing w:val="-7"/>
                            <w:sz w:val="18"/>
                            <w:szCs w:val="18"/>
                          </w:rPr>
                          <w:t>号验资报告。根据《深圳证券交易所创业板股票上市规则》、《深圳证券交易所创</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业板上市公司规范运作指引》等相关法律法规，公司与保荐机构南京证券股份有限公司与中国银行股份有限公司郑州高新</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技术开发区支行签订《募集资金三方监管协议》，对公司募集资金进行监管，并开设了募集资金专用账户。</w:t>
                        </w:r>
                      </w:p>
                      <w:p>
                        <w:pPr>
                          <w:pStyle w:val="TableParagraph"/>
                          <w:spacing w:line="240" w:lineRule="auto" w:before="62"/>
                          <w:ind w:left="22" w:right="0"/>
                          <w:jc w:val="both"/>
                          <w:rPr>
                            <w:rFonts w:ascii="宋体" w:hAnsi="宋体" w:cs="宋体" w:eastAsia="宋体" w:hint="default"/>
                            <w:sz w:val="18"/>
                            <w:szCs w:val="18"/>
                          </w:rPr>
                        </w:pPr>
                        <w:r>
                          <w:rPr>
                            <w:rFonts w:ascii="宋体" w:hAnsi="宋体" w:cs="宋体" w:eastAsia="宋体" w:hint="default"/>
                            <w:sz w:val="18"/>
                            <w:szCs w:val="18"/>
                          </w:rPr>
                          <w:t>②募集资金的实际使用情况：公司募集资金总额为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36,998.06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万元，报告期投入募集资金总额为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14,873.63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万元，已累计投</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入募集资金总额为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38,483.29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日，募投项目资金使用情况：</w:t>
                        </w:r>
                      </w:p>
                      <w:p>
                        <w:pPr>
                          <w:pStyle w:val="TableParagraph"/>
                          <w:spacing w:line="240" w:lineRule="auto" w:before="102"/>
                          <w:ind w:left="22" w:right="0"/>
                          <w:jc w:val="both"/>
                          <w:rPr>
                            <w:rFonts w:ascii="宋体" w:hAnsi="宋体" w:cs="宋体" w:eastAsia="宋体" w:hint="default"/>
                            <w:sz w:val="18"/>
                            <w:szCs w:val="18"/>
                          </w:rPr>
                        </w:pPr>
                        <w:r>
                          <w:rPr>
                            <w:rFonts w:ascii="宋体" w:hAnsi="宋体" w:cs="宋体" w:eastAsia="宋体" w:hint="default"/>
                            <w:sz w:val="18"/>
                            <w:szCs w:val="18"/>
                          </w:rPr>
                          <w:t>ⅰ</w:t>
                        </w:r>
                        <w:r>
                          <w:rPr>
                            <w:rFonts w:ascii="Times New Roman" w:hAnsi="Times New Roman" w:cs="Times New Roman" w:eastAsia="Times New Roman" w:hint="default"/>
                            <w:sz w:val="18"/>
                            <w:szCs w:val="18"/>
                          </w:rPr>
                          <w:t>.</w:t>
                        </w:r>
                        <w:r>
                          <w:rPr>
                            <w:rFonts w:ascii="宋体" w:hAnsi="宋体" w:cs="宋体" w:eastAsia="宋体" w:hint="default"/>
                            <w:sz w:val="18"/>
                            <w:szCs w:val="18"/>
                          </w:rPr>
                          <w:t>智能一卡通整体解决方案技术升级及产业化项目支出为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10,360.89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102"/>
                          <w:ind w:left="22" w:right="0"/>
                          <w:jc w:val="both"/>
                          <w:rPr>
                            <w:rFonts w:ascii="宋体" w:hAnsi="宋体" w:cs="宋体" w:eastAsia="宋体" w:hint="default"/>
                            <w:sz w:val="18"/>
                            <w:szCs w:val="18"/>
                          </w:rPr>
                        </w:pPr>
                        <w:r>
                          <w:rPr>
                            <w:rFonts w:ascii="宋体" w:hAnsi="宋体" w:cs="宋体" w:eastAsia="宋体" w:hint="default"/>
                            <w:sz w:val="18"/>
                            <w:szCs w:val="18"/>
                          </w:rPr>
                          <w:t>ⅱ</w:t>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研发中心升级扩建项目支出为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3,885.17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338" w:lineRule="auto" w:before="103"/>
                          <w:ind w:left="22" w:right="5243"/>
                          <w:jc w:val="left"/>
                          <w:rPr>
                            <w:rFonts w:ascii="宋体" w:hAnsi="宋体" w:cs="宋体" w:eastAsia="宋体" w:hint="default"/>
                            <w:sz w:val="18"/>
                            <w:szCs w:val="18"/>
                          </w:rPr>
                        </w:pPr>
                        <w:r>
                          <w:rPr>
                            <w:rFonts w:ascii="宋体" w:hAnsi="宋体" w:cs="宋体" w:eastAsia="宋体" w:hint="default"/>
                            <w:sz w:val="18"/>
                            <w:szCs w:val="18"/>
                          </w:rPr>
                          <w:t>ⅲ</w:t>
                        </w:r>
                        <w:r>
                          <w:rPr>
                            <w:rFonts w:ascii="Times New Roman" w:hAnsi="Times New Roman" w:cs="Times New Roman" w:eastAsia="Times New Roman" w:hint="default"/>
                            <w:sz w:val="18"/>
                            <w:szCs w:val="18"/>
                          </w:rPr>
                          <w:t>.</w:t>
                        </w:r>
                        <w:r>
                          <w:rPr>
                            <w:rFonts w:ascii="宋体" w:hAnsi="宋体" w:cs="宋体" w:eastAsia="宋体" w:hint="default"/>
                            <w:sz w:val="18"/>
                            <w:szCs w:val="18"/>
                          </w:rPr>
                          <w:t>营销与客服网络扩建项目支出为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2,322.23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 ⅳ</w:t>
                        </w:r>
                        <w:r>
                          <w:rPr>
                            <w:rFonts w:ascii="Times New Roman" w:hAnsi="Times New Roman" w:cs="Times New Roman" w:eastAsia="Times New Roman" w:hint="default"/>
                            <w:sz w:val="18"/>
                            <w:szCs w:val="18"/>
                          </w:rPr>
                          <w:t>.</w:t>
                        </w:r>
                        <w:r>
                          <w:rPr>
                            <w:rFonts w:ascii="宋体" w:hAnsi="宋体" w:cs="宋体" w:eastAsia="宋体" w:hint="default"/>
                            <w:sz w:val="18"/>
                            <w:szCs w:val="18"/>
                          </w:rPr>
                          <w:t>收购迪科远望</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股权项目支出为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7,095.40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ⅴ</w:t>
                        </w:r>
                        <w:r>
                          <w:rPr>
                            <w:rFonts w:ascii="Times New Roman" w:hAnsi="Times New Roman" w:cs="Times New Roman" w:eastAsia="Times New Roman" w:hint="default"/>
                            <w:sz w:val="18"/>
                            <w:szCs w:val="18"/>
                          </w:rPr>
                          <w:t>.</w:t>
                        </w:r>
                        <w:r>
                          <w:rPr>
                            <w:rFonts w:ascii="宋体" w:hAnsi="宋体" w:cs="宋体" w:eastAsia="宋体" w:hint="default"/>
                            <w:sz w:val="18"/>
                            <w:szCs w:val="18"/>
                          </w:rPr>
                          <w:t>鉴于三个募集资金投资项目建设已达到预期目的，经公司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年年度股东大会审议通过，公司对上述三个募集资金投</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资项目进行结项，并将账户剩余的募集资金共计约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926.24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万元（含节余资金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117.74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万元、应付未付金额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808.50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万元）永</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久性补充流动资金。</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年第一季度使用募集资金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万元，剩余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849.67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万元已转入基本户用于永久补充流动资金。</w:t>
                        </w:r>
                      </w:p>
                      <w:p>
                        <w:pPr>
                          <w:pStyle w:val="TableParagraph"/>
                          <w:spacing w:line="240" w:lineRule="auto" w:before="10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日，超募资金使用情况：</w:t>
                        </w:r>
                      </w:p>
                      <w:p>
                        <w:pPr>
                          <w:pStyle w:val="TableParagraph"/>
                          <w:spacing w:line="240" w:lineRule="auto" w:before="101"/>
                          <w:ind w:left="22" w:right="0"/>
                          <w:jc w:val="both"/>
                          <w:rPr>
                            <w:rFonts w:ascii="宋体" w:hAnsi="宋体" w:cs="宋体" w:eastAsia="宋体" w:hint="default"/>
                            <w:sz w:val="18"/>
                            <w:szCs w:val="18"/>
                          </w:rPr>
                        </w:pPr>
                        <w:r>
                          <w:rPr>
                            <w:rFonts w:ascii="宋体" w:hAnsi="宋体" w:cs="宋体" w:eastAsia="宋体" w:hint="default"/>
                            <w:sz w:val="18"/>
                            <w:szCs w:val="18"/>
                          </w:rPr>
                          <w:t>ⅰ</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日，公司第二届董事会第三次会议及第二届监事会第二次会议审议通过了《关于使用部分超募资金提前</w:t>
                        </w:r>
                      </w:p>
                      <w:p>
                        <w:pPr>
                          <w:pStyle w:val="TableParagraph"/>
                          <w:spacing w:line="312" w:lineRule="auto" w:before="63"/>
                          <w:ind w:left="22" w:right="20"/>
                          <w:jc w:val="left"/>
                          <w:rPr>
                            <w:rFonts w:ascii="宋体" w:hAnsi="宋体" w:cs="宋体" w:eastAsia="宋体" w:hint="default"/>
                            <w:sz w:val="18"/>
                            <w:szCs w:val="18"/>
                          </w:rPr>
                        </w:pPr>
                        <w:r>
                          <w:rPr>
                            <w:rFonts w:ascii="宋体" w:hAnsi="宋体" w:cs="宋体" w:eastAsia="宋体" w:hint="default"/>
                            <w:spacing w:val="-6"/>
                            <w:sz w:val="18"/>
                            <w:szCs w:val="18"/>
                          </w:rPr>
                          <w:t>偿还银行贷款暨超募资金使用计划的议案》，决定使用</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11"/>
                            <w:sz w:val="18"/>
                            <w:szCs w:val="18"/>
                          </w:rPr>
                          <w:t> </w:t>
                        </w:r>
                        <w:r>
                          <w:rPr>
                            <w:rFonts w:ascii="宋体" w:hAnsi="宋体" w:cs="宋体" w:eastAsia="宋体" w:hint="default"/>
                            <w:spacing w:val="-2"/>
                            <w:sz w:val="18"/>
                            <w:szCs w:val="18"/>
                          </w:rPr>
                          <w:t>万元超募资金偿还银行贷款；剩余超募资金公司将根据自身发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展规划及实际生产经营需求，按照中国证券监督管理委员会和深圳证券交易所的有关规定，围绕主营业务合理规划资金用</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途，谨慎、认真地制订使用计划；公司在实际使用超募资金前，将履行相应的董事会、股东大会等审议程序，并及时披露</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前述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万元银行贷款已全部偿还完毕；</w:t>
                        </w:r>
                      </w:p>
                      <w:p>
                        <w:pPr>
                          <w:pStyle w:val="TableParagraph"/>
                          <w:spacing w:line="240" w:lineRule="auto" w:before="41"/>
                          <w:ind w:left="22" w:right="0"/>
                          <w:jc w:val="both"/>
                          <w:rPr>
                            <w:rFonts w:ascii="宋体" w:hAnsi="宋体" w:cs="宋体" w:eastAsia="宋体" w:hint="default"/>
                            <w:sz w:val="18"/>
                            <w:szCs w:val="18"/>
                          </w:rPr>
                        </w:pPr>
                        <w:r>
                          <w:rPr>
                            <w:rFonts w:ascii="宋体" w:hAnsi="宋体" w:cs="宋体" w:eastAsia="宋体" w:hint="default"/>
                            <w:sz w:val="18"/>
                            <w:szCs w:val="18"/>
                          </w:rPr>
                          <w:t>ⅱ</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日，公司第二届董事会第三次会议及第二届监事会第二次会议审议通过了《关于使用闲置募集资金暂时</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补充流动资金的议案</w:t>
                        </w:r>
                        <w:r>
                          <w:rPr>
                            <w:rFonts w:ascii="宋体" w:hAnsi="宋体" w:cs="宋体" w:eastAsia="宋体" w:hint="default"/>
                            <w:spacing w:val="-90"/>
                            <w:sz w:val="18"/>
                            <w:szCs w:val="18"/>
                          </w:rPr>
                          <w:t>》</w:t>
                        </w:r>
                        <w:r>
                          <w:rPr>
                            <w:rFonts w:ascii="宋体" w:hAnsi="宋体" w:cs="宋体" w:eastAsia="宋体" w:hint="default"/>
                            <w:spacing w:val="-39"/>
                            <w:sz w:val="18"/>
                            <w:szCs w:val="18"/>
                          </w:rPr>
                          <w:t>，</w:t>
                        </w:r>
                        <w:r>
                          <w:rPr>
                            <w:rFonts w:ascii="宋体" w:hAnsi="宋体" w:cs="宋体" w:eastAsia="宋体" w:hint="default"/>
                            <w:sz w:val="18"/>
                            <w:szCs w:val="18"/>
                          </w:rPr>
                          <w:t>同意公司使用部分闲置募集资金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万元用于暂时性补充流动资金</w:t>
                        </w:r>
                        <w:r>
                          <w:rPr>
                            <w:rFonts w:ascii="宋体" w:hAnsi="宋体" w:cs="宋体" w:eastAsia="宋体" w:hint="default"/>
                            <w:spacing w:val="-39"/>
                            <w:sz w:val="18"/>
                            <w:szCs w:val="18"/>
                          </w:rPr>
                          <w:t>，</w:t>
                        </w:r>
                        <w:r>
                          <w:rPr>
                            <w:rFonts w:ascii="宋体" w:hAnsi="宋体" w:cs="宋体" w:eastAsia="宋体" w:hint="default"/>
                            <w:sz w:val="18"/>
                            <w:szCs w:val="18"/>
                          </w:rPr>
                          <w:t>补充流动资金使用期限自董</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事会批准之日起期限不超过</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个月，到期前，公司及时、足额将上述资金归还至募集资金专户。</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日，公司已</w:t>
                        </w:r>
                      </w:p>
                      <w:p>
                        <w:pPr>
                          <w:pStyle w:val="TableParagraph"/>
                          <w:spacing w:line="302" w:lineRule="auto" w:before="63"/>
                          <w:ind w:left="22" w:right="36"/>
                          <w:jc w:val="left"/>
                          <w:rPr>
                            <w:rFonts w:ascii="宋体" w:hAnsi="宋体" w:cs="宋体" w:eastAsia="宋体" w:hint="default"/>
                            <w:sz w:val="18"/>
                            <w:szCs w:val="18"/>
                          </w:rPr>
                        </w:pPr>
                        <w:r>
                          <w:rPr>
                            <w:rFonts w:ascii="宋体" w:hAnsi="宋体" w:cs="宋体" w:eastAsia="宋体" w:hint="default"/>
                            <w:sz w:val="18"/>
                            <w:szCs w:val="18"/>
                          </w:rPr>
                          <w:t>将合计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万元一次性归还至公司募集资金专户，并于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日予以公告，同时将上述募集资金的归还情况通 知了保荐机构及保荐代表人；</w:t>
                        </w:r>
                      </w:p>
                      <w:p>
                        <w:pPr>
                          <w:pStyle w:val="TableParagraph"/>
                          <w:spacing w:line="240" w:lineRule="auto" w:before="69"/>
                          <w:ind w:left="22" w:right="0"/>
                          <w:jc w:val="both"/>
                          <w:rPr>
                            <w:rFonts w:ascii="宋体" w:hAnsi="宋体" w:cs="宋体" w:eastAsia="宋体" w:hint="default"/>
                            <w:sz w:val="18"/>
                            <w:szCs w:val="18"/>
                          </w:rPr>
                        </w:pPr>
                        <w:r>
                          <w:rPr>
                            <w:rFonts w:ascii="宋体" w:hAnsi="宋体" w:cs="宋体" w:eastAsia="宋体" w:hint="default"/>
                            <w:sz w:val="18"/>
                            <w:szCs w:val="18"/>
                          </w:rPr>
                          <w:t>ⅲ</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日，公司第二届董事会第六次会议及第二届监事会第四次会议审议通过了《关于继续使用部分闲置募集</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spacing w:before="44"/>
        <w:ind w:left="0" w:right="163"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22"/>
          <w:szCs w:val="22"/>
        </w:rPr>
      </w:pPr>
    </w:p>
    <w:p>
      <w:pPr>
        <w:spacing w:before="44"/>
        <w:ind w:left="181" w:right="0" w:firstLine="0"/>
        <w:jc w:val="both"/>
        <w:rPr>
          <w:rFonts w:ascii="宋体" w:hAnsi="宋体" w:cs="宋体" w:eastAsia="宋体" w:hint="default"/>
          <w:sz w:val="18"/>
          <w:szCs w:val="18"/>
        </w:rPr>
      </w:pPr>
      <w:r>
        <w:rPr/>
        <w:pict>
          <v:group style="position:absolute;margin-left:56.219978pt;margin-top:.951959pt;width:479.2pt;height:407.5pt;mso-position-horizontal-relative:page;mso-position-vertical-relative:paragraph;z-index:-1168816" coordorigin="1124,19" coordsize="9584,8150">
            <v:group style="position:absolute;left:1129;top:29;width:9574;height:2" coordorigin="1129,29" coordsize="9574,2">
              <v:shape style="position:absolute;left:1129;top:29;width:9574;height:2" coordorigin="1129,29" coordsize="9574,0" path="m1129,29l10703,29e" filled="false" stroked="true" strokeweight=".48004pt" strokecolor="#000000">
                <v:path arrowok="t"/>
              </v:shape>
            </v:group>
            <v:group style="position:absolute;left:1134;top:24;width:2;height:8140" coordorigin="1134,24" coordsize="2,8140">
              <v:shape style="position:absolute;left:1134;top:24;width:2;height:8140" coordorigin="1134,24" coordsize="0,8140" path="m1134,24l1134,8163e" filled="false" stroked="true" strokeweight=".48001pt" strokecolor="#000000">
                <v:path arrowok="t"/>
              </v:shape>
            </v:group>
            <v:group style="position:absolute;left:1129;top:8159;width:9564;height:2" coordorigin="1129,8159" coordsize="9564,2">
              <v:shape style="position:absolute;left:1129;top:8159;width:9564;height:2" coordorigin="1129,8159" coordsize="9564,0" path="m1129,8159l10693,8159e" filled="false" stroked="true" strokeweight=".47998pt" strokecolor="#000000">
                <v:path arrowok="t"/>
              </v:shape>
            </v:group>
            <v:group style="position:absolute;left:10698;top:24;width:2;height:8140" coordorigin="10698,24" coordsize="2,8140">
              <v:shape style="position:absolute;left:10698;top:24;width:2;height:8140" coordorigin="10698,24" coordsize="0,8140" path="m10698,24l10698,8163e" filled="false" stroked="true" strokeweight=".47998pt" strokecolor="#000000">
                <v:path arrowok="t"/>
              </v:shape>
            </v:group>
            <w10:wrap type="none"/>
          </v:group>
        </w:pict>
      </w:r>
      <w:r>
        <w:rPr>
          <w:rFonts w:ascii="宋体" w:hAnsi="宋体" w:cs="宋体" w:eastAsia="宋体" w:hint="default"/>
          <w:sz w:val="18"/>
          <w:szCs w:val="18"/>
        </w:rPr>
        <w:t>资金暂时补充流动资金的议案</w:t>
      </w:r>
      <w:r>
        <w:rPr>
          <w:rFonts w:ascii="宋体" w:hAnsi="宋体" w:cs="宋体" w:eastAsia="宋体" w:hint="default"/>
          <w:spacing w:val="-90"/>
          <w:sz w:val="18"/>
          <w:szCs w:val="18"/>
        </w:rPr>
        <w:t>》</w:t>
      </w:r>
      <w:r>
        <w:rPr>
          <w:rFonts w:ascii="宋体" w:hAnsi="宋体" w:cs="宋体" w:eastAsia="宋体" w:hint="default"/>
          <w:spacing w:val="-39"/>
          <w:sz w:val="18"/>
          <w:szCs w:val="18"/>
        </w:rPr>
        <w:t>，</w:t>
      </w:r>
      <w:r>
        <w:rPr>
          <w:rFonts w:ascii="宋体" w:hAnsi="宋体" w:cs="宋体" w:eastAsia="宋体" w:hint="default"/>
          <w:sz w:val="18"/>
          <w:szCs w:val="18"/>
        </w:rPr>
        <w:t>同意公司继续使用部分闲置募集资金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万元暂时补充流动资金计划</w:t>
      </w:r>
      <w:r>
        <w:rPr>
          <w:rFonts w:ascii="宋体" w:hAnsi="宋体" w:cs="宋体" w:eastAsia="宋体" w:hint="default"/>
          <w:spacing w:val="-39"/>
          <w:sz w:val="18"/>
          <w:szCs w:val="18"/>
        </w:rPr>
        <w:t>，</w:t>
      </w:r>
      <w:r>
        <w:rPr>
          <w:rFonts w:ascii="宋体" w:hAnsi="宋体" w:cs="宋体" w:eastAsia="宋体" w:hint="default"/>
          <w:sz w:val="18"/>
          <w:szCs w:val="18"/>
        </w:rPr>
        <w:t>使用计划自公告</w:t>
      </w:r>
    </w:p>
    <w:p>
      <w:pPr>
        <w:spacing w:before="63"/>
        <w:ind w:left="181" w:right="0" w:firstLine="0"/>
        <w:jc w:val="both"/>
        <w:rPr>
          <w:rFonts w:ascii="宋体" w:hAnsi="宋体" w:cs="宋体" w:eastAsia="宋体" w:hint="default"/>
          <w:sz w:val="18"/>
          <w:szCs w:val="18"/>
        </w:rPr>
      </w:pPr>
      <w:r>
        <w:rPr>
          <w:rFonts w:ascii="宋体" w:hAnsi="宋体" w:cs="宋体" w:eastAsia="宋体" w:hint="default"/>
          <w:sz w:val="18"/>
          <w:szCs w:val="18"/>
        </w:rPr>
        <w:t>之日起开始实施，使用期限不超过六个月。</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日，公司将合计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万元人民币一次性归还至公司募集资金</w:t>
      </w:r>
    </w:p>
    <w:p>
      <w:pPr>
        <w:spacing w:before="64"/>
        <w:ind w:left="181" w:right="0" w:firstLine="0"/>
        <w:jc w:val="both"/>
        <w:rPr>
          <w:rFonts w:ascii="宋体" w:hAnsi="宋体" w:cs="宋体" w:eastAsia="宋体" w:hint="default"/>
          <w:sz w:val="18"/>
          <w:szCs w:val="18"/>
        </w:rPr>
      </w:pPr>
      <w:r>
        <w:rPr>
          <w:rFonts w:ascii="宋体" w:hAnsi="宋体" w:cs="宋体" w:eastAsia="宋体" w:hint="default"/>
          <w:sz w:val="18"/>
          <w:szCs w:val="18"/>
        </w:rPr>
        <w:t>专户，并于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日予以公告，同时将上述募集资金的归还情况通知了保荐机构及保荐代表人；</w:t>
      </w:r>
    </w:p>
    <w:p>
      <w:pPr>
        <w:spacing w:before="102"/>
        <w:ind w:left="181" w:right="0" w:firstLine="0"/>
        <w:jc w:val="both"/>
        <w:rPr>
          <w:rFonts w:ascii="宋体" w:hAnsi="宋体" w:cs="宋体" w:eastAsia="宋体" w:hint="default"/>
          <w:sz w:val="18"/>
          <w:szCs w:val="18"/>
        </w:rPr>
      </w:pPr>
      <w:r>
        <w:rPr>
          <w:rFonts w:ascii="宋体" w:hAnsi="宋体" w:cs="宋体" w:eastAsia="宋体" w:hint="default"/>
          <w:sz w:val="18"/>
          <w:szCs w:val="18"/>
        </w:rPr>
        <w:t>ⅳ</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日，公司第二届董事会第十二次会议及第二届监事会第七次会议审议通过了《关于使用部分超募资金永</w:t>
      </w:r>
    </w:p>
    <w:p>
      <w:pPr>
        <w:spacing w:line="309" w:lineRule="auto" w:before="63"/>
        <w:ind w:left="181" w:right="252" w:firstLine="0"/>
        <w:jc w:val="both"/>
        <w:rPr>
          <w:rFonts w:ascii="宋体" w:hAnsi="宋体" w:cs="宋体" w:eastAsia="宋体" w:hint="default"/>
          <w:sz w:val="18"/>
          <w:szCs w:val="18"/>
        </w:rPr>
      </w:pPr>
      <w:r>
        <w:rPr>
          <w:rFonts w:ascii="宋体" w:hAnsi="宋体" w:cs="宋体" w:eastAsia="宋体" w:hint="default"/>
          <w:spacing w:val="-6"/>
          <w:sz w:val="18"/>
          <w:szCs w:val="18"/>
        </w:rPr>
        <w:t>久补充流动资金的议案》，同意公司使用部分超募资金</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12"/>
          <w:sz w:val="18"/>
          <w:szCs w:val="18"/>
        </w:rPr>
        <w:t> </w:t>
      </w:r>
      <w:r>
        <w:rPr>
          <w:rFonts w:ascii="宋体" w:hAnsi="宋体" w:cs="宋体" w:eastAsia="宋体" w:hint="default"/>
          <w:spacing w:val="-2"/>
          <w:sz w:val="18"/>
          <w:szCs w:val="18"/>
        </w:rPr>
        <w:t>万元用于永久补充流动资金，剩余超募资金公司将根据自身发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展规划及实际生产经营需求，按照中国证券监督管理委员会和深圳证券交易所的有关规定，围绕主营业务合理规划资金用</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途，谨慎、认真地制订使用计划。</w:t>
      </w:r>
    </w:p>
    <w:p>
      <w:pPr>
        <w:spacing w:before="62"/>
        <w:ind w:left="181" w:right="0" w:firstLine="0"/>
        <w:jc w:val="both"/>
        <w:rPr>
          <w:rFonts w:ascii="宋体" w:hAnsi="宋体" w:cs="宋体" w:eastAsia="宋体" w:hint="default"/>
          <w:sz w:val="18"/>
          <w:szCs w:val="18"/>
        </w:rPr>
      </w:pPr>
      <w:r>
        <w:rPr>
          <w:rFonts w:ascii="宋体" w:hAnsi="宋体" w:cs="宋体" w:eastAsia="宋体" w:hint="default"/>
          <w:sz w:val="18"/>
          <w:szCs w:val="18"/>
        </w:rPr>
        <w:t>ⅴ</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日，公司第二届董事会第十七次会议及第二届监事会第十二次会议审议通过了《关于继续使用部分闲置</w:t>
      </w:r>
    </w:p>
    <w:p>
      <w:pPr>
        <w:spacing w:before="63"/>
        <w:ind w:left="181" w:right="0" w:firstLine="0"/>
        <w:jc w:val="both"/>
        <w:rPr>
          <w:rFonts w:ascii="宋体" w:hAnsi="宋体" w:cs="宋体" w:eastAsia="宋体" w:hint="default"/>
          <w:sz w:val="18"/>
          <w:szCs w:val="18"/>
        </w:rPr>
      </w:pPr>
      <w:r>
        <w:rPr>
          <w:rFonts w:ascii="宋体" w:hAnsi="宋体" w:cs="宋体" w:eastAsia="宋体" w:hint="default"/>
          <w:sz w:val="18"/>
          <w:szCs w:val="18"/>
        </w:rPr>
        <w:t>募集资金暂时补充流动资金的议案</w:t>
      </w:r>
      <w:r>
        <w:rPr>
          <w:rFonts w:ascii="宋体" w:hAnsi="宋体" w:cs="宋体" w:eastAsia="宋体" w:hint="default"/>
          <w:spacing w:val="-90"/>
          <w:sz w:val="18"/>
          <w:szCs w:val="18"/>
        </w:rPr>
        <w:t>》</w:t>
      </w:r>
      <w:r>
        <w:rPr>
          <w:rFonts w:ascii="宋体" w:hAnsi="宋体" w:cs="宋体" w:eastAsia="宋体" w:hint="default"/>
          <w:spacing w:val="-39"/>
          <w:sz w:val="18"/>
          <w:szCs w:val="18"/>
        </w:rPr>
        <w:t>，</w:t>
      </w:r>
      <w:r>
        <w:rPr>
          <w:rFonts w:ascii="宋体" w:hAnsi="宋体" w:cs="宋体" w:eastAsia="宋体" w:hint="default"/>
          <w:sz w:val="18"/>
          <w:szCs w:val="18"/>
        </w:rPr>
        <w:t>同意公司继续使用部分闲置募集资金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万元暂时性补充流动资金</w:t>
      </w:r>
      <w:r>
        <w:rPr>
          <w:rFonts w:ascii="宋体" w:hAnsi="宋体" w:cs="宋体" w:eastAsia="宋体" w:hint="default"/>
          <w:spacing w:val="-39"/>
          <w:sz w:val="18"/>
          <w:szCs w:val="18"/>
        </w:rPr>
        <w:t>，</w:t>
      </w:r>
      <w:r>
        <w:rPr>
          <w:rFonts w:ascii="宋体" w:hAnsi="宋体" w:cs="宋体" w:eastAsia="宋体" w:hint="default"/>
          <w:sz w:val="18"/>
          <w:szCs w:val="18"/>
        </w:rPr>
        <w:t>使用期限为自</w:t>
      </w:r>
    </w:p>
    <w:p>
      <w:pPr>
        <w:spacing w:before="63"/>
        <w:ind w:left="181" w:right="0" w:firstLine="0"/>
        <w:jc w:val="both"/>
        <w:rPr>
          <w:rFonts w:ascii="宋体" w:hAnsi="宋体" w:cs="宋体" w:eastAsia="宋体" w:hint="default"/>
          <w:sz w:val="18"/>
          <w:szCs w:val="18"/>
        </w:rPr>
      </w:pPr>
      <w:r>
        <w:rPr>
          <w:rFonts w:ascii="宋体" w:hAnsi="宋体" w:cs="宋体" w:eastAsia="宋体" w:hint="default"/>
          <w:sz w:val="18"/>
          <w:szCs w:val="18"/>
        </w:rPr>
        <w:t>董事会批准之日起不超过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个月，到期将及时、足额将上述资金归还至募集资金专户。</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日，公司将合计</w:t>
      </w:r>
    </w:p>
    <w:p>
      <w:pPr>
        <w:spacing w:line="319" w:lineRule="auto" w:before="64"/>
        <w:ind w:left="181" w:right="2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万元人民币一次性归还至公司募集资金专户，并将上述募集资金的归还情况通知了保荐机构及保荐代表人。 </w:t>
      </w:r>
      <w:r>
        <w:rPr>
          <w:rFonts w:ascii="宋体" w:hAnsi="宋体" w:cs="宋体" w:eastAsia="宋体" w:hint="default"/>
          <w:spacing w:val="-2"/>
          <w:sz w:val="18"/>
          <w:szCs w:val="18"/>
        </w:rPr>
        <w:t>ⅵ</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为满足公司业务发展的资金需求，合理分配资源，提高募集资金的使用效率，降低公司财务费用，同时在保证募集资金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投资项目的资金需求以及募集资金使用计划正常进行的前提下，</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日，经公司第二届董事会第十九次会议及</w:t>
      </w:r>
    </w:p>
    <w:p>
      <w:pPr>
        <w:spacing w:line="246" w:lineRule="exact" w:before="0"/>
        <w:ind w:left="181" w:right="0" w:firstLine="0"/>
        <w:jc w:val="both"/>
        <w:rPr>
          <w:rFonts w:ascii="宋体" w:hAnsi="宋体" w:cs="宋体" w:eastAsia="宋体" w:hint="default"/>
          <w:sz w:val="18"/>
          <w:szCs w:val="18"/>
        </w:rPr>
      </w:pPr>
      <w:r>
        <w:rPr>
          <w:rFonts w:ascii="宋体" w:hAnsi="宋体" w:cs="宋体" w:eastAsia="宋体" w:hint="default"/>
          <w:sz w:val="18"/>
          <w:szCs w:val="18"/>
        </w:rPr>
        <w:t>第二届监事会第十四次会议通过，公司使用部分超募资金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万元用于永久补充流动资金。该事项已经由公司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line="302" w:lineRule="auto" w:before="63"/>
        <w:ind w:left="181" w:right="0" w:firstLine="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日召开的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年第三次临时股东大会审议通过。剩余超募资金公司将根据自身发展规划及实际生产经营需求，按 </w:t>
      </w:r>
      <w:r>
        <w:rPr>
          <w:rFonts w:ascii="宋体" w:hAnsi="宋体" w:cs="宋体" w:eastAsia="宋体" w:hint="default"/>
          <w:spacing w:val="-3"/>
          <w:sz w:val="18"/>
          <w:szCs w:val="18"/>
        </w:rPr>
        <w:t>照中国证券监督管理委员会和深圳证券交易所的有关规定，围绕主营业务合理规划资金用途，谨慎、认真地制订使用计划；</w:t>
      </w:r>
    </w:p>
    <w:p>
      <w:pPr>
        <w:spacing w:line="302" w:lineRule="auto" w:before="69"/>
        <w:ind w:left="181" w:right="309" w:firstLine="0"/>
        <w:jc w:val="left"/>
        <w:rPr>
          <w:rFonts w:ascii="宋体" w:hAnsi="宋体" w:cs="宋体" w:eastAsia="宋体" w:hint="default"/>
          <w:sz w:val="18"/>
          <w:szCs w:val="18"/>
        </w:rPr>
      </w:pPr>
      <w:r>
        <w:rPr>
          <w:rFonts w:ascii="宋体" w:hAnsi="宋体" w:cs="宋体" w:eastAsia="宋体" w:hint="default"/>
          <w:sz w:val="18"/>
          <w:szCs w:val="18"/>
        </w:rPr>
        <w:t>ⅶ</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年年度股东大会审议通过，公司使用部分超募资金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万元用于永久补充流动资 金；</w:t>
      </w:r>
    </w:p>
    <w:p>
      <w:pPr>
        <w:spacing w:line="300" w:lineRule="auto" w:before="68"/>
        <w:ind w:left="181" w:right="254" w:firstLine="0"/>
        <w:jc w:val="both"/>
        <w:rPr>
          <w:rFonts w:ascii="宋体" w:hAnsi="宋体" w:cs="宋体" w:eastAsia="宋体" w:hint="default"/>
          <w:sz w:val="18"/>
          <w:szCs w:val="18"/>
        </w:rPr>
      </w:pPr>
      <w:r>
        <w:rPr>
          <w:rFonts w:ascii="宋体" w:hAnsi="宋体" w:cs="宋体" w:eastAsia="宋体" w:hint="default"/>
          <w:sz w:val="18"/>
          <w:szCs w:val="18"/>
        </w:rPr>
        <w:t>ⅷ</w:t>
      </w:r>
      <w:r>
        <w:rPr>
          <w:rFonts w:ascii="Times New Roman" w:hAnsi="Times New Roman" w:cs="Times New Roman" w:eastAsia="Times New Roman" w:hint="default"/>
          <w:sz w:val="18"/>
          <w:szCs w:val="18"/>
        </w:rPr>
        <w:t>. 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年第二次临时股东大会审议通过《关于使用超募资金支付收购上海树维信息科技有限公 司</w:t>
      </w:r>
      <w:r>
        <w:rPr>
          <w:rFonts w:ascii="宋体" w:hAnsi="宋体" w:cs="宋体" w:eastAsia="宋体" w:hint="default"/>
          <w:spacing w:val="-27"/>
          <w:sz w:val="18"/>
          <w:szCs w:val="18"/>
        </w:rPr>
        <w:t>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股权部分现金对价的议案》，计划使用剩余全部超募资金及其利息收入（具体金额以资金转出日当日银行结息余额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为准）支付收购上海树维信息科技有限公司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股权部分现金对价，</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年度，公司共使用超募资金支付上海树维股权 转让价款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5,344.44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before="52"/>
        <w:ind w:left="181" w:right="0" w:firstLine="0"/>
        <w:jc w:val="both"/>
        <w:rPr>
          <w:rFonts w:ascii="宋体" w:hAnsi="宋体" w:cs="宋体" w:eastAsia="宋体" w:hint="default"/>
          <w:sz w:val="18"/>
          <w:szCs w:val="18"/>
        </w:rPr>
      </w:pPr>
      <w:r>
        <w:rPr>
          <w:rFonts w:ascii="宋体" w:hAnsi="宋体" w:cs="宋体" w:eastAsia="宋体" w:hint="default"/>
          <w:sz w:val="18"/>
          <w:szCs w:val="18"/>
        </w:rPr>
        <w:t>③募集资金投向变更情况：报告期内，公司不存在募集资金投向变更的情形。</w:t>
      </w:r>
    </w:p>
    <w:p>
      <w:pPr>
        <w:spacing w:line="319" w:lineRule="auto" w:before="116"/>
        <w:ind w:left="181" w:right="0" w:firstLine="0"/>
        <w:jc w:val="left"/>
        <w:rPr>
          <w:rFonts w:ascii="宋体" w:hAnsi="宋体" w:cs="宋体" w:eastAsia="宋体" w:hint="default"/>
          <w:sz w:val="18"/>
          <w:szCs w:val="18"/>
        </w:rPr>
      </w:pPr>
      <w:r>
        <w:rPr>
          <w:rFonts w:ascii="宋体" w:hAnsi="宋体" w:cs="宋体" w:eastAsia="宋体" w:hint="default"/>
          <w:spacing w:val="-1"/>
          <w:sz w:val="18"/>
          <w:szCs w:val="18"/>
        </w:rPr>
        <w:t>④募集资金使用及披露中存在的问题：报告期内，公司募集资金使用情况的披露与实际使用情况相符，不存在未及时、真</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实、准确、完整披露的情况，也不存在募集资金违规使用的情形。</w:t>
      </w:r>
    </w:p>
    <w:p>
      <w:pPr>
        <w:spacing w:line="240" w:lineRule="auto" w:before="5"/>
        <w:rPr>
          <w:rFonts w:ascii="宋体" w:hAnsi="宋体" w:cs="宋体" w:eastAsia="宋体" w:hint="default"/>
          <w:sz w:val="23"/>
          <w:szCs w:val="23"/>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50"/>
        <w:gridCol w:w="738"/>
        <w:gridCol w:w="723"/>
        <w:gridCol w:w="717"/>
        <w:gridCol w:w="716"/>
        <w:gridCol w:w="719"/>
        <w:gridCol w:w="718"/>
        <w:gridCol w:w="716"/>
        <w:gridCol w:w="718"/>
        <w:gridCol w:w="718"/>
        <w:gridCol w:w="718"/>
        <w:gridCol w:w="710"/>
      </w:tblGrid>
      <w:tr>
        <w:trPr>
          <w:trHeight w:val="1650" w:hRule="exact"/>
        </w:trPr>
        <w:tc>
          <w:tcPr>
            <w:tcW w:w="1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69" w:right="98"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63" w:right="62"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3" w:right="87"/>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8" w:right="86"/>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9" w:right="86"/>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0" w:right="86"/>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4" w:right="71" w:firstLine="1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25"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8" w:right="86"/>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0" w:right="85"/>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0" w:right="86"/>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9" w:right="86"/>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8" w:right="79"/>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6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5"/>
              <w:jc w:val="both"/>
              <w:rPr>
                <w:rFonts w:ascii="宋体" w:hAnsi="宋体" w:cs="宋体" w:eastAsia="宋体" w:hint="default"/>
                <w:sz w:val="18"/>
                <w:szCs w:val="18"/>
              </w:rPr>
            </w:pPr>
            <w:r>
              <w:rPr>
                <w:rFonts w:ascii="宋体" w:hAnsi="宋体" w:cs="宋体" w:eastAsia="宋体" w:hint="default"/>
                <w:sz w:val="18"/>
                <w:szCs w:val="18"/>
              </w:rPr>
              <w:t>智能一卡通整体解 决方案技术升级及 产业化项目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10,286.6</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10,286.6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263.64</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10,360.8</w:t>
            </w: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100.72%</w:t>
            </w:r>
            <w:r>
              <w:rPr>
                <w:rFonts w:ascii="Times New Roman"/>
                <w:sz w:val="18"/>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4,498.43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7,098.71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75"/>
              <w:jc w:val="left"/>
              <w:rPr>
                <w:rFonts w:ascii="宋体" w:hAnsi="宋体" w:cs="宋体" w:eastAsia="宋体" w:hint="default"/>
                <w:sz w:val="18"/>
                <w:szCs w:val="18"/>
              </w:rPr>
            </w:pPr>
            <w:r>
              <w:rPr>
                <w:rFonts w:ascii="宋体" w:hAnsi="宋体" w:cs="宋体" w:eastAsia="宋体" w:hint="default"/>
                <w:sz w:val="18"/>
                <w:szCs w:val="18"/>
              </w:rPr>
              <w:t>研发中心升级扩建 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3,466.1</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3,466.1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127.34</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3,885.17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112.09%</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650"/>
        <w:gridCol w:w="738"/>
        <w:gridCol w:w="723"/>
        <w:gridCol w:w="717"/>
        <w:gridCol w:w="716"/>
        <w:gridCol w:w="694"/>
        <w:gridCol w:w="743"/>
        <w:gridCol w:w="716"/>
        <w:gridCol w:w="718"/>
        <w:gridCol w:w="718"/>
        <w:gridCol w:w="718"/>
        <w:gridCol w:w="710"/>
      </w:tblGrid>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75"/>
              <w:jc w:val="left"/>
              <w:rPr>
                <w:rFonts w:ascii="宋体" w:hAnsi="宋体" w:cs="宋体" w:eastAsia="宋体" w:hint="default"/>
                <w:sz w:val="18"/>
                <w:szCs w:val="18"/>
              </w:rPr>
            </w:pPr>
            <w:r>
              <w:rPr>
                <w:rFonts w:ascii="宋体" w:hAnsi="宋体" w:cs="宋体" w:eastAsia="宋体" w:hint="default"/>
                <w:sz w:val="18"/>
                <w:szCs w:val="18"/>
              </w:rPr>
              <w:t>营销与客服网络扩 建项目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2,272.4</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2,272.4</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67.65</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2,322.23</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102.19%</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收购迪科远望</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股权项目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7,095.4</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7,095.4</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7,095.4</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7,095.4</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2,405.44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2,405.44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23,120.5</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23,120.5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7,554.03</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23,663.6</w:t>
            </w:r>
          </w:p>
          <w:p>
            <w:pPr>
              <w:pStyle w:val="TableParagraph"/>
              <w:spacing w:line="240" w:lineRule="auto" w:before="106"/>
              <w:ind w:right="-5"/>
              <w:jc w:val="right"/>
              <w:rPr>
                <w:rFonts w:ascii="Times New Roman" w:hAnsi="Times New Roman" w:cs="Times New Roman" w:eastAsia="Times New Roman" w:hint="default"/>
                <w:sz w:val="18"/>
                <w:szCs w:val="18"/>
              </w:rPr>
            </w:pPr>
            <w:r>
              <w:rPr>
                <w:rFonts w:ascii="Times New Roman"/>
                <w:sz w:val="18"/>
              </w:rPr>
              <w:t>9</w:t>
            </w:r>
          </w:p>
        </w:tc>
        <w:tc>
          <w:tcPr>
            <w:tcW w:w="7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w:t>
            </w:r>
          </w:p>
        </w:tc>
        <w:tc>
          <w:tcPr>
            <w:tcW w:w="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6,903.87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9,504.15</w:t>
            </w:r>
          </w:p>
        </w:tc>
        <w:tc>
          <w:tcPr>
            <w:tcW w:w="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86"/>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支付收购上海树维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股权部分现金 对价</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5,283.45</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5,283.45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5,344.44</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z w:val="18"/>
              </w:rPr>
              <w:t>5,344.4</w:t>
            </w:r>
          </w:p>
          <w:p>
            <w:pPr>
              <w:pStyle w:val="TableParagraph"/>
              <w:spacing w:line="240" w:lineRule="auto" w:before="106"/>
              <w:ind w:right="49"/>
              <w:jc w:val="right"/>
              <w:rPr>
                <w:rFonts w:ascii="Times New Roman" w:hAnsi="Times New Roman" w:cs="Times New Roman" w:eastAsia="Times New Roman" w:hint="default"/>
                <w:sz w:val="18"/>
                <w:szCs w:val="18"/>
              </w:rPr>
            </w:pPr>
            <w:r>
              <w:rPr>
                <w:rFonts w:ascii="Times New Roman"/>
                <w:sz w:val="18"/>
              </w:rPr>
              <w:t>4</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101.15%</w:t>
            </w:r>
          </w:p>
        </w:tc>
        <w:tc>
          <w:tcPr>
            <w:tcW w:w="716"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1,027.68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1,027.68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75"/>
              <w:jc w:val="left"/>
              <w:rPr>
                <w:rFonts w:ascii="宋体" w:hAnsi="宋体" w:cs="宋体" w:eastAsia="宋体" w:hint="default"/>
                <w:sz w:val="18"/>
                <w:szCs w:val="18"/>
              </w:rPr>
            </w:pPr>
            <w:r>
              <w:rPr>
                <w:rFonts w:ascii="宋体" w:hAnsi="宋体" w:cs="宋体" w:eastAsia="宋体" w:hint="default"/>
                <w:sz w:val="18"/>
                <w:szCs w:val="18"/>
              </w:rPr>
              <w:t>归还银行贷款（如 有）</w:t>
            </w:r>
          </w:p>
        </w:tc>
        <w:tc>
          <w:tcPr>
            <w:tcW w:w="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8" w:right="0"/>
              <w:jc w:val="left"/>
              <w:rPr>
                <w:rFonts w:ascii="Times New Roman" w:hAnsi="Times New Roman" w:cs="Times New Roman" w:eastAsia="Times New Roman" w:hint="default"/>
                <w:sz w:val="18"/>
                <w:szCs w:val="18"/>
              </w:rPr>
            </w:pPr>
            <w:r>
              <w:rPr>
                <w:rFonts w:ascii="Times New Roman"/>
                <w:sz w:val="18"/>
              </w:rPr>
              <w:t>2,500</w:t>
            </w:r>
          </w:p>
        </w:tc>
        <w:tc>
          <w:tcPr>
            <w:tcW w:w="743"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89"/>
              <w:jc w:val="righ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75"/>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8" w:right="0"/>
              <w:jc w:val="left"/>
              <w:rPr>
                <w:rFonts w:ascii="Times New Roman" w:hAnsi="Times New Roman" w:cs="Times New Roman" w:eastAsia="Times New Roman" w:hint="default"/>
                <w:sz w:val="18"/>
                <w:szCs w:val="18"/>
              </w:rPr>
            </w:pPr>
            <w:r>
              <w:rPr>
                <w:rFonts w:ascii="Times New Roman"/>
                <w:sz w:val="18"/>
              </w:rPr>
              <w:t>7,000</w:t>
            </w:r>
          </w:p>
        </w:tc>
        <w:tc>
          <w:tcPr>
            <w:tcW w:w="743"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89"/>
              <w:jc w:val="righ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5,283.45</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5,283.45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7,344.44</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14,844.</w:t>
            </w:r>
          </w:p>
          <w:p>
            <w:pPr>
              <w:pStyle w:val="TableParagraph"/>
              <w:spacing w:line="240" w:lineRule="auto" w:before="106"/>
              <w:ind w:left="452" w:right="0"/>
              <w:jc w:val="left"/>
              <w:rPr>
                <w:rFonts w:ascii="Times New Roman" w:hAnsi="Times New Roman" w:cs="Times New Roman" w:eastAsia="Times New Roman" w:hint="default"/>
                <w:sz w:val="18"/>
                <w:szCs w:val="18"/>
              </w:rPr>
            </w:pPr>
            <w:r>
              <w:rPr>
                <w:rFonts w:ascii="Times New Roman"/>
                <w:sz w:val="18"/>
              </w:rPr>
              <w:t>44</w:t>
            </w:r>
          </w:p>
        </w:tc>
        <w:tc>
          <w:tcPr>
            <w:tcW w:w="7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3"/>
              <w:jc w:val="center"/>
              <w:rPr>
                <w:rFonts w:ascii="Times New Roman" w:hAnsi="Times New Roman" w:cs="Times New Roman" w:eastAsia="Times New Roman" w:hint="default"/>
                <w:sz w:val="18"/>
                <w:szCs w:val="18"/>
              </w:rPr>
            </w:pPr>
            <w:r>
              <w:rPr>
                <w:rFonts w:ascii="Times New Roman"/>
                <w:sz w:val="18"/>
              </w:rPr>
              <w:t>--</w:t>
            </w:r>
          </w:p>
        </w:tc>
        <w:tc>
          <w:tcPr>
            <w:tcW w:w="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1,027.68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1,027.68</w:t>
            </w:r>
          </w:p>
        </w:tc>
        <w:tc>
          <w:tcPr>
            <w:tcW w:w="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89"/>
              <w:jc w:val="righ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28,403.9</w:t>
            </w:r>
          </w:p>
          <w:p>
            <w:pPr>
              <w:pStyle w:val="TableParagraph"/>
              <w:spacing w:line="240" w:lineRule="auto" w:before="106"/>
              <w:ind w:right="26"/>
              <w:jc w:val="right"/>
              <w:rPr>
                <w:rFonts w:ascii="Times New Roman" w:hAnsi="Times New Roman" w:cs="Times New Roman" w:eastAsia="Times New Roman" w:hint="default"/>
                <w:sz w:val="18"/>
                <w:szCs w:val="18"/>
              </w:rPr>
            </w:pPr>
            <w:r>
              <w:rPr>
                <w:rFonts w:ascii="Times New Roman"/>
                <w:sz w:val="18"/>
              </w:rPr>
              <w:t>5</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28,403.9</w:t>
            </w:r>
          </w:p>
          <w:p>
            <w:pPr>
              <w:pStyle w:val="TableParagraph"/>
              <w:spacing w:line="240" w:lineRule="auto" w:before="106"/>
              <w:ind w:right="25"/>
              <w:jc w:val="right"/>
              <w:rPr>
                <w:rFonts w:ascii="Times New Roman" w:hAnsi="Times New Roman" w:cs="Times New Roman" w:eastAsia="Times New Roman" w:hint="default"/>
                <w:sz w:val="18"/>
                <w:szCs w:val="18"/>
              </w:rPr>
            </w:pPr>
            <w:r>
              <w:rPr>
                <w:rFonts w:ascii="Times New Roman"/>
                <w:sz w:val="18"/>
              </w:rPr>
              <w:t>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14,898.4</w:t>
            </w:r>
          </w:p>
          <w:p>
            <w:pPr>
              <w:pStyle w:val="TableParagraph"/>
              <w:spacing w:line="240" w:lineRule="auto" w:before="106"/>
              <w:ind w:right="26"/>
              <w:jc w:val="right"/>
              <w:rPr>
                <w:rFonts w:ascii="Times New Roman" w:hAnsi="Times New Roman" w:cs="Times New Roman" w:eastAsia="Times New Roman" w:hint="default"/>
                <w:sz w:val="18"/>
                <w:szCs w:val="18"/>
              </w:rPr>
            </w:pPr>
            <w:r>
              <w:rPr>
                <w:rFonts w:ascii="Times New Roman"/>
                <w:sz w:val="18"/>
              </w:rPr>
              <w:t>7</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38,508.</w:t>
            </w:r>
          </w:p>
          <w:p>
            <w:pPr>
              <w:pStyle w:val="TableParagraph"/>
              <w:spacing w:line="240" w:lineRule="auto" w:before="106"/>
              <w:ind w:left="452" w:right="0"/>
              <w:jc w:val="left"/>
              <w:rPr>
                <w:rFonts w:ascii="Times New Roman" w:hAnsi="Times New Roman" w:cs="Times New Roman" w:eastAsia="Times New Roman" w:hint="default"/>
                <w:sz w:val="18"/>
                <w:szCs w:val="18"/>
              </w:rPr>
            </w:pPr>
            <w:r>
              <w:rPr>
                <w:rFonts w:ascii="Times New Roman"/>
                <w:sz w:val="18"/>
              </w:rPr>
              <w:t>13</w:t>
            </w:r>
          </w:p>
        </w:tc>
        <w:tc>
          <w:tcPr>
            <w:tcW w:w="7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3"/>
              <w:jc w:val="center"/>
              <w:rPr>
                <w:rFonts w:ascii="Times New Roman" w:hAnsi="Times New Roman" w:cs="Times New Roman" w:eastAsia="Times New Roman" w:hint="default"/>
                <w:sz w:val="18"/>
                <w:szCs w:val="18"/>
              </w:rPr>
            </w:pPr>
            <w:r>
              <w:rPr>
                <w:rFonts w:ascii="Times New Roman"/>
                <w:sz w:val="18"/>
              </w:rPr>
              <w:t>--</w:t>
            </w:r>
          </w:p>
        </w:tc>
        <w:tc>
          <w:tcPr>
            <w:tcW w:w="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7,931.55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10,531.8</w:t>
            </w:r>
          </w:p>
          <w:p>
            <w:pPr>
              <w:pStyle w:val="TableParagraph"/>
              <w:spacing w:line="240" w:lineRule="auto" w:before="106"/>
              <w:ind w:right="26"/>
              <w:jc w:val="right"/>
              <w:rPr>
                <w:rFonts w:ascii="Times New Roman" w:hAnsi="Times New Roman" w:cs="Times New Roman" w:eastAsia="Times New Roman" w:hint="default"/>
                <w:sz w:val="18"/>
                <w:szCs w:val="18"/>
              </w:rPr>
            </w:pPr>
            <w:r>
              <w:rPr>
                <w:rFonts w:ascii="Times New Roman"/>
                <w:sz w:val="18"/>
              </w:rPr>
              <w:t>3</w:t>
            </w:r>
          </w:p>
        </w:tc>
        <w:tc>
          <w:tcPr>
            <w:tcW w:w="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89"/>
              <w:jc w:val="right"/>
              <w:rPr>
                <w:rFonts w:ascii="Times New Roman" w:hAnsi="Times New Roman" w:cs="Times New Roman" w:eastAsia="Times New Roman" w:hint="default"/>
                <w:sz w:val="18"/>
                <w:szCs w:val="18"/>
              </w:rPr>
            </w:pPr>
            <w:r>
              <w:rPr>
                <w:rFonts w:ascii="Times New Roman"/>
                <w:sz w:val="18"/>
              </w:rPr>
              <w:t>--</w:t>
            </w:r>
          </w:p>
        </w:tc>
      </w:tr>
      <w:tr>
        <w:trPr>
          <w:trHeight w:val="1338" w:hRule="exact"/>
        </w:trPr>
        <w:tc>
          <w:tcPr>
            <w:tcW w:w="1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3"/>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智能一卡通整体解决方案技术升级及产业化项目累计实现的收益低于承诺的累计收益，原因如下：一</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方面，受一卡通行业竞争加剧及国内经济增速下行的影响，项目毛利率水平未达预期；另一方面，随</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着公司客户维护和运营成本增加、技术研发投入增加、市场推广费用增加，实际期间费用率水平高于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预期。</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75"/>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22"/>
              <w:jc w:val="left"/>
              <w:rPr>
                <w:rFonts w:ascii="宋体" w:hAnsi="宋体" w:cs="宋体" w:eastAsia="宋体" w:hint="default"/>
                <w:sz w:val="18"/>
                <w:szCs w:val="18"/>
              </w:rPr>
            </w:pPr>
            <w:r>
              <w:rPr>
                <w:rFonts w:ascii="宋体" w:hAnsi="宋体" w:cs="宋体" w:eastAsia="宋体" w:hint="default"/>
                <w:spacing w:val="-3"/>
                <w:sz w:val="18"/>
                <w:szCs w:val="18"/>
              </w:rPr>
              <w:t>超募资金的金额、用</w:t>
            </w:r>
            <w:r>
              <w:rPr>
                <w:rFonts w:ascii="宋体" w:hAnsi="宋体" w:cs="宋体" w:eastAsia="宋体" w:hint="default"/>
                <w:sz w:val="18"/>
                <w:szCs w:val="18"/>
              </w:rPr>
              <w:t> 途及使用进展情况</w:t>
            </w: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658" w:hRule="exact"/>
        </w:trPr>
        <w:tc>
          <w:tcPr>
            <w:tcW w:w="1650" w:type="dxa"/>
            <w:vMerge/>
            <w:tcBorders>
              <w:left w:val="single" w:sz="4" w:space="0" w:color="000000"/>
              <w:bottom w:val="single" w:sz="4" w:space="0" w:color="000000"/>
              <w:right w:val="single" w:sz="4" w:space="0" w:color="000000"/>
            </w:tcBorders>
            <w:shd w:val="clear" w:color="auto" w:fill="D3D3D3"/>
          </w:tcPr>
          <w:p>
            <w:pP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公司超募资金金额为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13,877.56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p>
            <w:pPr>
              <w:pStyle w:val="TableParagraph"/>
              <w:spacing w:line="240" w:lineRule="auto" w:before="102"/>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2.2011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日，公司第二届董事会第三次会议及第二届监事会第二次会议审议通过，公司使用超</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万元提前偿还银行贷款；</w:t>
            </w:r>
          </w:p>
          <w:p>
            <w:pPr>
              <w:pStyle w:val="TableParagraph"/>
              <w:spacing w:line="240" w:lineRule="auto" w:before="10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日，经公司第二届董事会第十二次会议及第二届监事会第七次会议审议通过，公司</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使用部分超募资金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万元用于永久补充流动资金；</w:t>
            </w:r>
          </w:p>
          <w:p>
            <w:pPr>
              <w:pStyle w:val="TableParagraph"/>
              <w:spacing w:line="240" w:lineRule="auto" w:before="102"/>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pacing w:val="-11"/>
                <w:sz w:val="18"/>
                <w:szCs w:val="18"/>
              </w:rPr>
              <w:t>日，经公司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年第三次临时股东大会审议通过，公司使用部分超募资金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2,500.00</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万元用于永久补充流动资金；</w:t>
            </w:r>
          </w:p>
          <w:p>
            <w:pPr>
              <w:pStyle w:val="TableParagraph"/>
              <w:spacing w:line="302" w:lineRule="auto" w:before="115"/>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5.2015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7"/>
                <w:sz w:val="18"/>
                <w:szCs w:val="18"/>
              </w:rPr>
              <w:t>日，经公司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年年度股东大会审议通过，公司使用部分超募资金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万元用</w:t>
            </w:r>
            <w:r>
              <w:rPr>
                <w:rFonts w:ascii="宋体" w:hAnsi="宋体" w:cs="宋体" w:eastAsia="宋体" w:hint="default"/>
                <w:spacing w:val="1"/>
                <w:sz w:val="18"/>
                <w:szCs w:val="18"/>
              </w:rPr>
              <w:t> </w:t>
            </w:r>
            <w:r>
              <w:rPr>
                <w:rFonts w:ascii="宋体" w:hAnsi="宋体" w:cs="宋体" w:eastAsia="宋体" w:hint="default"/>
                <w:sz w:val="18"/>
                <w:szCs w:val="18"/>
              </w:rPr>
              <w:t>于永久补充流动资金；</w:t>
            </w:r>
          </w:p>
          <w:p>
            <w:pPr>
              <w:pStyle w:val="TableParagraph"/>
              <w:spacing w:line="300" w:lineRule="auto" w:before="68"/>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6.2015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5"/>
                <w:sz w:val="18"/>
                <w:szCs w:val="18"/>
              </w:rPr>
              <w:t> </w:t>
            </w:r>
            <w:r>
              <w:rPr>
                <w:rFonts w:ascii="宋体" w:hAnsi="宋体" w:cs="宋体" w:eastAsia="宋体" w:hint="default"/>
                <w:spacing w:val="-9"/>
                <w:sz w:val="18"/>
                <w:szCs w:val="18"/>
              </w:rPr>
              <w:t>日，公司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年第二次临时股东大会审议通过《关于使用超募资金支付收购上海树 维信息科技有限公司</w:t>
            </w:r>
            <w:r>
              <w:rPr>
                <w:rFonts w:ascii="宋体" w:hAnsi="宋体" w:cs="宋体" w:eastAsia="宋体" w:hint="default"/>
                <w:spacing w:val="-35"/>
                <w:sz w:val="18"/>
                <w:szCs w:val="18"/>
              </w:rPr>
              <w:t> </w:t>
            </w:r>
            <w:r>
              <w:rPr>
                <w:rFonts w:ascii="Times New Roman" w:hAnsi="Times New Roman" w:cs="Times New Roman" w:eastAsia="Times New Roman" w:hint="default"/>
                <w:spacing w:val="-5"/>
                <w:sz w:val="18"/>
                <w:szCs w:val="18"/>
              </w:rPr>
              <w:t>100%</w:t>
            </w:r>
            <w:r>
              <w:rPr>
                <w:rFonts w:ascii="宋体" w:hAnsi="宋体" w:cs="宋体" w:eastAsia="宋体" w:hint="default"/>
                <w:spacing w:val="-5"/>
                <w:sz w:val="18"/>
                <w:szCs w:val="18"/>
              </w:rPr>
              <w:t>股权部分现金对价的议案》，计划使用剩余全部超募资金及其利息收入（具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体金额以资金转出日当日银行结息余额为准）支付收购上海树维信息科技有限公司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股权部分现 </w:t>
            </w:r>
            <w:r>
              <w:rPr>
                <w:rFonts w:ascii="宋体" w:hAnsi="宋体" w:cs="宋体" w:eastAsia="宋体" w:hint="default"/>
                <w:spacing w:val="-4"/>
                <w:sz w:val="18"/>
                <w:szCs w:val="18"/>
              </w:rPr>
              <w:t>金对价。公司于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日使用超募资金向支付上海 树维分别支付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3480.00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1364.44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万元股权转让对价款，共计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5344.44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after="0" w:line="300" w:lineRule="auto"/>
        <w:jc w:val="both"/>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650"/>
        <w:gridCol w:w="7912"/>
      </w:tblGrid>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9" w:lineRule="auto"/>
              <w:ind w:left="22" w:right="175"/>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50" w:type="dxa"/>
            <w:vMerge/>
            <w:tcBorders>
              <w:left w:val="single" w:sz="4" w:space="0" w:color="000000"/>
              <w:right w:val="single" w:sz="4" w:space="0" w:color="000000"/>
            </w:tcBorders>
            <w:shd w:val="clear" w:color="auto" w:fill="D3D3D3"/>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tcBorders>
              <w:left w:val="single" w:sz="4" w:space="0" w:color="000000"/>
              <w:bottom w:val="single" w:sz="4" w:space="0" w:color="000000"/>
              <w:right w:val="single" w:sz="4" w:space="0" w:color="000000"/>
            </w:tcBorders>
            <w:shd w:val="clear" w:color="auto" w:fill="D3D3D3"/>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9" w:lineRule="auto"/>
              <w:ind w:left="22" w:right="175"/>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50" w:type="dxa"/>
            <w:vMerge/>
            <w:tcBorders>
              <w:left w:val="single" w:sz="4" w:space="0" w:color="000000"/>
              <w:right w:val="single" w:sz="4" w:space="0" w:color="000000"/>
            </w:tcBorders>
            <w:shd w:val="clear" w:color="auto" w:fill="D3D3D3"/>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tcBorders>
              <w:left w:val="single" w:sz="4" w:space="0" w:color="000000"/>
              <w:bottom w:val="single" w:sz="4" w:space="0" w:color="000000"/>
              <w:right w:val="single" w:sz="4" w:space="0" w:color="000000"/>
            </w:tcBorders>
            <w:shd w:val="clear" w:color="auto" w:fill="D3D3D3"/>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2" w:right="175"/>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3D3D3"/>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2" w:right="175"/>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3D3D3"/>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1"/>
              <w:ind w:left="22" w:right="175"/>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50" w:hRule="exact"/>
        </w:trPr>
        <w:tc>
          <w:tcPr>
            <w:tcW w:w="1650" w:type="dxa"/>
            <w:vMerge/>
            <w:tcBorders>
              <w:left w:val="single" w:sz="4" w:space="0" w:color="000000"/>
              <w:bottom w:val="single" w:sz="4" w:space="0" w:color="000000"/>
              <w:right w:val="single" w:sz="4" w:space="0" w:color="000000"/>
            </w:tcBorders>
            <w:shd w:val="clear" w:color="auto" w:fill="D3D3D3"/>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公司募集资金投资项目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智能一卡通整体解决方案技术升级及产业化项目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研发中心升级扩建项 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营销与客服网络扩建项目</w:t>
            </w:r>
            <w:r>
              <w:rPr>
                <w:rFonts w:ascii="Times New Roman" w:hAnsi="Times New Roman" w:cs="Times New Roman" w:eastAsia="Times New Roman" w:hint="default"/>
                <w:sz w:val="18"/>
                <w:szCs w:val="18"/>
              </w:rPr>
              <w:t>”</w:t>
            </w:r>
            <w:r>
              <w:rPr>
                <w:rFonts w:ascii="宋体" w:hAnsi="宋体" w:cs="宋体" w:eastAsia="宋体" w:hint="default"/>
                <w:sz w:val="18"/>
                <w:szCs w:val="18"/>
              </w:rPr>
              <w:t>承诺投入募集资金总额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16,025.10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40" w:lineRule="auto" w:before="1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募集资金投入总额为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16,918.15</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万元，其中已累计投入募集资金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16,568.29</w:t>
            </w:r>
            <w:r>
              <w:rPr>
                <w:rFonts w:ascii="Times New Roman" w:hAnsi="Times New Roman" w:cs="Times New Roman" w:eastAsia="Times New Roman" w:hint="default"/>
                <w:spacing w:val="44"/>
                <w:sz w:val="18"/>
                <w:szCs w:val="18"/>
              </w:rPr>
              <w:t> </w:t>
            </w:r>
            <w:r>
              <w:rPr>
                <w:rFonts w:ascii="宋体" w:hAnsi="宋体" w:cs="宋体" w:eastAsia="宋体" w:hint="default"/>
                <w:spacing w:val="-6"/>
                <w:sz w:val="18"/>
                <w:szCs w:val="18"/>
              </w:rPr>
              <w:t>万元，应付未付金额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349.86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万元，募投项目节余资金</w:t>
            </w:r>
            <w:r>
              <w:rPr>
                <w:rFonts w:ascii="Times New Roman" w:hAnsi="Times New Roman" w:cs="Times New Roman" w:eastAsia="Times New Roman" w:hint="default"/>
                <w:sz w:val="18"/>
                <w:szCs w:val="18"/>
              </w:rPr>
              <w:t>-893.05 </w:t>
            </w:r>
            <w:r>
              <w:rPr>
                <w:rFonts w:ascii="宋体" w:hAnsi="宋体" w:cs="宋体" w:eastAsia="宋体" w:hint="default"/>
                <w:spacing w:val="-3"/>
                <w:sz w:val="18"/>
                <w:szCs w:val="18"/>
              </w:rPr>
              <w:t>万元。由于募集资金专户利息收入（扣除手续费后）净额为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1,011.45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万元，故节余资金总计</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118.40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75"/>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余额系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年重大资产重组募集配套资金专户利息，存放于募集资金专户中。</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75"/>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本报告期内无。</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63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公司报告期不存在募集资金变更项目情况。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74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2" w:top="1100" w:bottom="1180" w:left="980" w:right="980"/>
        </w:sectPr>
      </w:pPr>
    </w:p>
    <w:p>
      <w:pPr>
        <w:spacing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20"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849" w:space="4070"/>
            <w:col w:w="103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5"/>
        <w:gridCol w:w="1045"/>
        <w:gridCol w:w="1045"/>
        <w:gridCol w:w="1045"/>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北京迪科远 望科技有限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智能一卡通 系统及产品 的研发、生 产、销售</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115,343,163.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46,695,174.2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99,844,754.7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25,094,121.8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23,466,218.5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358"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智能一卡通</w:t>
            </w: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1249"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上海树维信 息科技有限 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系统、数字 化校园系 统、教务系 统的研发、</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14,630,000.0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pacing w:val="-1"/>
                <w:sz w:val="18"/>
              </w:rPr>
              <w:t>46,580,428.9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pacing w:val="-1"/>
                <w:sz w:val="18"/>
              </w:rPr>
              <w:t>23,671,258.5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55,173,800.4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11,389,842.7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10,284,193.6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r>
      <w:tr>
        <w:trPr>
          <w:trHeight w:val="356"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北京迪科远望科技有限公司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贡献利润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15,669,049.97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上海树维信息科技有限公司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贡献利润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9,255,365.07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40" w:lineRule="auto" w:before="10"/>
        <w:rPr>
          <w:rFonts w:ascii="宋体" w:hAnsi="宋体" w:cs="宋体" w:eastAsia="宋体" w:hint="default"/>
          <w:sz w:val="12"/>
          <w:szCs w:val="12"/>
        </w:rPr>
      </w:pPr>
    </w:p>
    <w:p>
      <w:pPr>
        <w:pStyle w:val="BodyText"/>
        <w:spacing w:line="386" w:lineRule="auto" w:before="0"/>
        <w:ind w:left="574" w:right="140" w:hanging="1"/>
        <w:jc w:val="left"/>
      </w:pPr>
      <w:r>
        <w:rPr>
          <w:rFonts w:ascii="Times New Roman" w:hAnsi="Times New Roman" w:cs="Times New Roman" w:eastAsia="Times New Roman" w:hint="default"/>
        </w:rPr>
        <w:t>1</w:t>
      </w:r>
      <w:r>
        <w:rPr/>
        <w:t>、福建新开普信息科技有限公司 </w:t>
      </w:r>
      <w:r>
        <w:rPr>
          <w:spacing w:val="-2"/>
        </w:rPr>
        <w:t>福建新开普为公司的控股子公司，注册资本</w:t>
      </w:r>
      <w:r>
        <w:rPr>
          <w:rFonts w:ascii="Times New Roman" w:hAnsi="Times New Roman" w:cs="Times New Roman" w:eastAsia="Times New Roman" w:hint="default"/>
          <w:spacing w:val="-2"/>
        </w:rPr>
        <w:t>3,000</w:t>
      </w:r>
      <w:r>
        <w:rPr>
          <w:spacing w:val="-2"/>
        </w:rPr>
        <w:t>万元，公司持有其</w:t>
      </w:r>
      <w:r>
        <w:rPr>
          <w:rFonts w:ascii="Times New Roman" w:hAnsi="Times New Roman" w:cs="Times New Roman" w:eastAsia="Times New Roman" w:hint="default"/>
          <w:spacing w:val="-2"/>
        </w:rPr>
        <w:t>51.00%</w:t>
      </w:r>
      <w:r>
        <w:rPr>
          <w:spacing w:val="-2"/>
        </w:rPr>
        <w:t>的股份。公司主要经营范围</w:t>
      </w:r>
    </w:p>
    <w:p>
      <w:pPr>
        <w:pStyle w:val="BodyText"/>
        <w:spacing w:line="408" w:lineRule="auto" w:before="35"/>
        <w:ind w:right="110"/>
        <w:jc w:val="left"/>
      </w:pPr>
      <w:r>
        <w:rPr/>
        <w:t>是：计算机系统集成及维护；能源监管平台项目开发、销售及维护；智能表具开发、生产、销售及维护； 太阳能、空气源热泵热水项目集成及维护；智能化系统及机电设备安装工程项目集成及维护等。 经审计，福建新开普</w:t>
      </w:r>
      <w:r>
        <w:rPr>
          <w:rFonts w:ascii="Times New Roman" w:hAnsi="Times New Roman" w:cs="Times New Roman" w:eastAsia="Times New Roman" w:hint="default"/>
        </w:rPr>
        <w:t>2015</w:t>
      </w:r>
      <w:r>
        <w:rPr/>
        <w:t>年度实现营业收入</w:t>
      </w:r>
      <w:r>
        <w:rPr>
          <w:rFonts w:ascii="Times New Roman" w:hAnsi="Times New Roman" w:cs="Times New Roman" w:eastAsia="Times New Roman" w:hint="default"/>
        </w:rPr>
        <w:t>2,841.61</w:t>
      </w:r>
      <w:r>
        <w:rPr/>
        <w:t>万元，实现净利润</w:t>
      </w:r>
      <w:r>
        <w:rPr>
          <w:rFonts w:ascii="Times New Roman" w:hAnsi="Times New Roman" w:cs="Times New Roman" w:eastAsia="Times New Roman" w:hint="default"/>
        </w:rPr>
        <w:t>62.36</w:t>
      </w:r>
      <w:r>
        <w:rPr/>
        <w:t>万元。</w:t>
      </w:r>
    </w:p>
    <w:p>
      <w:pPr>
        <w:pStyle w:val="BodyText"/>
        <w:spacing w:line="386" w:lineRule="auto" w:before="14"/>
        <w:ind w:left="574" w:right="140" w:hanging="1"/>
        <w:jc w:val="left"/>
      </w:pPr>
      <w:r>
        <w:rPr>
          <w:rFonts w:ascii="Times New Roman" w:hAnsi="Times New Roman" w:cs="Times New Roman" w:eastAsia="Times New Roman" w:hint="default"/>
        </w:rPr>
        <w:t>2</w:t>
      </w:r>
      <w:r>
        <w:rPr/>
        <w:t>、上海微令信息科技有限公司 </w:t>
      </w:r>
      <w:r>
        <w:rPr>
          <w:spacing w:val="-2"/>
        </w:rPr>
        <w:t>上海微令是公司参股公司，注册资本</w:t>
      </w:r>
      <w:r>
        <w:rPr>
          <w:rFonts w:ascii="Times New Roman" w:hAnsi="Times New Roman" w:cs="Times New Roman" w:eastAsia="Times New Roman" w:hint="default"/>
          <w:spacing w:val="-2"/>
        </w:rPr>
        <w:t>1,000</w:t>
      </w:r>
      <w:r>
        <w:rPr>
          <w:spacing w:val="-2"/>
        </w:rPr>
        <w:t>万元，公司持有其</w:t>
      </w:r>
      <w:r>
        <w:rPr>
          <w:rFonts w:ascii="Times New Roman" w:hAnsi="Times New Roman" w:cs="Times New Roman" w:eastAsia="Times New Roman" w:hint="default"/>
          <w:spacing w:val="-2"/>
        </w:rPr>
        <w:t>20.77%</w:t>
      </w:r>
      <w:r>
        <w:rPr>
          <w:spacing w:val="-2"/>
        </w:rPr>
        <w:t>的股份。公司主要经营范围是：从</w:t>
      </w:r>
    </w:p>
    <w:p>
      <w:pPr>
        <w:pStyle w:val="BodyText"/>
        <w:spacing w:line="408" w:lineRule="auto" w:before="35"/>
        <w:ind w:right="149"/>
        <w:jc w:val="both"/>
      </w:pPr>
      <w:r>
        <w:rPr>
          <w:spacing w:val="-1"/>
        </w:rPr>
        <w:t>事信息科技、网络科技、计算机科技领域内的技术开发、技术转让、技术咨询、技术服务；计算机及网络</w:t>
      </w:r>
      <w:r>
        <w:rPr>
          <w:spacing w:val="-83"/>
        </w:rPr>
        <w:t> </w:t>
      </w:r>
      <w:r>
        <w:rPr>
          <w:spacing w:val="-83"/>
        </w:rPr>
      </w:r>
      <w:r>
        <w:rPr>
          <w:spacing w:val="-1"/>
        </w:rPr>
        <w:t>设备的研究、开发、安装与维护；计算机系统集成、销售；设计、制作、发布、代理各类广告；计算机软</w:t>
      </w:r>
      <w:r>
        <w:rPr>
          <w:spacing w:val="-86"/>
        </w:rPr>
        <w:t> </w:t>
      </w:r>
      <w:r>
        <w:rPr>
          <w:spacing w:val="-86"/>
        </w:rPr>
      </w:r>
      <w:r>
        <w:rPr>
          <w:spacing w:val="-1"/>
        </w:rPr>
        <w:t>件的开发、销售；电脑网络工程；电子产品、数码产品、计算机及辅助设备（除计算机信息系统安全专用</w:t>
      </w:r>
      <w:r>
        <w:rPr>
          <w:spacing w:val="-83"/>
        </w:rPr>
        <w:t> </w:t>
      </w:r>
      <w:r>
        <w:rPr>
          <w:spacing w:val="-83"/>
        </w:rPr>
      </w:r>
      <w:r>
        <w:rPr/>
        <w:t>产品）的销售；企业管理咨询；商务信息咨询；房屋建筑工程等。</w:t>
      </w:r>
    </w:p>
    <w:p>
      <w:pPr>
        <w:pStyle w:val="BodyText"/>
        <w:spacing w:line="386" w:lineRule="auto"/>
        <w:ind w:right="197" w:firstLine="420"/>
        <w:jc w:val="left"/>
      </w:pPr>
      <w:r>
        <w:rPr/>
        <w:t>上海微令</w:t>
      </w:r>
      <w:r>
        <w:rPr>
          <w:rFonts w:ascii="Times New Roman" w:hAnsi="Times New Roman" w:cs="Times New Roman" w:eastAsia="Times New Roman" w:hint="default"/>
        </w:rPr>
        <w:t>2015</w:t>
      </w:r>
      <w:r>
        <w:rPr/>
        <w:t>年度实现营业收入</w:t>
      </w:r>
      <w:r>
        <w:rPr>
          <w:rFonts w:ascii="Times New Roman" w:hAnsi="Times New Roman" w:cs="Times New Roman" w:eastAsia="Times New Roman" w:hint="default"/>
        </w:rPr>
        <w:t>250.02</w:t>
      </w:r>
      <w:r>
        <w:rPr/>
        <w:t>万元，实现净利润</w:t>
      </w:r>
      <w:r>
        <w:rPr>
          <w:rFonts w:ascii="Times New Roman" w:hAnsi="Times New Roman" w:cs="Times New Roman" w:eastAsia="Times New Roman" w:hint="default"/>
        </w:rPr>
        <w:t>-1,448.63</w:t>
      </w:r>
      <w:r>
        <w:rPr/>
        <w:t>万元（未经审计）。报告期末经减 值测试，公司计提减值</w:t>
      </w:r>
      <w:r>
        <w:rPr>
          <w:rFonts w:ascii="Times New Roman" w:hAnsi="Times New Roman" w:cs="Times New Roman" w:eastAsia="Times New Roman" w:hint="default"/>
        </w:rPr>
        <w:t>172.33</w:t>
      </w:r>
      <w:r>
        <w:rPr/>
        <w:t>万元。</w:t>
      </w:r>
    </w:p>
    <w:p>
      <w:pPr>
        <w:spacing w:after="0" w:line="386" w:lineRule="auto"/>
        <w:jc w:val="left"/>
        <w:sectPr>
          <w:type w:val="continuous"/>
          <w:pgSz w:w="11910" w:h="16840"/>
          <w:pgMar w:top="1060" w:bottom="1180" w:left="980" w:right="980"/>
        </w:sectPr>
      </w:pPr>
    </w:p>
    <w:p>
      <w:pPr>
        <w:spacing w:line="240" w:lineRule="auto" w:before="8"/>
        <w:rPr>
          <w:rFonts w:ascii="宋体" w:hAnsi="宋体" w:cs="宋体" w:eastAsia="宋体" w:hint="default"/>
          <w:sz w:val="26"/>
          <w:szCs w:val="26"/>
        </w:rPr>
      </w:pPr>
    </w:p>
    <w:p>
      <w:pPr>
        <w:pStyle w:val="BodyText"/>
        <w:spacing w:line="386" w:lineRule="auto" w:before="35"/>
        <w:ind w:left="574" w:right="80" w:hanging="1"/>
        <w:jc w:val="left"/>
      </w:pPr>
      <w:r>
        <w:rPr>
          <w:rFonts w:ascii="Times New Roman" w:hAnsi="Times New Roman" w:cs="Times New Roman" w:eastAsia="Times New Roman" w:hint="default"/>
        </w:rPr>
        <w:t>3</w:t>
      </w:r>
      <w:r>
        <w:rPr/>
        <w:t>、成都兰途网络科技有限公司 成都兰途是公司参股公司，注册资本</w:t>
      </w:r>
      <w:r>
        <w:rPr>
          <w:rFonts w:ascii="Times New Roman" w:hAnsi="Times New Roman" w:cs="Times New Roman" w:eastAsia="Times New Roman" w:hint="default"/>
        </w:rPr>
        <w:t>120</w:t>
      </w:r>
      <w:r>
        <w:rPr/>
        <w:t>万元，公司持有其</w:t>
      </w:r>
      <w:r>
        <w:rPr>
          <w:rFonts w:ascii="Times New Roman" w:hAnsi="Times New Roman" w:cs="Times New Roman" w:eastAsia="Times New Roman" w:hint="default"/>
        </w:rPr>
        <w:t>35%</w:t>
      </w:r>
      <w:r>
        <w:rPr/>
        <w:t>的股份。公司主要经营范围是：开发、</w:t>
      </w:r>
    </w:p>
    <w:p>
      <w:pPr>
        <w:pStyle w:val="BodyText"/>
        <w:spacing w:line="408" w:lineRule="auto" w:before="35"/>
        <w:ind w:right="80"/>
        <w:jc w:val="left"/>
      </w:pPr>
      <w:r>
        <w:rPr>
          <w:spacing w:val="-1"/>
        </w:rPr>
        <w:t>销售计算机软硬件；计算机系统集成；网络布线工程施工（凭资质许可证从事经营）；网页设计；商务咨</w:t>
      </w:r>
      <w:r>
        <w:rPr>
          <w:spacing w:val="-83"/>
        </w:rPr>
        <w:t> </w:t>
      </w:r>
      <w:r>
        <w:rPr>
          <w:spacing w:val="-83"/>
        </w:rPr>
      </w:r>
      <w:r>
        <w:rPr/>
        <w:t>询等。</w:t>
      </w:r>
    </w:p>
    <w:p>
      <w:pPr>
        <w:pStyle w:val="BodyText"/>
        <w:spacing w:line="240" w:lineRule="auto"/>
        <w:ind w:left="574" w:right="80"/>
        <w:jc w:val="left"/>
      </w:pPr>
      <w:r>
        <w:rPr/>
        <w:t>成都兰途</w:t>
      </w:r>
      <w:r>
        <w:rPr>
          <w:rFonts w:ascii="Times New Roman" w:hAnsi="Times New Roman" w:cs="Times New Roman" w:eastAsia="Times New Roman" w:hint="default"/>
        </w:rPr>
        <w:t>2015</w:t>
      </w:r>
      <w:r>
        <w:rPr/>
        <w:t>年度实现营业收入</w:t>
      </w:r>
      <w:r>
        <w:rPr>
          <w:rFonts w:ascii="Times New Roman" w:hAnsi="Times New Roman" w:cs="Times New Roman" w:eastAsia="Times New Roman" w:hint="default"/>
        </w:rPr>
        <w:t>181.25</w:t>
      </w:r>
      <w:r>
        <w:rPr/>
        <w:t>万元，实现净利润</w:t>
      </w:r>
      <w:r>
        <w:rPr>
          <w:rFonts w:ascii="Times New Roman" w:hAnsi="Times New Roman" w:cs="Times New Roman" w:eastAsia="Times New Roman" w:hint="default"/>
        </w:rPr>
        <w:t>-80.76</w:t>
      </w:r>
      <w:r>
        <w:rPr/>
        <w:t>万元，其中</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月实现净利润</w:t>
      </w:r>
    </w:p>
    <w:p>
      <w:pPr>
        <w:pStyle w:val="BodyText"/>
        <w:spacing w:line="240" w:lineRule="auto" w:before="177"/>
        <w:ind w:right="80"/>
        <w:jc w:val="left"/>
      </w:pPr>
      <w:r>
        <w:rPr>
          <w:rFonts w:ascii="Times New Roman" w:hAnsi="Times New Roman" w:cs="Times New Roman" w:eastAsia="Times New Roman" w:hint="default"/>
        </w:rPr>
        <w:t>61.97</w:t>
      </w:r>
      <w:r>
        <w:rPr/>
        <w:t>万元（未经审计），报告期内为公司贡献利润</w:t>
      </w:r>
      <w:r>
        <w:rPr>
          <w:rFonts w:ascii="Times New Roman" w:hAnsi="Times New Roman" w:cs="Times New Roman" w:eastAsia="Times New Roman" w:hint="default"/>
        </w:rPr>
        <w:t>21.69</w:t>
      </w:r>
      <w:r>
        <w:rPr/>
        <w:t>万元。</w:t>
      </w:r>
    </w:p>
    <w:p>
      <w:pPr>
        <w:pStyle w:val="BodyText"/>
        <w:spacing w:line="386" w:lineRule="auto" w:before="177"/>
        <w:ind w:left="574" w:right="180" w:hanging="1"/>
        <w:jc w:val="left"/>
      </w:pPr>
      <w:r>
        <w:rPr>
          <w:rFonts w:ascii="Times New Roman" w:hAnsi="Times New Roman" w:cs="Times New Roman" w:eastAsia="Times New Roman" w:hint="default"/>
        </w:rPr>
        <w:t>4</w:t>
      </w:r>
      <w:r>
        <w:rPr/>
        <w:t>、北京乐智科技有限公司 </w:t>
      </w:r>
      <w:r>
        <w:rPr>
          <w:spacing w:val="-1"/>
        </w:rPr>
        <w:t>北京乐智是公司参股公司，注册资本</w:t>
      </w:r>
      <w:r>
        <w:rPr>
          <w:rFonts w:ascii="Times New Roman" w:hAnsi="Times New Roman" w:cs="Times New Roman" w:eastAsia="Times New Roman" w:hint="default"/>
          <w:spacing w:val="-1"/>
        </w:rPr>
        <w:t>100</w:t>
      </w:r>
      <w:r>
        <w:rPr>
          <w:spacing w:val="-1"/>
        </w:rPr>
        <w:t>万元，公司持有其</w:t>
      </w:r>
      <w:r>
        <w:rPr>
          <w:rFonts w:ascii="Times New Roman" w:hAnsi="Times New Roman" w:cs="Times New Roman" w:eastAsia="Times New Roman" w:hint="default"/>
          <w:spacing w:val="-1"/>
        </w:rPr>
        <w:t>19.5%</w:t>
      </w:r>
      <w:r>
        <w:rPr>
          <w:spacing w:val="-1"/>
        </w:rPr>
        <w:t>的股份。公司主要经营范围是：技术</w:t>
      </w:r>
    </w:p>
    <w:p>
      <w:pPr>
        <w:pStyle w:val="BodyText"/>
        <w:spacing w:line="408" w:lineRule="auto" w:before="35"/>
        <w:ind w:right="80"/>
        <w:jc w:val="left"/>
      </w:pPr>
      <w:r>
        <w:rPr>
          <w:spacing w:val="-1"/>
        </w:rPr>
        <w:t>开发、技术转让、技术咨询、技术服务、技术推广；计算机技术培训；计算机系统服务；软件开发；数据</w:t>
      </w:r>
      <w:r>
        <w:rPr>
          <w:spacing w:val="-85"/>
        </w:rPr>
        <w:t> </w:t>
      </w:r>
      <w:r>
        <w:rPr>
          <w:spacing w:val="-85"/>
        </w:rPr>
      </w:r>
      <w:r>
        <w:rPr/>
        <w:t>处理等</w:t>
      </w:r>
    </w:p>
    <w:p>
      <w:pPr>
        <w:pStyle w:val="BodyText"/>
        <w:spacing w:line="386" w:lineRule="auto"/>
        <w:ind w:left="574" w:right="80"/>
        <w:jc w:val="left"/>
      </w:pPr>
      <w:r>
        <w:rPr/>
        <w:t>北京乐智</w:t>
      </w:r>
      <w:r>
        <w:rPr>
          <w:rFonts w:ascii="Times New Roman" w:hAnsi="Times New Roman" w:cs="Times New Roman" w:eastAsia="Times New Roman" w:hint="default"/>
        </w:rPr>
        <w:t>2015</w:t>
      </w:r>
      <w:r>
        <w:rPr/>
        <w:t>年度实现营业收入</w:t>
      </w:r>
      <w:r>
        <w:rPr>
          <w:rFonts w:ascii="Times New Roman" w:hAnsi="Times New Roman" w:cs="Times New Roman" w:eastAsia="Times New Roman" w:hint="default"/>
        </w:rPr>
        <w:t>10.75</w:t>
      </w:r>
      <w:r>
        <w:rPr/>
        <w:t>万元，实现净利润</w:t>
      </w:r>
      <w:r>
        <w:rPr>
          <w:rFonts w:ascii="Times New Roman" w:hAnsi="Times New Roman" w:cs="Times New Roman" w:eastAsia="Times New Roman" w:hint="default"/>
        </w:rPr>
        <w:t>-49.72</w:t>
      </w:r>
      <w:r>
        <w:rPr/>
        <w:t>万元（未经审计）。 </w:t>
      </w:r>
      <w:r>
        <w:rPr>
          <w:rFonts w:ascii="Times New Roman" w:hAnsi="Times New Roman" w:cs="Times New Roman" w:eastAsia="Times New Roman" w:hint="default"/>
        </w:rPr>
        <w:t>5</w:t>
      </w:r>
      <w:r>
        <w:rPr/>
        <w:t>、嘉兴丹诚开普股权投资合伙企业（有限合伙） </w:t>
      </w:r>
      <w:r>
        <w:rPr>
          <w:spacing w:val="-1"/>
        </w:rPr>
        <w:t>丹诚开普合伙企业是由公司与丹诚资管共同发起设立有限合伙企业，公司作为有限合伙人。合伙企业</w:t>
      </w:r>
    </w:p>
    <w:p>
      <w:pPr>
        <w:pStyle w:val="BodyText"/>
        <w:spacing w:line="398" w:lineRule="auto" w:before="65"/>
        <w:ind w:left="574" w:right="4350" w:hanging="420"/>
        <w:jc w:val="left"/>
      </w:pPr>
      <w:r>
        <w:rPr/>
        <w:t>主要经营范围是：股权投资及相关咨询服务、投资管理等。 丹诚开普合伙企业</w:t>
      </w:r>
      <w:r>
        <w:rPr>
          <w:rFonts w:ascii="Times New Roman" w:hAnsi="Times New Roman" w:cs="Times New Roman" w:eastAsia="Times New Roman" w:hint="default"/>
        </w:rPr>
        <w:t>2015</w:t>
      </w:r>
      <w:r>
        <w:rPr/>
        <w:t>年度未实现营业收入。 </w:t>
      </w:r>
      <w:r>
        <w:rPr>
          <w:rFonts w:ascii="Times New Roman" w:hAnsi="Times New Roman" w:cs="Times New Roman" w:eastAsia="Times New Roman" w:hint="default"/>
        </w:rPr>
        <w:t>6</w:t>
      </w:r>
      <w:r>
        <w:rPr/>
        <w:t>、山西新开普信息科技有限公司</w:t>
      </w:r>
    </w:p>
    <w:p>
      <w:pPr>
        <w:pStyle w:val="BodyText"/>
        <w:spacing w:line="398" w:lineRule="auto" w:before="24"/>
        <w:ind w:right="188" w:firstLine="420"/>
        <w:jc w:val="both"/>
      </w:pPr>
      <w:r>
        <w:rPr>
          <w:spacing w:val="-1"/>
        </w:rPr>
        <w:t>山西新开普是公司控股公司，注册资本</w:t>
      </w:r>
      <w:r>
        <w:rPr>
          <w:rFonts w:ascii="Times New Roman" w:hAnsi="Times New Roman" w:cs="Times New Roman" w:eastAsia="Times New Roman" w:hint="default"/>
          <w:spacing w:val="-1"/>
        </w:rPr>
        <w:t>1,000</w:t>
      </w:r>
      <w:r>
        <w:rPr>
          <w:spacing w:val="-1"/>
        </w:rPr>
        <w:t>万元，公司持有其</w:t>
      </w:r>
      <w:r>
        <w:rPr>
          <w:rFonts w:ascii="Times New Roman" w:hAnsi="Times New Roman" w:cs="Times New Roman" w:eastAsia="Times New Roman" w:hint="default"/>
          <w:spacing w:val="-1"/>
        </w:rPr>
        <w:t>51%</w:t>
      </w:r>
      <w:r>
        <w:rPr>
          <w:spacing w:val="-1"/>
        </w:rPr>
        <w:t>的股份。主要经营范围是：计算机</w:t>
      </w:r>
      <w:r>
        <w:rPr/>
        <w:t> </w:t>
      </w:r>
      <w:r>
        <w:rPr>
          <w:spacing w:val="-1"/>
        </w:rPr>
        <w:t>软硬件及辅助设备、电子产品的销售（含网上）；计算机及信息系统集成；软件开发；数据处理；存储服</w:t>
      </w:r>
      <w:r>
        <w:rPr>
          <w:spacing w:val="-85"/>
        </w:rPr>
        <w:t> </w:t>
      </w:r>
      <w:r>
        <w:rPr>
          <w:spacing w:val="-85"/>
        </w:rPr>
      </w:r>
      <w:r>
        <w:rPr/>
        <w:t>务；计算机信息技术咨询服务等。</w:t>
      </w:r>
    </w:p>
    <w:p>
      <w:pPr>
        <w:pStyle w:val="BodyText"/>
        <w:spacing w:line="240" w:lineRule="auto" w:before="54"/>
        <w:ind w:left="574" w:right="80"/>
        <w:jc w:val="left"/>
      </w:pPr>
      <w:r>
        <w:rPr/>
        <w:t>山西新开普于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月成立，还未实现营业收入。</w:t>
      </w:r>
    </w:p>
    <w:p>
      <w:pPr>
        <w:spacing w:line="240" w:lineRule="auto" w:before="11"/>
        <w:rPr>
          <w:rFonts w:ascii="宋体" w:hAnsi="宋体" w:cs="宋体" w:eastAsia="宋体" w:hint="default"/>
          <w:sz w:val="28"/>
          <w:szCs w:val="28"/>
        </w:rPr>
      </w:pPr>
    </w:p>
    <w:p>
      <w:pPr>
        <w:pStyle w:val="Heading2"/>
        <w:spacing w:line="240" w:lineRule="auto"/>
        <w:ind w:right="80"/>
        <w:jc w:val="left"/>
        <w:rPr>
          <w:b w:val="0"/>
          <w:bCs w:val="0"/>
        </w:rPr>
      </w:pPr>
      <w:r>
        <w:rPr/>
        <w:t>八、公司控制的结构化主体情况</w:t>
      </w:r>
      <w:r>
        <w:rPr>
          <w:b w:val="0"/>
          <w:bCs w:val="0"/>
        </w:rPr>
      </w:r>
    </w:p>
    <w:p>
      <w:pPr>
        <w:spacing w:line="240" w:lineRule="auto" w:before="7"/>
        <w:rPr>
          <w:rFonts w:ascii="宋体" w:hAnsi="宋体" w:cs="宋体" w:eastAsia="宋体" w:hint="default"/>
          <w:b/>
          <w:bCs/>
          <w:sz w:val="26"/>
          <w:szCs w:val="26"/>
        </w:rPr>
      </w:pPr>
    </w:p>
    <w:p>
      <w:pPr>
        <w:spacing w:before="0"/>
        <w:ind w:left="154" w:right="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80"/>
        <w:jc w:val="left"/>
        <w:rPr>
          <w:b w:val="0"/>
          <w:bCs w:val="0"/>
        </w:rPr>
      </w:pPr>
      <w:r>
        <w:rPr/>
        <w:t>九、公司未来发展的展望</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4" w:right="80"/>
        <w:jc w:val="left"/>
      </w:pPr>
      <w:r>
        <w:rPr/>
        <w:t>（一）行业发展趋势</w:t>
      </w:r>
    </w:p>
    <w:p>
      <w:pPr>
        <w:spacing w:line="240" w:lineRule="auto" w:before="10"/>
        <w:rPr>
          <w:rFonts w:ascii="宋体" w:hAnsi="宋体" w:cs="宋体" w:eastAsia="宋体" w:hint="default"/>
          <w:sz w:val="14"/>
          <w:szCs w:val="14"/>
        </w:rPr>
      </w:pPr>
    </w:p>
    <w:p>
      <w:pPr>
        <w:pStyle w:val="BodyText"/>
        <w:spacing w:line="386" w:lineRule="auto" w:before="0"/>
        <w:ind w:left="574" w:right="80" w:hanging="1"/>
        <w:jc w:val="left"/>
      </w:pPr>
      <w:r>
        <w:rPr>
          <w:rFonts w:ascii="Times New Roman" w:hAnsi="Times New Roman" w:cs="Times New Roman" w:eastAsia="Times New Roman" w:hint="default"/>
        </w:rPr>
        <w:t>1</w:t>
      </w:r>
      <w:r>
        <w:rPr/>
        <w:t>、我国智能一卡通行业快速发展 </w:t>
      </w:r>
      <w:r>
        <w:rPr>
          <w:spacing w:val="-1"/>
        </w:rPr>
        <w:t>随着我国教育、企业、金融、交通、城市管理、政府管理等领域信息化建设的不断提速，一卡通行业</w:t>
      </w:r>
    </w:p>
    <w:p>
      <w:pPr>
        <w:pStyle w:val="BodyText"/>
        <w:spacing w:line="408" w:lineRule="auto" w:before="65"/>
        <w:ind w:right="80"/>
        <w:jc w:val="left"/>
      </w:pPr>
      <w:r>
        <w:rPr>
          <w:spacing w:val="-1"/>
        </w:rPr>
        <w:t>市场需求也随之不断增长。随着全球信息技术发展步伐的加快，作为信息社会重要载体之一的智能卡，在</w:t>
      </w:r>
      <w:r>
        <w:rPr>
          <w:spacing w:val="-83"/>
        </w:rPr>
        <w:t> </w:t>
      </w:r>
      <w:r>
        <w:rPr>
          <w:spacing w:val="-83"/>
        </w:rPr>
      </w:r>
      <w:r>
        <w:rPr>
          <w:spacing w:val="-1"/>
        </w:rPr>
        <w:t>社会生活各个领域的应用日益广泛。在市场需求的驱动下，一卡通及其相关行业已成为我国信息产业和国</w:t>
      </w:r>
    </w:p>
    <w:p>
      <w:pPr>
        <w:spacing w:after="0" w:line="408" w:lineRule="auto"/>
        <w:jc w:val="left"/>
        <w:sectPr>
          <w:pgSz w:w="11910" w:h="16840"/>
          <w:pgMar w:header="877" w:footer="982" w:top="1100" w:bottom="1180" w:left="980" w:right="940"/>
        </w:sectPr>
      </w:pPr>
    </w:p>
    <w:p>
      <w:pPr>
        <w:spacing w:line="240" w:lineRule="auto" w:before="8"/>
        <w:rPr>
          <w:rFonts w:ascii="宋体" w:hAnsi="宋体" w:cs="宋体" w:eastAsia="宋体" w:hint="default"/>
          <w:sz w:val="26"/>
          <w:szCs w:val="26"/>
        </w:rPr>
      </w:pPr>
    </w:p>
    <w:p>
      <w:pPr>
        <w:pStyle w:val="BodyText"/>
        <w:spacing w:line="398" w:lineRule="auto" w:before="35"/>
        <w:ind w:right="101"/>
        <w:jc w:val="left"/>
      </w:pPr>
      <w:r>
        <w:rPr/>
        <w:t>民经济发展的重要增长点。金融 </w:t>
      </w:r>
      <w:r>
        <w:rPr>
          <w:rFonts w:ascii="Times New Roman" w:hAnsi="Times New Roman" w:cs="Times New Roman" w:eastAsia="Times New Roman" w:hint="default"/>
        </w:rPr>
        <w:t>EMV</w:t>
      </w:r>
      <w:r>
        <w:rPr>
          <w:rFonts w:ascii="Times New Roman" w:hAnsi="Times New Roman" w:cs="Times New Roman" w:eastAsia="Times New Roman" w:hint="default"/>
          <w:spacing w:val="-9"/>
        </w:rPr>
        <w:t> </w:t>
      </w:r>
      <w:r>
        <w:rPr/>
        <w:t>迁移、移动通信的高速增长、第二代身份证的普及、数字化城市建 </w:t>
      </w:r>
      <w:r>
        <w:rPr>
          <w:spacing w:val="-3"/>
        </w:rPr>
        <w:t>设、学校和大中型企业的数字化建设、电子标签的推广等等，都将极大地扩展我国一卡通行业的市场空间。</w:t>
      </w:r>
      <w:r>
        <w:rPr>
          <w:spacing w:val="-90"/>
        </w:rPr>
        <w:t> </w:t>
      </w:r>
      <w:r>
        <w:rPr>
          <w:spacing w:val="-90"/>
        </w:rPr>
      </w:r>
      <w:r>
        <w:rPr/>
        <w:t>根据中商情报网的统计数据，</w:t>
      </w:r>
      <w:r>
        <w:rPr>
          <w:rFonts w:ascii="Times New Roman" w:hAnsi="Times New Roman" w:cs="Times New Roman" w:eastAsia="Times New Roman" w:hint="default"/>
        </w:rPr>
        <w:t>2014</w:t>
      </w:r>
      <w:r>
        <w:rPr/>
        <w:t>年我国智能一卡通行业市场规模达到</w:t>
      </w:r>
      <w:r>
        <w:rPr>
          <w:rFonts w:ascii="Times New Roman" w:hAnsi="Times New Roman" w:cs="Times New Roman" w:eastAsia="Times New Roman" w:hint="default"/>
        </w:rPr>
        <w:t>56.9</w:t>
      </w:r>
      <w:r>
        <w:rPr/>
        <w:t>亿元，比上年增长</w:t>
      </w:r>
      <w:r>
        <w:rPr>
          <w:rFonts w:ascii="Times New Roman" w:hAnsi="Times New Roman" w:cs="Times New Roman" w:eastAsia="Times New Roman" w:hint="default"/>
        </w:rPr>
        <w:t>21.32%</w:t>
      </w:r>
      <w:r>
        <w:rPr/>
        <w:t>。</w:t>
      </w:r>
    </w:p>
    <w:p>
      <w:pPr>
        <w:spacing w:line="207" w:lineRule="exact" w:before="0"/>
        <w:ind w:left="3353" w:right="95" w:firstLine="0"/>
        <w:jc w:val="left"/>
        <w:rPr>
          <w:rFonts w:ascii="宋体" w:hAnsi="宋体" w:cs="宋体" w:eastAsia="宋体" w:hint="default"/>
          <w:sz w:val="18"/>
          <w:szCs w:val="18"/>
        </w:rPr>
      </w:pPr>
      <w:r>
        <w:rPr>
          <w:rFonts w:ascii="宋体" w:hAnsi="宋体" w:cs="宋体" w:eastAsia="宋体" w:hint="default"/>
          <w:sz w:val="18"/>
          <w:szCs w:val="18"/>
        </w:rPr>
        <w:t>我国智能一卡通行业市场规模及增长情况</w:t>
      </w:r>
    </w:p>
    <w:p>
      <w:pPr>
        <w:spacing w:line="240" w:lineRule="auto" w:before="13"/>
        <w:rPr>
          <w:rFonts w:ascii="宋体" w:hAnsi="宋体" w:cs="宋体" w:eastAsia="宋体" w:hint="default"/>
          <w:sz w:val="7"/>
          <w:szCs w:val="7"/>
        </w:rPr>
      </w:pPr>
    </w:p>
    <w:p>
      <w:pPr>
        <w:spacing w:line="4290" w:lineRule="exact"/>
        <w:ind w:left="1387" w:right="0" w:firstLine="0"/>
        <w:rPr>
          <w:rFonts w:ascii="宋体" w:hAnsi="宋体" w:cs="宋体" w:eastAsia="宋体" w:hint="default"/>
          <w:sz w:val="20"/>
          <w:szCs w:val="20"/>
        </w:rPr>
      </w:pPr>
      <w:r>
        <w:rPr>
          <w:rFonts w:ascii="宋体" w:hAnsi="宋体" w:cs="宋体" w:eastAsia="宋体" w:hint="default"/>
          <w:position w:val="-85"/>
          <w:sz w:val="20"/>
          <w:szCs w:val="20"/>
        </w:rPr>
        <w:drawing>
          <wp:inline distT="0" distB="0" distL="0" distR="0">
            <wp:extent cx="4552950" cy="272415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9" cstate="print"/>
                    <a:stretch>
                      <a:fillRect/>
                    </a:stretch>
                  </pic:blipFill>
                  <pic:spPr>
                    <a:xfrm>
                      <a:off x="0" y="0"/>
                      <a:ext cx="4552950" cy="2724150"/>
                    </a:xfrm>
                    <a:prstGeom prst="rect">
                      <a:avLst/>
                    </a:prstGeom>
                  </pic:spPr>
                </pic:pic>
              </a:graphicData>
            </a:graphic>
          </wp:inline>
        </w:drawing>
      </w:r>
      <w:r>
        <w:rPr>
          <w:rFonts w:ascii="宋体" w:hAnsi="宋体" w:cs="宋体" w:eastAsia="宋体" w:hint="default"/>
          <w:position w:val="-85"/>
          <w:sz w:val="20"/>
          <w:szCs w:val="20"/>
        </w:rPr>
      </w:r>
    </w:p>
    <w:p>
      <w:pPr>
        <w:pStyle w:val="BodyText"/>
        <w:spacing w:line="386" w:lineRule="auto" w:before="102"/>
        <w:ind w:left="574" w:right="95" w:hanging="1"/>
        <w:jc w:val="left"/>
      </w:pPr>
      <w:r>
        <w:rPr>
          <w:rFonts w:ascii="Times New Roman" w:hAnsi="Times New Roman" w:cs="Times New Roman" w:eastAsia="Times New Roman" w:hint="default"/>
        </w:rPr>
        <w:t>2</w:t>
      </w:r>
      <w:r>
        <w:rPr/>
        <w:t>、我国教育信息化和校园信息化进程稳步推进，校园一卡通的基础平台作用凸显 </w:t>
      </w:r>
      <w:r>
        <w:rPr>
          <w:spacing w:val="-1"/>
        </w:rPr>
        <w:t>随着计算机、网络及信息技术不断发展，我国信息化水平整体大幅提升，而在国家一系列重大工程和</w:t>
      </w:r>
    </w:p>
    <w:p>
      <w:pPr>
        <w:pStyle w:val="BodyText"/>
        <w:spacing w:line="391" w:lineRule="auto" w:before="65"/>
        <w:ind w:right="211"/>
        <w:jc w:val="left"/>
      </w:pPr>
      <w:r>
        <w:rPr/>
        <w:t>政策措施的引导下，我国教育信息化水平取得了长足的进步。国务院、教育部在</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月发布的《国家 </w:t>
      </w:r>
      <w:r>
        <w:rPr>
          <w:spacing w:val="-1"/>
        </w:rPr>
        <w:t>中长期教育改革和发展规划纲要（</w:t>
      </w:r>
      <w:r>
        <w:rPr>
          <w:rFonts w:ascii="Times New Roman" w:hAnsi="Times New Roman" w:cs="Times New Roman" w:eastAsia="Times New Roman" w:hint="default"/>
          <w:spacing w:val="-1"/>
        </w:rPr>
        <w:t>2010—2020</w:t>
      </w:r>
      <w:r>
        <w:rPr>
          <w:spacing w:val="-1"/>
        </w:rPr>
        <w:t>年）》中强调加快教育信息化进程，提出把教育信息化纳入</w:t>
      </w:r>
      <w:r>
        <w:rPr>
          <w:spacing w:val="-83"/>
        </w:rPr>
        <w:t> </w:t>
      </w:r>
      <w:r>
        <w:rPr>
          <w:spacing w:val="-83"/>
        </w:rPr>
      </w:r>
      <w:r>
        <w:rPr>
          <w:spacing w:val="-1"/>
        </w:rPr>
        <w:t>国家信息化发展整体战略，加快教育信息基础设施建设，加强优质教育资源开发与应用，构建国家教育管</w:t>
      </w:r>
      <w:r>
        <w:rPr>
          <w:spacing w:val="-83"/>
        </w:rPr>
        <w:t> </w:t>
      </w:r>
      <w:r>
        <w:rPr>
          <w:spacing w:val="-83"/>
        </w:rPr>
      </w:r>
      <w:r>
        <w:rPr/>
        <w:t>理信息系统，并要求加快终端设施普及，推进数字化校园建设。教育部也于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月专门出台了《教育 信息化十年发展规划（</w:t>
      </w:r>
      <w:r>
        <w:rPr>
          <w:rFonts w:ascii="Times New Roman" w:hAnsi="Times New Roman" w:cs="Times New Roman" w:eastAsia="Times New Roman" w:hint="default"/>
        </w:rPr>
        <w:t>2011-2020</w:t>
      </w:r>
      <w:r>
        <w:rPr/>
        <w:t>年）》，着力推进我国的教育信息化进程。</w:t>
      </w:r>
    </w:p>
    <w:p>
      <w:pPr>
        <w:pStyle w:val="BodyText"/>
        <w:spacing w:line="386" w:lineRule="auto" w:before="30"/>
        <w:ind w:left="153" w:right="211" w:firstLine="420"/>
        <w:jc w:val="both"/>
      </w:pPr>
      <w:r>
        <w:rPr>
          <w:spacing w:val="-1"/>
        </w:rPr>
        <w:t>在国家政策的大力推动下，我国教育行业信息化投资规模逐年扩大，根据计世资讯的数据，</w:t>
      </w:r>
      <w:r>
        <w:rPr>
          <w:rFonts w:ascii="Times New Roman" w:hAnsi="Times New Roman" w:cs="Times New Roman" w:eastAsia="Times New Roman" w:hint="default"/>
          <w:spacing w:val="-1"/>
        </w:rPr>
        <w:t>2010</w:t>
      </w:r>
      <w:r>
        <w:rPr>
          <w:spacing w:val="-1"/>
        </w:rPr>
        <w:t>年我</w:t>
      </w:r>
      <w:r>
        <w:rPr/>
        <w:t> 国教育行业信息化投资金额为</w:t>
      </w:r>
      <w:r>
        <w:rPr>
          <w:rFonts w:ascii="Times New Roman" w:hAnsi="Times New Roman" w:cs="Times New Roman" w:eastAsia="Times New Roman" w:hint="default"/>
        </w:rPr>
        <w:t>307.1</w:t>
      </w:r>
      <w:r>
        <w:rPr/>
        <w:t>亿元，到</w:t>
      </w:r>
      <w:r>
        <w:rPr>
          <w:rFonts w:ascii="Times New Roman" w:hAnsi="Times New Roman" w:cs="Times New Roman" w:eastAsia="Times New Roman" w:hint="default"/>
        </w:rPr>
        <w:t>2014</w:t>
      </w:r>
      <w:r>
        <w:rPr/>
        <w:t>年已增至</w:t>
      </w:r>
      <w:r>
        <w:rPr>
          <w:rFonts w:ascii="Times New Roman" w:hAnsi="Times New Roman" w:cs="Times New Roman" w:eastAsia="Times New Roman" w:hint="default"/>
        </w:rPr>
        <w:t>571.9</w:t>
      </w:r>
      <w:r>
        <w:rPr/>
        <w:t>亿元，期间年均复合增长率达</w:t>
      </w:r>
      <w:r>
        <w:rPr>
          <w:rFonts w:ascii="Times New Roman" w:hAnsi="Times New Roman" w:cs="Times New Roman" w:eastAsia="Times New Roman" w:hint="default"/>
        </w:rPr>
        <w:t>16.82%</w:t>
      </w:r>
      <w:r>
        <w:rPr/>
        <w:t>。根 据计世咨询的测算，</w:t>
      </w:r>
      <w:r>
        <w:rPr>
          <w:rFonts w:ascii="Times New Roman" w:hAnsi="Times New Roman" w:cs="Times New Roman" w:eastAsia="Times New Roman" w:hint="default"/>
        </w:rPr>
        <w:t>2015</w:t>
      </w:r>
      <w:r>
        <w:rPr/>
        <w:t>年预计投资金额达到</w:t>
      </w:r>
      <w:r>
        <w:rPr>
          <w:rFonts w:ascii="Times New Roman" w:hAnsi="Times New Roman" w:cs="Times New Roman" w:eastAsia="Times New Roman" w:hint="default"/>
        </w:rPr>
        <w:t>611.8</w:t>
      </w:r>
      <w:r>
        <w:rPr/>
        <w:t>亿元，较</w:t>
      </w:r>
      <w:r>
        <w:rPr>
          <w:rFonts w:ascii="Times New Roman" w:hAnsi="Times New Roman" w:cs="Times New Roman" w:eastAsia="Times New Roman" w:hint="default"/>
        </w:rPr>
        <w:t>2014</w:t>
      </w:r>
      <w:r>
        <w:rPr/>
        <w:t>年增长</w:t>
      </w:r>
      <w:r>
        <w:rPr>
          <w:rFonts w:ascii="Times New Roman" w:hAnsi="Times New Roman" w:cs="Times New Roman" w:eastAsia="Times New Roman" w:hint="default"/>
        </w:rPr>
        <w:t>7%</w:t>
      </w:r>
      <w:r>
        <w:rPr/>
        <w:t>，具体情况如下：</w:t>
      </w:r>
    </w:p>
    <w:p>
      <w:pPr>
        <w:spacing w:line="232" w:lineRule="exact" w:before="0"/>
        <w:ind w:left="3263"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年以来我国教育信息化投资金额及增速</w:t>
      </w:r>
    </w:p>
    <w:p>
      <w:pPr>
        <w:spacing w:after="0" w:line="232" w:lineRule="exact"/>
        <w:jc w:val="left"/>
        <w:rPr>
          <w:rFonts w:ascii="宋体" w:hAnsi="宋体" w:cs="宋体" w:eastAsia="宋体" w:hint="default"/>
          <w:sz w:val="18"/>
          <w:szCs w:val="18"/>
        </w:rPr>
        <w:sectPr>
          <w:pgSz w:w="11910" w:h="16840"/>
          <w:pgMar w:header="877" w:footer="982" w:top="1100" w:bottom="1180" w:left="980" w:right="920"/>
        </w:sectPr>
      </w:pPr>
    </w:p>
    <w:p>
      <w:pPr>
        <w:spacing w:line="240" w:lineRule="auto" w:before="2"/>
        <w:rPr>
          <w:rFonts w:ascii="宋体" w:hAnsi="宋体" w:cs="宋体" w:eastAsia="宋体" w:hint="default"/>
          <w:sz w:val="28"/>
          <w:szCs w:val="28"/>
        </w:rPr>
      </w:pPr>
    </w:p>
    <w:p>
      <w:pPr>
        <w:spacing w:line="4582" w:lineRule="exact"/>
        <w:ind w:left="1204" w:right="0" w:firstLine="0"/>
        <w:rPr>
          <w:rFonts w:ascii="宋体" w:hAnsi="宋体" w:cs="宋体" w:eastAsia="宋体" w:hint="default"/>
          <w:sz w:val="20"/>
          <w:szCs w:val="20"/>
        </w:rPr>
      </w:pPr>
      <w:r>
        <w:rPr>
          <w:rFonts w:ascii="宋体" w:hAnsi="宋体" w:cs="宋体" w:eastAsia="宋体" w:hint="default"/>
          <w:position w:val="-91"/>
          <w:sz w:val="20"/>
          <w:szCs w:val="20"/>
        </w:rPr>
        <w:drawing>
          <wp:inline distT="0" distB="0" distL="0" distR="0">
            <wp:extent cx="4786122" cy="2910078"/>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0" cstate="print"/>
                    <a:stretch>
                      <a:fillRect/>
                    </a:stretch>
                  </pic:blipFill>
                  <pic:spPr>
                    <a:xfrm>
                      <a:off x="0" y="0"/>
                      <a:ext cx="4786122" cy="2910078"/>
                    </a:xfrm>
                    <a:prstGeom prst="rect">
                      <a:avLst/>
                    </a:prstGeom>
                  </pic:spPr>
                </pic:pic>
              </a:graphicData>
            </a:graphic>
          </wp:inline>
        </w:drawing>
      </w:r>
      <w:r>
        <w:rPr>
          <w:rFonts w:ascii="宋体" w:hAnsi="宋体" w:cs="宋体" w:eastAsia="宋体" w:hint="default"/>
          <w:position w:val="-91"/>
          <w:sz w:val="20"/>
          <w:szCs w:val="20"/>
        </w:rPr>
      </w:r>
    </w:p>
    <w:p>
      <w:pPr>
        <w:spacing w:line="240" w:lineRule="auto" w:before="12"/>
        <w:rPr>
          <w:rFonts w:ascii="宋体" w:hAnsi="宋体" w:cs="宋体" w:eastAsia="宋体" w:hint="default"/>
          <w:sz w:val="5"/>
          <w:szCs w:val="5"/>
        </w:rPr>
      </w:pPr>
    </w:p>
    <w:p>
      <w:pPr>
        <w:pStyle w:val="BodyText"/>
        <w:spacing w:line="408" w:lineRule="auto" w:before="35"/>
        <w:ind w:right="149" w:firstLine="420"/>
        <w:jc w:val="both"/>
      </w:pPr>
      <w:r>
        <w:rPr>
          <w:spacing w:val="-1"/>
        </w:rPr>
        <w:t>数字化校园是教育信息化的重要组成部分，校园一卡通是数字化校园的前导性工程，它不仅是校园数</w:t>
      </w:r>
      <w:r>
        <w:rPr/>
        <w:t> </w:t>
      </w:r>
      <w:r>
        <w:rPr>
          <w:spacing w:val="-1"/>
        </w:rPr>
        <w:t>字化系统重要的组成部分之一，也是数字化校园建设的基础工程和切入点。随着校园信息化应用层次的不</w:t>
      </w:r>
      <w:r>
        <w:rPr>
          <w:spacing w:val="-81"/>
        </w:rPr>
        <w:t> </w:t>
      </w:r>
      <w:r>
        <w:rPr>
          <w:spacing w:val="-81"/>
        </w:rPr>
      </w:r>
      <w:r>
        <w:rPr>
          <w:spacing w:val="-1"/>
        </w:rPr>
        <w:t>断深入和建设水平的持续提升，学校对建设完整统一、技术先进、覆盖全面、应用深入、高效稳定、安全</w:t>
      </w:r>
      <w:r>
        <w:rPr>
          <w:spacing w:val="-83"/>
        </w:rPr>
        <w:t> </w:t>
      </w:r>
      <w:r>
        <w:rPr>
          <w:spacing w:val="-83"/>
        </w:rPr>
      </w:r>
      <w:r>
        <w:rPr>
          <w:spacing w:val="-1"/>
        </w:rPr>
        <w:t>可靠的数字化校园的需求日益迫切，以校园一卡通为基础载体，将教务信息系统、财务系统、图书管理系</w:t>
      </w:r>
      <w:r>
        <w:rPr>
          <w:spacing w:val="-82"/>
        </w:rPr>
        <w:t> </w:t>
      </w:r>
      <w:r>
        <w:rPr>
          <w:spacing w:val="-82"/>
        </w:rPr>
      </w:r>
      <w:r>
        <w:rPr>
          <w:spacing w:val="-1"/>
        </w:rPr>
        <w:t>统、医疗系统、机房管理和网络计费系统、车辆道闸控制系统、大型设备管理系统等校园第三方应用系统</w:t>
      </w:r>
      <w:r>
        <w:rPr>
          <w:spacing w:val="-82"/>
        </w:rPr>
        <w:t> </w:t>
      </w:r>
      <w:r>
        <w:rPr>
          <w:spacing w:val="-82"/>
        </w:rPr>
      </w:r>
      <w:r>
        <w:rPr>
          <w:spacing w:val="-1"/>
        </w:rPr>
        <w:t>与校园一卡通系统进行对接和整合，建立校级统一信息系统，消除信息孤岛和业务孤岛，将极大的提高学</w:t>
      </w:r>
      <w:r>
        <w:rPr>
          <w:spacing w:val="-83"/>
        </w:rPr>
        <w:t> </w:t>
      </w:r>
      <w:r>
        <w:rPr>
          <w:spacing w:val="-83"/>
        </w:rPr>
      </w:r>
      <w:r>
        <w:rPr>
          <w:spacing w:val="-1"/>
        </w:rPr>
        <w:t>校的管理和决策效率。作为校园信息化的重要基础平台，校园一卡通系统需要融入整个智慧型校园的建设</w:t>
      </w:r>
      <w:r>
        <w:rPr>
          <w:spacing w:val="-81"/>
        </w:rPr>
        <w:t> </w:t>
      </w:r>
      <w:r>
        <w:rPr>
          <w:spacing w:val="-81"/>
        </w:rPr>
      </w:r>
      <w:r>
        <w:rPr/>
        <w:t>中，使其在总体规划下更好的支撑校园内各种信息化应用，从而提升校园的整体信息化服务水平。</w:t>
      </w:r>
    </w:p>
    <w:p>
      <w:pPr>
        <w:pStyle w:val="BodyText"/>
        <w:spacing w:line="408" w:lineRule="auto"/>
        <w:ind w:left="153" w:right="128" w:firstLine="420"/>
        <w:jc w:val="both"/>
      </w:pPr>
      <w:r>
        <w:rPr/>
        <w:t>随着我国教育信息化和校园信息化进程稳步推进，校园一卡通的应用深度和建设水平将进一步提升， 这将直接推动我国校园一卡通行业市场规模的持续增长。</w:t>
      </w:r>
    </w:p>
    <w:p>
      <w:pPr>
        <w:pStyle w:val="BodyText"/>
        <w:spacing w:line="386" w:lineRule="auto"/>
        <w:ind w:left="574" w:right="0" w:hanging="1"/>
        <w:jc w:val="left"/>
      </w:pPr>
      <w:r>
        <w:rPr>
          <w:rFonts w:ascii="Times New Roman" w:hAnsi="Times New Roman" w:cs="Times New Roman" w:eastAsia="Times New Roman" w:hint="default"/>
        </w:rPr>
        <w:t>3</w:t>
      </w:r>
      <w:r>
        <w:rPr/>
        <w:t>、校园一卡通建设范围越来越广，由高等教育院校向基础教育院校普及 </w:t>
      </w:r>
      <w:r>
        <w:rPr>
          <w:spacing w:val="-1"/>
        </w:rPr>
        <w:t>经过多年推广和应用，校园一卡通在重点本科院校已经较为普及，但由于办学规模、建设资金等方面</w:t>
      </w:r>
    </w:p>
    <w:p>
      <w:pPr>
        <w:pStyle w:val="BodyText"/>
        <w:spacing w:line="403" w:lineRule="auto" w:before="65"/>
        <w:ind w:right="151"/>
        <w:jc w:val="both"/>
      </w:pPr>
      <w:r>
        <w:rPr>
          <w:spacing w:val="-1"/>
        </w:rPr>
        <w:t>的限制，部分一般本科院校和大量的高职（专科）院校还存在着学校的不同部门独立发卡且各个卡系统的</w:t>
      </w:r>
      <w:r>
        <w:rPr>
          <w:spacing w:val="-83"/>
        </w:rPr>
        <w:t> </w:t>
      </w:r>
      <w:r>
        <w:rPr>
          <w:spacing w:val="-83"/>
        </w:rPr>
      </w:r>
      <w:r>
        <w:rPr>
          <w:spacing w:val="-1"/>
        </w:rPr>
        <w:t>技术与规范不统一、不兼容的情况，使得教工学生一人手中保留餐饮卡、借书卡、上机卡等多种卡片，在</w:t>
      </w:r>
      <w:r>
        <w:rPr>
          <w:spacing w:val="-83"/>
        </w:rPr>
        <w:t> </w:t>
      </w:r>
      <w:r>
        <w:rPr>
          <w:spacing w:val="-83"/>
        </w:rPr>
      </w:r>
      <w:r>
        <w:rPr>
          <w:spacing w:val="-1"/>
        </w:rPr>
        <w:t>使用中造成极大不便，也降低了学校各部门的工作效率，增加了管理难度。随着校园数字化进程的不断提</w:t>
      </w:r>
      <w:r>
        <w:rPr>
          <w:spacing w:val="-83"/>
        </w:rPr>
        <w:t> </w:t>
      </w:r>
      <w:r>
        <w:rPr>
          <w:spacing w:val="-83"/>
        </w:rPr>
      </w:r>
      <w:r>
        <w:rPr/>
        <w:t>速，</w:t>
      </w:r>
      <w:r>
        <w:rPr>
          <w:rFonts w:ascii="Times New Roman" w:hAnsi="Times New Roman" w:cs="Times New Roman" w:eastAsia="Times New Roman" w:hint="default"/>
        </w:rPr>
        <w:t>“</w:t>
      </w:r>
      <w:r>
        <w:rPr/>
        <w:t>一卡在手，走遍校园，一卡通用，一卡多用</w:t>
      </w:r>
      <w:r>
        <w:rPr>
          <w:rFonts w:ascii="Times New Roman" w:hAnsi="Times New Roman" w:cs="Times New Roman" w:eastAsia="Times New Roman" w:hint="default"/>
        </w:rPr>
        <w:t>”</w:t>
      </w:r>
      <w:r>
        <w:rPr/>
        <w:t>的校园一卡通系统已逐步向各类学校推广和普及，校园 </w:t>
      </w:r>
      <w:r>
        <w:rPr>
          <w:spacing w:val="-1"/>
        </w:rPr>
        <w:t>一卡通的建设范围越来越广，在部分经济发达地区的中小学校（包括高中、中等职业教育、初中及普通小</w:t>
      </w:r>
      <w:r>
        <w:rPr>
          <w:spacing w:val="-82"/>
        </w:rPr>
        <w:t> </w:t>
      </w:r>
      <w:r>
        <w:rPr>
          <w:spacing w:val="-82"/>
        </w:rPr>
      </w:r>
      <w:r>
        <w:rPr/>
        <w:t>学等），以小额消费、门禁、考勤、校车管理等功能为主的校园一卡通系统也已开始逐步推广。</w:t>
      </w:r>
    </w:p>
    <w:p>
      <w:pPr>
        <w:pStyle w:val="BodyText"/>
        <w:spacing w:line="386" w:lineRule="auto" w:before="50"/>
        <w:ind w:right="150" w:firstLine="420"/>
        <w:jc w:val="both"/>
      </w:pPr>
      <w:r>
        <w:rPr>
          <w:spacing w:val="-3"/>
        </w:rPr>
        <w:t>根据《中国统计年鉴》（</w:t>
      </w:r>
      <w:r>
        <w:rPr>
          <w:rFonts w:ascii="Times New Roman" w:hAnsi="Times New Roman" w:cs="Times New Roman" w:eastAsia="Times New Roman" w:hint="default"/>
          <w:spacing w:val="-3"/>
        </w:rPr>
        <w:t>2014</w:t>
      </w:r>
      <w:r>
        <w:rPr>
          <w:spacing w:val="-3"/>
        </w:rPr>
        <w:t>年），截至</w:t>
      </w:r>
      <w:r>
        <w:rPr>
          <w:rFonts w:ascii="Times New Roman" w:hAnsi="Times New Roman" w:cs="Times New Roman" w:eastAsia="Times New Roman" w:hint="default"/>
          <w:spacing w:val="-3"/>
        </w:rPr>
        <w:t>2013</w:t>
      </w:r>
      <w:r>
        <w:rPr>
          <w:spacing w:val="-3"/>
        </w:rPr>
        <w:t>年，我国本科院校有</w:t>
      </w:r>
      <w:r>
        <w:rPr>
          <w:rFonts w:ascii="Times New Roman" w:hAnsi="Times New Roman" w:cs="Times New Roman" w:eastAsia="Times New Roman" w:hint="default"/>
          <w:spacing w:val="-3"/>
        </w:rPr>
        <w:t>1,170</w:t>
      </w:r>
      <w:r>
        <w:rPr>
          <w:spacing w:val="-3"/>
        </w:rPr>
        <w:t>家，高职（专科）院校有</w:t>
      </w:r>
      <w:r>
        <w:rPr>
          <w:rFonts w:ascii="Times New Roman" w:hAnsi="Times New Roman" w:cs="Times New Roman" w:eastAsia="Times New Roman" w:hint="default"/>
          <w:spacing w:val="-3"/>
        </w:rPr>
        <w:t>1,321</w:t>
      </w:r>
      <w:r>
        <w:rPr>
          <w:rFonts w:ascii="Times New Roman" w:hAnsi="Times New Roman" w:cs="Times New Roman" w:eastAsia="Times New Roman" w:hint="default"/>
        </w:rPr>
        <w:t> </w:t>
      </w:r>
      <w:r>
        <w:rPr>
          <w:spacing w:val="-1"/>
        </w:rPr>
        <w:t>家，高中、中等职业教育、初中合计达</w:t>
      </w:r>
      <w:r>
        <w:rPr>
          <w:rFonts w:ascii="Times New Roman" w:hAnsi="Times New Roman" w:cs="Times New Roman" w:eastAsia="Times New Roman" w:hint="default"/>
          <w:spacing w:val="-1"/>
        </w:rPr>
        <w:t>78,418</w:t>
      </w:r>
      <w:r>
        <w:rPr>
          <w:spacing w:val="-1"/>
        </w:rPr>
        <w:t>家，普通小学数量则达</w:t>
      </w:r>
      <w:r>
        <w:rPr>
          <w:rFonts w:ascii="Times New Roman" w:hAnsi="Times New Roman" w:cs="Times New Roman" w:eastAsia="Times New Roman" w:hint="default"/>
          <w:spacing w:val="-1"/>
        </w:rPr>
        <w:t>213,529</w:t>
      </w:r>
      <w:r>
        <w:rPr>
          <w:spacing w:val="-1"/>
        </w:rPr>
        <w:t>家，从建设广度来看，校园一</w:t>
      </w:r>
    </w:p>
    <w:p>
      <w:pPr>
        <w:spacing w:after="0" w:line="386" w:lineRule="auto"/>
        <w:jc w:val="both"/>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398" w:lineRule="auto" w:before="35"/>
        <w:ind w:left="573" w:right="95" w:hanging="420"/>
        <w:jc w:val="left"/>
      </w:pPr>
      <w:r>
        <w:rPr/>
        <w:t>卡通的未来市场潜力巨大。 </w:t>
      </w:r>
      <w:r>
        <w:rPr>
          <w:rFonts w:ascii="Times New Roman" w:hAnsi="Times New Roman" w:cs="Times New Roman" w:eastAsia="Times New Roman" w:hint="default"/>
        </w:rPr>
        <w:t>4</w:t>
      </w:r>
      <w:r>
        <w:rPr/>
        <w:t>、校园一卡通的功能日益丰富，应用深度不断提高，基于校园一卡通的大数据分析也逐渐兴起 </w:t>
      </w:r>
      <w:r>
        <w:rPr>
          <w:spacing w:val="-1"/>
        </w:rPr>
        <w:t>近年来，校园一卡通的应用日益成熟，功能不断拓展和丰富，目前已涵盖了从学生入学至毕业离校的</w:t>
      </w:r>
    </w:p>
    <w:p>
      <w:pPr>
        <w:pStyle w:val="BodyText"/>
        <w:spacing w:line="408" w:lineRule="auto" w:before="54"/>
        <w:ind w:right="211"/>
        <w:jc w:val="both"/>
      </w:pPr>
      <w:r>
        <w:rPr>
          <w:spacing w:val="-1"/>
        </w:rPr>
        <w:t>学习、生活的各个方面，包括餐饮收费、学校班车、上机收费、医院收费、购物消费、费用缴纳等消费管</w:t>
      </w:r>
      <w:r>
        <w:rPr>
          <w:spacing w:val="-85"/>
        </w:rPr>
        <w:t> </w:t>
      </w:r>
      <w:r>
        <w:rPr>
          <w:spacing w:val="-85"/>
        </w:rPr>
      </w:r>
      <w:r>
        <w:rPr>
          <w:spacing w:val="-1"/>
        </w:rPr>
        <w:t>理，以及注册报到、门禁、考勤、签到、图书借阅、寄存柜、考试管理、补助发放、银校圈存转账、无障</w:t>
      </w:r>
      <w:r>
        <w:rPr>
          <w:spacing w:val="-88"/>
        </w:rPr>
        <w:t> </w:t>
      </w:r>
      <w:r>
        <w:rPr>
          <w:spacing w:val="-88"/>
        </w:rPr>
      </w:r>
      <w:r>
        <w:rPr/>
        <w:t>碍通道、停车场应用、浴室水控、开水管理、水电购买、离校等身份识别和管理功能。</w:t>
      </w:r>
    </w:p>
    <w:p>
      <w:pPr>
        <w:pStyle w:val="BodyText"/>
        <w:spacing w:line="408" w:lineRule="auto"/>
        <w:ind w:left="153" w:right="102" w:firstLine="420"/>
        <w:jc w:val="left"/>
      </w:pPr>
      <w:r>
        <w:rPr/>
        <w:t>随着智能一卡通的技术不断升级和应用功能不断优化，在人机交互、业务流程等方面也更加智能化、 人性化，更加贴合学校和学生的实际需求，如大量业务的自助服务模式被推广应用，学生可借助自助发卡 机、自助补卡机、自助充值机、圈存机、自助打印机、自助洗衣机等自助终端，实现自助发卡、补卡、挂 失、充值、圈存、银校转账、自助成绩单打印、自助打印复印、自助洗衣等功能，打破了校园管理长期大 量依赖人工的操作方式，降低了校园服务的成本，也极大的提高了学生使用的便捷性。在系统运维方面， 早期校园一卡通系统在设计时大多对系统管理和运维的重视程度不足，缺乏监控和智能报警机制，随着发 卡量不断增加、应用系统不断拓展、存储数据不断累积，系统的运营维护和管理难度不断提高，越来越多 </w:t>
      </w:r>
      <w:r>
        <w:rPr>
          <w:spacing w:val="-3"/>
        </w:rPr>
        <w:t>的学校开始加大系统运营维护的投入，部分学校还新增了校园一卡通监控系统、设备管理系统等应用系统，</w:t>
      </w:r>
      <w:r>
        <w:rPr>
          <w:spacing w:val="-92"/>
        </w:rPr>
        <w:t> </w:t>
      </w:r>
      <w:r>
        <w:rPr>
          <w:spacing w:val="-92"/>
        </w:rPr>
      </w:r>
      <w:r>
        <w:rPr/>
        <w:t>对校园一卡通相关的硬件终端、软件系统进行集中管理、统一监控、智能报警和及时维护。</w:t>
      </w:r>
    </w:p>
    <w:p>
      <w:pPr>
        <w:pStyle w:val="BodyText"/>
        <w:spacing w:line="408" w:lineRule="auto"/>
        <w:ind w:left="153" w:right="102" w:firstLine="420"/>
        <w:jc w:val="left"/>
      </w:pPr>
      <w:r>
        <w:rPr/>
        <w:t>此外，随着大数据时代的到来，基于校园一卡通的大数据应用也逐渐兴起。校园一卡通数据具有样本 量大、真实、可信度高等特点，将校园一卡通各个应用子系统的业务信息数据进行整合集成，并进行深入 的数据分析和挖掘，能够帮助学校更好的掌握学生就餐、消费、图书借阅、上课、上机、出入宿舍等生活 和学习的活动轨迹和规律，为后勤、教务、图书馆、食堂、校园商户的管理和决策提供极具参考价值的数 据支撑。如通过对学生日常刷卡消费数据进行分析，能真实了解学生的消费水平和消费习惯，从而帮助学 校确定国家困难补贴对象和补贴力度，并可更加科学的规划食堂、小卖部等相关后勤服务部门的人员配备 </w:t>
      </w:r>
      <w:r>
        <w:rPr>
          <w:spacing w:val="-3"/>
        </w:rPr>
        <w:t>和营业时间。现有校园一卡通系统在设计时大多偏重于多系统、多卡片的整合与应用，存在数据分散流失、</w:t>
      </w:r>
      <w:r>
        <w:rPr>
          <w:spacing w:val="-90"/>
        </w:rPr>
        <w:t> </w:t>
      </w:r>
      <w:r>
        <w:rPr>
          <w:spacing w:val="-90"/>
        </w:rPr>
      </w:r>
      <w:r>
        <w:rPr/>
        <w:t>整合分析能力不足等问题。目前，基于校园一卡通的数据分析和挖掘还处于大规模推广的初级阶段，持卡</w:t>
      </w:r>
      <w:r>
        <w:rPr/>
        <w:t> 人行为分析系统、决策支持系统的应用范围还较为局限，数据挖掘深度也有待提高。未来，基于校园一卡 通系统的大数据应用前景广阔。</w:t>
      </w:r>
    </w:p>
    <w:p>
      <w:pPr>
        <w:pStyle w:val="BodyText"/>
        <w:spacing w:line="386" w:lineRule="auto"/>
        <w:ind w:left="574" w:right="95" w:hanging="1"/>
        <w:jc w:val="left"/>
      </w:pPr>
      <w:r>
        <w:rPr>
          <w:rFonts w:ascii="Times New Roman" w:hAnsi="Times New Roman" w:cs="Times New Roman" w:eastAsia="Times New Roman" w:hint="default"/>
        </w:rPr>
        <w:t>5</w:t>
      </w:r>
      <w:r>
        <w:rPr/>
        <w:t>、在国家政策的大力推动下，金融</w:t>
      </w:r>
      <w:r>
        <w:rPr>
          <w:rFonts w:ascii="Times New Roman" w:hAnsi="Times New Roman" w:cs="Times New Roman" w:eastAsia="Times New Roman" w:hint="default"/>
        </w:rPr>
        <w:t>IC</w:t>
      </w:r>
      <w:r>
        <w:rPr/>
        <w:t>卡被大规模推广应用 </w:t>
      </w:r>
      <w:r>
        <w:rPr>
          <w:spacing w:val="-1"/>
        </w:rPr>
        <w:t>金融</w:t>
      </w:r>
      <w:r>
        <w:rPr>
          <w:rFonts w:ascii="Times New Roman" w:hAnsi="Times New Roman" w:cs="Times New Roman" w:eastAsia="Times New Roman" w:hint="default"/>
          <w:spacing w:val="-1"/>
        </w:rPr>
        <w:t>IC</w:t>
      </w:r>
      <w:r>
        <w:rPr>
          <w:spacing w:val="-1"/>
        </w:rPr>
        <w:t>卡是由商业银行（信用社）或支付机构发行的具有消费信用、转账结算、现金存取等全部或部</w:t>
      </w:r>
    </w:p>
    <w:p>
      <w:pPr>
        <w:pStyle w:val="BodyText"/>
        <w:spacing w:line="398" w:lineRule="auto" w:before="35"/>
        <w:ind w:right="95"/>
        <w:jc w:val="left"/>
      </w:pPr>
      <w:r>
        <w:rPr>
          <w:spacing w:val="-1"/>
        </w:rPr>
        <w:t>分功能，也可以具有其他商业服务和社会管理功能的金融工具，是为替代安全性相对较差的磁条卡而推出</w:t>
      </w:r>
      <w:r>
        <w:rPr>
          <w:spacing w:val="-81"/>
        </w:rPr>
        <w:t> </w:t>
      </w:r>
      <w:r>
        <w:rPr>
          <w:spacing w:val="-81"/>
        </w:rPr>
      </w:r>
      <w:r>
        <w:rPr/>
        <w:t>的卡片，其集社保、交通、医疗、教育、通讯、购物、娱乐、水电煤缴费等行业应用于一体，可实现</w:t>
      </w:r>
      <w:r>
        <w:rPr>
          <w:rFonts w:ascii="Times New Roman" w:hAnsi="Times New Roman" w:cs="Times New Roman" w:eastAsia="Times New Roman" w:hint="default"/>
        </w:rPr>
        <w:t>“</w:t>
      </w:r>
      <w:r>
        <w:rPr/>
        <w:t>一 </w:t>
      </w:r>
      <w:r>
        <w:rPr>
          <w:spacing w:val="-1"/>
        </w:rPr>
        <w:t>卡多用</w:t>
      </w:r>
      <w:r>
        <w:rPr>
          <w:rFonts w:ascii="Times New Roman" w:hAnsi="Times New Roman" w:cs="Times New Roman" w:eastAsia="Times New Roman" w:hint="default"/>
          <w:spacing w:val="-1"/>
        </w:rPr>
        <w:t>”</w:t>
      </w:r>
      <w:r>
        <w:rPr>
          <w:spacing w:val="-1"/>
        </w:rPr>
        <w:t>。自</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3</w:t>
      </w:r>
      <w:r>
        <w:rPr>
          <w:spacing w:val="-1"/>
        </w:rPr>
        <w:t>月启动金融</w:t>
      </w:r>
      <w:r>
        <w:rPr>
          <w:rFonts w:ascii="Times New Roman" w:hAnsi="Times New Roman" w:cs="Times New Roman" w:eastAsia="Times New Roman" w:hint="default"/>
          <w:spacing w:val="-1"/>
        </w:rPr>
        <w:t>IC</w:t>
      </w:r>
      <w:r>
        <w:rPr>
          <w:spacing w:val="-1"/>
        </w:rPr>
        <w:t>卡应用推广以来，人民银行已先后出台了《中国人民银行关于推进金融</w:t>
      </w:r>
    </w:p>
    <w:p>
      <w:pPr>
        <w:spacing w:after="0" w:line="398" w:lineRule="auto"/>
        <w:jc w:val="left"/>
        <w:sectPr>
          <w:footerReference w:type="default" r:id="rId21"/>
          <w:pgSz w:w="11910" w:h="16840"/>
          <w:pgMar w:footer="982" w:header="877" w:top="1100" w:bottom="1180" w:left="980" w:right="920"/>
          <w:pgNumType w:start="43"/>
        </w:sectPr>
      </w:pPr>
    </w:p>
    <w:p>
      <w:pPr>
        <w:spacing w:line="240" w:lineRule="auto" w:before="8"/>
        <w:rPr>
          <w:rFonts w:ascii="宋体" w:hAnsi="宋体" w:cs="宋体" w:eastAsia="宋体" w:hint="default"/>
          <w:sz w:val="26"/>
          <w:szCs w:val="26"/>
        </w:rPr>
      </w:pPr>
    </w:p>
    <w:p>
      <w:pPr>
        <w:pStyle w:val="BodyText"/>
        <w:spacing w:line="386" w:lineRule="auto" w:before="35"/>
        <w:ind w:left="153" w:right="211"/>
        <w:jc w:val="both"/>
      </w:pPr>
      <w:r>
        <w:rPr>
          <w:rFonts w:ascii="Times New Roman" w:hAnsi="Times New Roman" w:cs="Times New Roman" w:eastAsia="Times New Roman" w:hint="default"/>
          <w:spacing w:val="-1"/>
        </w:rPr>
        <w:t>IC</w:t>
      </w:r>
      <w:r>
        <w:rPr>
          <w:spacing w:val="-1"/>
        </w:rPr>
        <w:t>卡应用工作的意见》、《关于选择部分城市开展金融</w:t>
      </w:r>
      <w:r>
        <w:rPr>
          <w:rFonts w:ascii="Times New Roman" w:hAnsi="Times New Roman" w:cs="Times New Roman" w:eastAsia="Times New Roman" w:hint="default"/>
          <w:spacing w:val="-1"/>
        </w:rPr>
        <w:t>IC</w:t>
      </w:r>
      <w:r>
        <w:rPr>
          <w:spacing w:val="-1"/>
        </w:rPr>
        <w:t>卡在公共服务领域中应用工作的通知》、《关于</w:t>
      </w:r>
      <w:r>
        <w:rPr>
          <w:spacing w:val="-83"/>
        </w:rPr>
        <w:t> </w:t>
      </w:r>
      <w:r>
        <w:rPr>
          <w:spacing w:val="-83"/>
        </w:rPr>
      </w:r>
      <w:r>
        <w:rPr>
          <w:spacing w:val="-1"/>
        </w:rPr>
        <w:t>逐步关闭金融</w:t>
      </w:r>
      <w:r>
        <w:rPr>
          <w:rFonts w:ascii="Times New Roman" w:hAnsi="Times New Roman" w:cs="Times New Roman" w:eastAsia="Times New Roman" w:hint="default"/>
          <w:spacing w:val="-1"/>
        </w:rPr>
        <w:t>IC</w:t>
      </w:r>
      <w:r>
        <w:rPr>
          <w:spacing w:val="-1"/>
        </w:rPr>
        <w:t>卡降级交易有关事项的通知》、《关于进一步做好金融</w:t>
      </w:r>
      <w:r>
        <w:rPr>
          <w:rFonts w:ascii="Times New Roman" w:hAnsi="Times New Roman" w:cs="Times New Roman" w:eastAsia="Times New Roman" w:hint="default"/>
          <w:spacing w:val="-1"/>
        </w:rPr>
        <w:t>IC</w:t>
      </w:r>
      <w:r>
        <w:rPr>
          <w:spacing w:val="-1"/>
        </w:rPr>
        <w:t>卡应用工作的通知》等多项政策</w:t>
      </w:r>
      <w:r>
        <w:rPr>
          <w:spacing w:val="-82"/>
        </w:rPr>
        <w:t> </w:t>
      </w:r>
      <w:r>
        <w:rPr>
          <w:spacing w:val="-82"/>
        </w:rPr>
      </w:r>
      <w:r>
        <w:rPr>
          <w:spacing w:val="-1"/>
        </w:rPr>
        <w:t>措施，以推动金融</w:t>
      </w:r>
      <w:r>
        <w:rPr>
          <w:rFonts w:ascii="Times New Roman" w:hAnsi="Times New Roman" w:cs="Times New Roman" w:eastAsia="Times New Roman" w:hint="default"/>
          <w:spacing w:val="-1"/>
        </w:rPr>
        <w:t>IC</w:t>
      </w:r>
      <w:r>
        <w:rPr>
          <w:spacing w:val="-1"/>
        </w:rPr>
        <w:t>卡的推广应用，我国金融</w:t>
      </w:r>
      <w:r>
        <w:rPr>
          <w:rFonts w:ascii="Times New Roman" w:hAnsi="Times New Roman" w:cs="Times New Roman" w:eastAsia="Times New Roman" w:hint="default"/>
          <w:spacing w:val="-1"/>
        </w:rPr>
        <w:t>IC</w:t>
      </w:r>
      <w:r>
        <w:rPr>
          <w:spacing w:val="-1"/>
        </w:rPr>
        <w:t>卡的推广也已取得了显著成绩，根据中国银联</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10</w:t>
      </w:r>
      <w:r>
        <w:rPr>
          <w:spacing w:val="-1"/>
        </w:rPr>
        <w:t>月</w:t>
      </w:r>
      <w:r>
        <w:rPr>
          <w:spacing w:val="-83"/>
        </w:rPr>
        <w:t> </w:t>
      </w:r>
      <w:r>
        <w:rPr>
          <w:spacing w:val="-1"/>
        </w:rPr>
        <w:t>的数据，银联</w:t>
      </w:r>
      <w:r>
        <w:rPr>
          <w:rFonts w:ascii="Times New Roman" w:hAnsi="Times New Roman" w:cs="Times New Roman" w:eastAsia="Times New Roman" w:hint="default"/>
          <w:spacing w:val="-1"/>
        </w:rPr>
        <w:t>IC</w:t>
      </w:r>
      <w:r>
        <w:rPr>
          <w:spacing w:val="-1"/>
        </w:rPr>
        <w:t>卡的发卡量已突破</w:t>
      </w:r>
      <w:r>
        <w:rPr>
          <w:rFonts w:ascii="Times New Roman" w:hAnsi="Times New Roman" w:cs="Times New Roman" w:eastAsia="Times New Roman" w:hint="default"/>
          <w:spacing w:val="-1"/>
        </w:rPr>
        <w:t>10</w:t>
      </w:r>
      <w:r>
        <w:rPr>
          <w:spacing w:val="-1"/>
        </w:rPr>
        <w:t>亿张，在公共交通、社会保障、医疗卫生、文化教育、城市管理、生</w:t>
      </w:r>
      <w:r>
        <w:rPr>
          <w:spacing w:val="-85"/>
        </w:rPr>
        <w:t> </w:t>
      </w:r>
      <w:r>
        <w:rPr>
          <w:spacing w:val="-85"/>
        </w:rPr>
      </w:r>
      <w:r>
        <w:rPr/>
        <w:t>活服务、企业服务等领域的应用也已经实现突破。</w:t>
      </w:r>
    </w:p>
    <w:p>
      <w:pPr>
        <w:pStyle w:val="BodyText"/>
        <w:spacing w:line="386" w:lineRule="auto" w:before="65"/>
        <w:ind w:left="153" w:right="211" w:firstLine="420"/>
        <w:jc w:val="both"/>
      </w:pPr>
      <w:r>
        <w:rPr>
          <w:spacing w:val="-1"/>
        </w:rPr>
        <w:t>金融</w:t>
      </w:r>
      <w:r>
        <w:rPr>
          <w:rFonts w:ascii="Times New Roman" w:hAnsi="Times New Roman" w:cs="Times New Roman" w:eastAsia="Times New Roman" w:hint="default"/>
          <w:spacing w:val="-1"/>
        </w:rPr>
        <w:t>IC</w:t>
      </w:r>
      <w:r>
        <w:rPr>
          <w:spacing w:val="-1"/>
        </w:rPr>
        <w:t>卡的大规模推广应用和普及，将极大的推动智慧城市及城市一卡通系统的建设，而部分学校基</w:t>
      </w:r>
      <w:r>
        <w:rPr/>
        <w:t> </w:t>
      </w:r>
      <w:r>
        <w:rPr>
          <w:spacing w:val="-1"/>
        </w:rPr>
        <w:t>于校园卡与城市公共服务对接的考虑，也开始要求校园一卡通采用金融</w:t>
      </w:r>
      <w:r>
        <w:rPr>
          <w:rFonts w:ascii="Times New Roman" w:hAnsi="Times New Roman" w:cs="Times New Roman" w:eastAsia="Times New Roman" w:hint="default"/>
          <w:spacing w:val="-1"/>
        </w:rPr>
        <w:t>IC</w:t>
      </w:r>
      <w:r>
        <w:rPr>
          <w:spacing w:val="-1"/>
        </w:rPr>
        <w:t>卡的相关技术和标准，这都将为</w:t>
      </w:r>
      <w:r>
        <w:rPr>
          <w:spacing w:val="-81"/>
        </w:rPr>
        <w:t> </w:t>
      </w:r>
      <w:r>
        <w:rPr>
          <w:spacing w:val="-81"/>
        </w:rPr>
      </w:r>
      <w:r>
        <w:rPr/>
        <w:t>智能一卡通行业带来巨大的市场需求。</w:t>
      </w:r>
    </w:p>
    <w:p>
      <w:pPr>
        <w:pStyle w:val="BodyText"/>
        <w:spacing w:line="386" w:lineRule="auto" w:before="65"/>
        <w:ind w:left="574" w:right="95" w:hanging="1"/>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NFC</w:t>
      </w:r>
      <w:r>
        <w:rPr/>
        <w:t>移动支付逐渐兴起，为校园一卡通行业带来了新的增长动力 </w:t>
      </w:r>
      <w:r>
        <w:rPr>
          <w:spacing w:val="-3"/>
        </w:rPr>
        <w:t>近年来，随着智能手机不断普及，我国手机支付产业获得较快发展。手机支付是以手机作为支付终端，</w:t>
      </w:r>
    </w:p>
    <w:p>
      <w:pPr>
        <w:pStyle w:val="BodyText"/>
        <w:spacing w:line="393" w:lineRule="auto" w:before="65"/>
        <w:ind w:right="95"/>
        <w:jc w:val="left"/>
      </w:pPr>
      <w:r>
        <w:rPr/>
        <w:t>基于无线通信网络与后台服务器之间的远程信息交互（即远程支付），或基于手机与受理终端的近场信息 交互发起支付指令（即近场支付），实现货币资金转移的支付方式，其中近场支付中</w:t>
      </w:r>
      <w:r>
        <w:rPr>
          <w:rFonts w:ascii="Times New Roman" w:hAnsi="Times New Roman" w:cs="Times New Roman" w:eastAsia="Times New Roman" w:hint="default"/>
        </w:rPr>
        <w:t>NFC</w:t>
      </w:r>
      <w:r>
        <w:rPr/>
        <w:t>技术由于其安全 性高、能耗低、传输速度快等优势成为主流的技术方案。</w:t>
      </w:r>
      <w:r>
        <w:rPr>
          <w:rFonts w:ascii="Times New Roman" w:hAnsi="Times New Roman" w:cs="Times New Roman" w:eastAsia="Times New Roman" w:hint="default"/>
        </w:rPr>
        <w:t>NFC</w:t>
      </w:r>
      <w:r>
        <w:rPr/>
        <w:t>近场支付主要利用</w:t>
      </w:r>
      <w:r>
        <w:rPr>
          <w:rFonts w:ascii="Times New Roman" w:hAnsi="Times New Roman" w:cs="Times New Roman" w:eastAsia="Times New Roman" w:hint="default"/>
        </w:rPr>
        <w:t>RFID</w:t>
      </w:r>
      <w:r>
        <w:rPr/>
        <w:t>技术，使手机和自动 售货机、</w:t>
      </w:r>
      <w:r>
        <w:rPr>
          <w:rFonts w:ascii="Times New Roman" w:hAnsi="Times New Roman" w:cs="Times New Roman" w:eastAsia="Times New Roman" w:hint="default"/>
        </w:rPr>
        <w:t>POS</w:t>
      </w:r>
      <w:r>
        <w:rPr/>
        <w:t>终端、汽车停放收费表等终端设备之间实现本地化通讯，是智能一卡通行业</w:t>
      </w:r>
      <w:r>
        <w:rPr>
          <w:rFonts w:ascii="Times New Roman" w:hAnsi="Times New Roman" w:cs="Times New Roman" w:eastAsia="Times New Roman" w:hint="default"/>
        </w:rPr>
        <w:t>RFID</w:t>
      </w:r>
      <w:r>
        <w:rPr/>
        <w:t>和智能卡技 </w:t>
      </w:r>
      <w:r>
        <w:rPr>
          <w:spacing w:val="-3"/>
        </w:rPr>
        <w:t>术在手机载体上应用的典型业务。</w:t>
      </w:r>
      <w:r>
        <w:rPr>
          <w:rFonts w:ascii="Times New Roman" w:hAnsi="Times New Roman" w:cs="Times New Roman" w:eastAsia="Times New Roman" w:hint="default"/>
          <w:spacing w:val="-3"/>
        </w:rPr>
        <w:t>NFC</w:t>
      </w:r>
      <w:r>
        <w:rPr>
          <w:spacing w:val="-3"/>
        </w:rPr>
        <w:t>手机能够满足智能一卡通应用的多数功能和场景，如面向个人用户，</w:t>
      </w:r>
      <w:r>
        <w:rPr>
          <w:spacing w:val="-80"/>
        </w:rPr>
        <w:t> </w:t>
      </w:r>
      <w:r>
        <w:rPr>
          <w:spacing w:val="-80"/>
        </w:rPr>
      </w:r>
      <w:r>
        <w:rPr/>
        <w:t>能够满足综合交通、公共缴费以及商户小额消费现场便利支付需求，而将其应用到学校、企事业行业中， 则可很好的实现校园、企事业一卡通的餐饮、门禁、考勤、停车收费等全部的功能。</w:t>
      </w:r>
    </w:p>
    <w:p>
      <w:pPr>
        <w:pStyle w:val="BodyText"/>
        <w:spacing w:line="391" w:lineRule="auto" w:before="59"/>
        <w:ind w:right="209" w:firstLine="420"/>
        <w:jc w:val="both"/>
      </w:pPr>
      <w:r>
        <w:rPr>
          <w:spacing w:val="-1"/>
        </w:rPr>
        <w:t>随着近场支付相关技术标准逐渐统一、受理环境不断改善、政策环境逐渐成熟，在国家政策和三大运</w:t>
      </w:r>
      <w:r>
        <w:rPr/>
        <w:t> </w:t>
      </w:r>
      <w:r>
        <w:rPr>
          <w:spacing w:val="-1"/>
        </w:rPr>
        <w:t>营商的大力推动下，凭借安全性、应用场景、便捷性等方面的优势，我国</w:t>
      </w:r>
      <w:r>
        <w:rPr>
          <w:rFonts w:ascii="Times New Roman" w:hAnsi="Times New Roman" w:cs="Times New Roman" w:eastAsia="Times New Roman" w:hint="default"/>
          <w:spacing w:val="-1"/>
        </w:rPr>
        <w:t>NFC</w:t>
      </w:r>
      <w:r>
        <w:rPr>
          <w:spacing w:val="-1"/>
        </w:rPr>
        <w:t>近场支付产业进入发展的黄</w:t>
      </w:r>
      <w:r>
        <w:rPr>
          <w:spacing w:val="-73"/>
        </w:rPr>
        <w:t> </w:t>
      </w:r>
      <w:r>
        <w:rPr>
          <w:spacing w:val="-1"/>
        </w:rPr>
        <w:t>金时期，为智能一卡通行业带来了巨大的发展机遇。此外，</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2011</w:t>
      </w:r>
      <w:r>
        <w:rPr>
          <w:spacing w:val="-1"/>
        </w:rPr>
        <w:t>年在三大运营的主导下大规模建</w:t>
      </w:r>
      <w:r>
        <w:rPr>
          <w:spacing w:val="-83"/>
        </w:rPr>
        <w:t> </w:t>
      </w:r>
      <w:r>
        <w:rPr>
          <w:spacing w:val="-83"/>
        </w:rPr>
      </w:r>
      <w:r>
        <w:rPr>
          <w:spacing w:val="-1"/>
        </w:rPr>
        <w:t>设实施的</w:t>
      </w:r>
      <w:r>
        <w:rPr>
          <w:rFonts w:ascii="Times New Roman" w:hAnsi="Times New Roman" w:cs="Times New Roman" w:eastAsia="Times New Roman" w:hint="default"/>
          <w:spacing w:val="-1"/>
        </w:rPr>
        <w:t>NFC</w:t>
      </w:r>
      <w:r>
        <w:rPr>
          <w:spacing w:val="-1"/>
        </w:rPr>
        <w:t>手机一卡通系统，也随着技术标准逐渐统一，且因终端硬件磨损、软件系统升级等原因而进</w:t>
      </w:r>
      <w:r>
        <w:rPr>
          <w:spacing w:val="-71"/>
        </w:rPr>
        <w:t> </w:t>
      </w:r>
      <w:r>
        <w:rPr>
          <w:spacing w:val="-71"/>
        </w:rPr>
      </w:r>
      <w:r>
        <w:rPr/>
        <w:t>入</w:t>
      </w:r>
      <w:r>
        <w:rPr>
          <w:rFonts w:ascii="Times New Roman" w:hAnsi="Times New Roman" w:cs="Times New Roman" w:eastAsia="Times New Roman" w:hint="default"/>
        </w:rPr>
        <w:t>5-8</w:t>
      </w:r>
      <w:r>
        <w:rPr/>
        <w:t>年的升级换代期，而为智能一卡通行业带来了大量的市场需求。</w:t>
      </w:r>
    </w:p>
    <w:p>
      <w:pPr>
        <w:pStyle w:val="BodyText"/>
        <w:spacing w:line="391" w:lineRule="auto" w:before="30"/>
        <w:ind w:right="95" w:firstLine="420"/>
        <w:jc w:val="left"/>
      </w:pPr>
      <w:r>
        <w:rPr/>
        <w:t>拥有相当规模的高素质群体、新技术接受能力强、手机普及率和使用频率较高的校园是各大运营商 </w:t>
      </w:r>
      <w:r>
        <w:rPr>
          <w:rFonts w:ascii="Times New Roman" w:hAnsi="Times New Roman" w:cs="Times New Roman" w:eastAsia="Times New Roman" w:hint="default"/>
        </w:rPr>
        <w:t>NFC</w:t>
      </w:r>
      <w:r>
        <w:rPr/>
        <w:t>手机一卡通业务争相推广的重点客户，</w:t>
      </w:r>
      <w:r>
        <w:rPr>
          <w:rFonts w:ascii="Times New Roman" w:hAnsi="Times New Roman" w:cs="Times New Roman" w:eastAsia="Times New Roman" w:hint="default"/>
        </w:rPr>
        <w:t>NFC</w:t>
      </w:r>
      <w:r>
        <w:rPr/>
        <w:t>手机一卡通成为校园一卡通的重要补充和升级，学生可以</w:t>
      </w:r>
      <w:r>
        <w:rPr>
          <w:w w:val="100"/>
        </w:rPr>
        <w:t> </w:t>
      </w:r>
      <w:r>
        <w:rPr>
          <w:spacing w:val="-3"/>
        </w:rPr>
        <w:t>使用</w:t>
      </w:r>
      <w:r>
        <w:rPr>
          <w:rFonts w:ascii="Times New Roman" w:hAnsi="Times New Roman" w:cs="Times New Roman" w:eastAsia="Times New Roman" w:hint="default"/>
          <w:spacing w:val="-3"/>
        </w:rPr>
        <w:t>NFC</w:t>
      </w:r>
      <w:r>
        <w:rPr>
          <w:spacing w:val="-3"/>
        </w:rPr>
        <w:t>手机进行刷手机消费、刷手机开门、刷手机打开水、刷手机出入图书馆、刷手机乘坐校园巴士等，</w:t>
      </w:r>
      <w:r>
        <w:rPr>
          <w:spacing w:val="-79"/>
        </w:rPr>
        <w:t> </w:t>
      </w:r>
      <w:r>
        <w:rPr>
          <w:spacing w:val="-79"/>
        </w:rPr>
      </w:r>
      <w:r>
        <w:rPr/>
        <w:t>还可以通过手机一卡通的</w:t>
      </w:r>
      <w:r>
        <w:rPr>
          <w:rFonts w:ascii="Times New Roman" w:hAnsi="Times New Roman" w:cs="Times New Roman" w:eastAsia="Times New Roman" w:hint="default"/>
        </w:rPr>
        <w:t>“</w:t>
      </w:r>
      <w:r>
        <w:rPr/>
        <w:t>空中圈存</w:t>
      </w:r>
      <w:r>
        <w:rPr>
          <w:rFonts w:ascii="Times New Roman" w:hAnsi="Times New Roman" w:cs="Times New Roman" w:eastAsia="Times New Roman" w:hint="default"/>
        </w:rPr>
        <w:t>”</w:t>
      </w:r>
      <w:r>
        <w:rPr/>
        <w:t>功能，实时将资金充入电子消费钱包中，校园一卡通的主要功能（除 浴室水控等相对恶劣的应用环境外）均可以用手机载体来完成，真正实现</w:t>
      </w:r>
      <w:r>
        <w:rPr>
          <w:rFonts w:ascii="Times New Roman" w:hAnsi="Times New Roman" w:cs="Times New Roman" w:eastAsia="Times New Roman" w:hint="default"/>
        </w:rPr>
        <w:t>“</w:t>
      </w:r>
      <w:r>
        <w:rPr/>
        <w:t>一机（卡）在手，走遍校园</w:t>
      </w:r>
      <w:r>
        <w:rPr>
          <w:rFonts w:ascii="Times New Roman" w:hAnsi="Times New Roman" w:cs="Times New Roman" w:eastAsia="Times New Roman" w:hint="default"/>
        </w:rPr>
        <w:t>”</w:t>
      </w:r>
      <w:r>
        <w:rPr/>
        <w:t>。</w:t>
      </w:r>
    </w:p>
    <w:p>
      <w:pPr>
        <w:pStyle w:val="BodyText"/>
        <w:spacing w:line="386" w:lineRule="auto" w:before="30"/>
        <w:ind w:left="574" w:right="333" w:hanging="1"/>
        <w:jc w:val="left"/>
        <w:rPr>
          <w:rFonts w:ascii="Times New Roman" w:hAnsi="Times New Roman" w:cs="Times New Roman" w:eastAsia="Times New Roman" w:hint="default"/>
        </w:rPr>
      </w:pPr>
      <w:r>
        <w:rPr>
          <w:rFonts w:ascii="Times New Roman" w:hAnsi="Times New Roman" w:cs="Times New Roman" w:eastAsia="Times New Roman" w:hint="default"/>
        </w:rPr>
        <w:t>7</w:t>
      </w:r>
      <w:r>
        <w:rPr/>
        <w:t>、我国移动互联网产业迅速发展，与智能一卡通行业的融合带来了新的盈利空间 近年来，我国移动互联网用户规模快速增长，智能移动终端迅速普及，根据</w:t>
      </w:r>
      <w:r>
        <w:rPr>
          <w:rFonts w:ascii="Times New Roman" w:hAnsi="Times New Roman" w:cs="Times New Roman" w:eastAsia="Times New Roman" w:hint="default"/>
        </w:rPr>
        <w:t>Wind</w:t>
      </w:r>
      <w:r>
        <w:rPr/>
        <w:t>的数据，截至</w:t>
      </w:r>
      <w:r>
        <w:rPr>
          <w:rFonts w:ascii="Times New Roman" w:hAnsi="Times New Roman" w:cs="Times New Roman" w:eastAsia="Times New Roman" w:hint="default"/>
        </w:rPr>
        <w:t>2015</w:t>
      </w:r>
    </w:p>
    <w:p>
      <w:pPr>
        <w:pStyle w:val="BodyText"/>
        <w:spacing w:line="240" w:lineRule="auto" w:before="35"/>
        <w:ind w:right="0"/>
        <w:jc w:val="left"/>
      </w:pPr>
      <w:r>
        <w:rPr>
          <w:spacing w:val="-4"/>
        </w:rPr>
        <w:t>年</w:t>
      </w:r>
      <w:r>
        <w:rPr>
          <w:rFonts w:ascii="Times New Roman" w:hAnsi="Times New Roman" w:cs="Times New Roman" w:eastAsia="Times New Roman" w:hint="default"/>
          <w:spacing w:val="-4"/>
        </w:rPr>
        <w:t>6</w:t>
      </w:r>
      <w:r>
        <w:rPr>
          <w:spacing w:val="-4"/>
        </w:rPr>
        <w:t>月，我国手机网民规模为</w:t>
      </w:r>
      <w:r>
        <w:rPr>
          <w:rFonts w:ascii="Times New Roman" w:hAnsi="Times New Roman" w:cs="Times New Roman" w:eastAsia="Times New Roman" w:hint="default"/>
          <w:spacing w:val="-4"/>
        </w:rPr>
        <w:t>5.94</w:t>
      </w:r>
      <w:r>
        <w:rPr>
          <w:spacing w:val="-4"/>
        </w:rPr>
        <w:t>亿，同比增长</w:t>
      </w:r>
      <w:r>
        <w:rPr>
          <w:rFonts w:ascii="Times New Roman" w:hAnsi="Times New Roman" w:cs="Times New Roman" w:eastAsia="Times New Roman" w:hint="default"/>
          <w:spacing w:val="-4"/>
        </w:rPr>
        <w:t>12.62%</w:t>
      </w:r>
      <w:r>
        <w:rPr>
          <w:spacing w:val="-4"/>
        </w:rPr>
        <w:t>，这为我国移动互联网产业的崛起奠定了坚实的基础。</w:t>
      </w:r>
    </w:p>
    <w:p>
      <w:pPr>
        <w:spacing w:after="0" w:line="240" w:lineRule="auto"/>
        <w:jc w:val="left"/>
        <w:sectPr>
          <w:footerReference w:type="default" r:id="rId22"/>
          <w:pgSz w:w="11910" w:h="16840"/>
          <w:pgMar w:footer="982" w:header="877" w:top="1100" w:bottom="1180" w:left="980" w:right="920"/>
          <w:pgNumType w:start="44"/>
        </w:sectPr>
      </w:pPr>
    </w:p>
    <w:p>
      <w:pPr>
        <w:spacing w:line="240" w:lineRule="auto" w:before="8"/>
        <w:rPr>
          <w:rFonts w:ascii="宋体" w:hAnsi="宋体" w:cs="宋体" w:eastAsia="宋体" w:hint="default"/>
          <w:sz w:val="26"/>
          <w:szCs w:val="26"/>
        </w:rPr>
      </w:pPr>
    </w:p>
    <w:p>
      <w:pPr>
        <w:pStyle w:val="BodyText"/>
        <w:spacing w:line="398" w:lineRule="auto" w:before="35"/>
        <w:ind w:left="153" w:right="102"/>
        <w:jc w:val="left"/>
      </w:pPr>
      <w:r>
        <w:rPr/>
        <w:t>随着</w:t>
      </w:r>
      <w:r>
        <w:rPr>
          <w:rFonts w:ascii="Times New Roman" w:hAnsi="Times New Roman" w:cs="Times New Roman" w:eastAsia="Times New Roman" w:hint="default"/>
        </w:rPr>
        <w:t>3G/4G</w:t>
      </w:r>
      <w:r>
        <w:rPr/>
        <w:t>通信技术的快速发展和大规模应用，移动互联网产业的商业环境不断成熟，传统互联网公司加 速移动端布局，新兴创业公司则专注于拓展各种细分领域，并开始探索商业化道路，移动互联网产业链不 </w:t>
      </w:r>
      <w:r>
        <w:rPr>
          <w:spacing w:val="-3"/>
        </w:rPr>
        <w:t>断丰富和完善，对社会生活服务各领域的渗透不断加大，移动增值服务、移动购物、移动营销、移动搜索、</w:t>
      </w:r>
      <w:r>
        <w:rPr>
          <w:spacing w:val="-94"/>
        </w:rPr>
        <w:t> </w:t>
      </w:r>
      <w:r>
        <w:rPr>
          <w:spacing w:val="-94"/>
        </w:rPr>
      </w:r>
      <w:r>
        <w:rPr/>
        <w:t>移动游戏等移动互联网的商业形态快速发展，移动互联网产业呈现爆发式增长。根据</w:t>
      </w:r>
      <w:r>
        <w:rPr>
          <w:rFonts w:ascii="Times New Roman" w:hAnsi="Times New Roman" w:cs="Times New Roman" w:eastAsia="Times New Roman" w:hint="default"/>
        </w:rPr>
        <w:t>Wind</w:t>
      </w:r>
      <w:r>
        <w:rPr/>
        <w:t>的数据，</w:t>
      </w:r>
      <w:r>
        <w:rPr>
          <w:rFonts w:ascii="Times New Roman" w:hAnsi="Times New Roman" w:cs="Times New Roman" w:eastAsia="Times New Roman" w:hint="default"/>
        </w:rPr>
        <w:t>2015 </w:t>
      </w:r>
      <w:r>
        <w:rPr/>
        <w:t>年第一季度中国移动互联网市场规模达到</w:t>
      </w:r>
      <w:r>
        <w:rPr>
          <w:rFonts w:ascii="Times New Roman" w:hAnsi="Times New Roman" w:cs="Times New Roman" w:eastAsia="Times New Roman" w:hint="default"/>
        </w:rPr>
        <w:t>761.6</w:t>
      </w:r>
      <w:r>
        <w:rPr/>
        <w:t>亿元，同比增速达到</w:t>
      </w:r>
      <w:r>
        <w:rPr>
          <w:rFonts w:ascii="Times New Roman" w:hAnsi="Times New Roman" w:cs="Times New Roman" w:eastAsia="Times New Roman" w:hint="default"/>
        </w:rPr>
        <w:t>117%</w:t>
      </w:r>
      <w:r>
        <w:rPr/>
        <w:t>。</w:t>
      </w:r>
    </w:p>
    <w:p>
      <w:pPr>
        <w:spacing w:line="220" w:lineRule="exact" w:before="0"/>
        <w:ind w:left="2497"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年至</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季度我国移动互联网市场规模（单位：亿元）</w:t>
      </w:r>
    </w:p>
    <w:p>
      <w:pPr>
        <w:spacing w:line="240" w:lineRule="auto" w:before="8"/>
        <w:rPr>
          <w:rFonts w:ascii="宋体" w:hAnsi="宋体" w:cs="宋体" w:eastAsia="宋体" w:hint="default"/>
          <w:sz w:val="8"/>
          <w:szCs w:val="8"/>
        </w:rPr>
      </w:pPr>
    </w:p>
    <w:p>
      <w:pPr>
        <w:spacing w:line="4247" w:lineRule="exact"/>
        <w:ind w:left="691" w:right="0" w:firstLine="0"/>
        <w:rPr>
          <w:rFonts w:ascii="宋体" w:hAnsi="宋体" w:cs="宋体" w:eastAsia="宋体" w:hint="default"/>
          <w:sz w:val="20"/>
          <w:szCs w:val="20"/>
        </w:rPr>
      </w:pPr>
      <w:r>
        <w:rPr>
          <w:rFonts w:ascii="宋体" w:hAnsi="宋体" w:cs="宋体" w:eastAsia="宋体" w:hint="default"/>
          <w:position w:val="-84"/>
          <w:sz w:val="20"/>
          <w:szCs w:val="20"/>
        </w:rPr>
        <w:drawing>
          <wp:inline distT="0" distB="0" distL="0" distR="0">
            <wp:extent cx="5438016" cy="2696908"/>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24" cstate="print"/>
                    <a:stretch>
                      <a:fillRect/>
                    </a:stretch>
                  </pic:blipFill>
                  <pic:spPr>
                    <a:xfrm>
                      <a:off x="0" y="0"/>
                      <a:ext cx="5438016" cy="2696908"/>
                    </a:xfrm>
                    <a:prstGeom prst="rect">
                      <a:avLst/>
                    </a:prstGeom>
                  </pic:spPr>
                </pic:pic>
              </a:graphicData>
            </a:graphic>
          </wp:inline>
        </w:drawing>
      </w:r>
      <w:r>
        <w:rPr>
          <w:rFonts w:ascii="宋体" w:hAnsi="宋体" w:cs="宋体" w:eastAsia="宋体" w:hint="default"/>
          <w:position w:val="-84"/>
          <w:sz w:val="20"/>
          <w:szCs w:val="20"/>
        </w:rPr>
      </w:r>
    </w:p>
    <w:p>
      <w:pPr>
        <w:pStyle w:val="BodyText"/>
        <w:spacing w:line="391" w:lineRule="auto" w:before="124"/>
        <w:ind w:left="153" w:right="209" w:firstLine="420"/>
        <w:jc w:val="both"/>
      </w:pPr>
      <w:r>
        <w:rPr>
          <w:spacing w:val="-1"/>
        </w:rPr>
        <w:t>学生群体也正逐渐成为移动互联网的主导力量。据</w:t>
      </w:r>
      <w:r>
        <w:rPr>
          <w:rFonts w:ascii="Times New Roman" w:hAnsi="Times New Roman" w:cs="Times New Roman" w:eastAsia="Times New Roman" w:hint="default"/>
          <w:spacing w:val="-1"/>
        </w:rPr>
        <w:t>TalkingData</w:t>
      </w:r>
      <w:r>
        <w:rPr>
          <w:spacing w:val="-1"/>
        </w:rPr>
        <w:t>发布的《</w:t>
      </w:r>
      <w:r>
        <w:rPr>
          <w:rFonts w:ascii="Times New Roman" w:hAnsi="Times New Roman" w:cs="Times New Roman" w:eastAsia="Times New Roman" w:hint="default"/>
          <w:spacing w:val="-1"/>
        </w:rPr>
        <w:t>2014</w:t>
      </w:r>
      <w:r>
        <w:rPr>
          <w:spacing w:val="-1"/>
        </w:rPr>
        <w:t>移动互联网数据报告》显</w:t>
      </w:r>
      <w:r>
        <w:rPr/>
        <w:t> </w:t>
      </w:r>
      <w:r>
        <w:rPr>
          <w:spacing w:val="-1"/>
        </w:rPr>
        <w:t>示，截至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月底，我国移动互联网</w:t>
      </w:r>
      <w:r>
        <w:rPr>
          <w:rFonts w:ascii="Times New Roman" w:hAnsi="Times New Roman" w:cs="Times New Roman" w:eastAsia="Times New Roman" w:hint="default"/>
          <w:spacing w:val="-1"/>
        </w:rPr>
        <w:t>25</w:t>
      </w:r>
      <w:r>
        <w:rPr>
          <w:spacing w:val="-1"/>
        </w:rPr>
        <w:t>岁及以下用户占比</w:t>
      </w:r>
      <w:r>
        <w:rPr>
          <w:rFonts w:ascii="Times New Roman" w:hAnsi="Times New Roman" w:cs="Times New Roman" w:eastAsia="Times New Roman" w:hint="default"/>
          <w:spacing w:val="-1"/>
        </w:rPr>
        <w:t>35.7%</w:t>
      </w:r>
      <w:r>
        <w:rPr>
          <w:spacing w:val="-1"/>
        </w:rPr>
        <w:t>，已成为仅次于</w:t>
      </w:r>
      <w:r>
        <w:rPr>
          <w:rFonts w:ascii="Times New Roman" w:hAnsi="Times New Roman" w:cs="Times New Roman" w:eastAsia="Times New Roman" w:hint="default"/>
          <w:spacing w:val="-1"/>
        </w:rPr>
        <w:t>26-35</w:t>
      </w:r>
      <w:r>
        <w:rPr>
          <w:spacing w:val="-1"/>
        </w:rPr>
        <w:t>岁用户的主流用</w:t>
      </w:r>
      <w:r>
        <w:rPr>
          <w:spacing w:val="-69"/>
        </w:rPr>
        <w:t> </w:t>
      </w:r>
      <w:r>
        <w:rPr>
          <w:spacing w:val="-69"/>
        </w:rPr>
      </w:r>
      <w:r>
        <w:rPr/>
        <w:t>户群体，市场潜力巨大。根据国家统计局的数据，</w:t>
      </w:r>
      <w:r>
        <w:rPr>
          <w:rFonts w:ascii="Times New Roman" w:hAnsi="Times New Roman" w:cs="Times New Roman" w:eastAsia="Times New Roman" w:hint="default"/>
        </w:rPr>
        <w:t>2014</w:t>
      </w:r>
      <w:r>
        <w:rPr/>
        <w:t>年我国大学生人数为</w:t>
      </w:r>
      <w:r>
        <w:rPr>
          <w:rFonts w:ascii="Times New Roman" w:hAnsi="Times New Roman" w:cs="Times New Roman" w:eastAsia="Times New Roman" w:hint="default"/>
        </w:rPr>
        <w:t>2468.1</w:t>
      </w:r>
      <w:r>
        <w:rPr/>
        <w:t>万人，随着移动互联网 </w:t>
      </w:r>
      <w:r>
        <w:rPr>
          <w:spacing w:val="-1"/>
        </w:rPr>
        <w:t>影响的不断深入，校园移动互联的市场潜力将被不断挖掘，高校移动互联服务平台项目有助于公司抢占时</w:t>
      </w:r>
      <w:r>
        <w:rPr>
          <w:spacing w:val="-81"/>
        </w:rPr>
        <w:t> </w:t>
      </w:r>
      <w:r>
        <w:rPr>
          <w:spacing w:val="-81"/>
        </w:rPr>
      </w:r>
      <w:r>
        <w:rPr/>
        <w:t>机，快速切入校园移动互联市场。</w:t>
      </w:r>
    </w:p>
    <w:p>
      <w:pPr>
        <w:pStyle w:val="BodyText"/>
        <w:spacing w:line="400" w:lineRule="auto" w:before="61"/>
        <w:ind w:right="194" w:firstLine="420"/>
        <w:jc w:val="left"/>
      </w:pPr>
      <w:r>
        <w:rPr/>
        <w:t>随着互联网用户从</w:t>
      </w:r>
      <w:r>
        <w:rPr>
          <w:rFonts w:ascii="Times New Roman" w:hAnsi="Times New Roman" w:cs="Times New Roman" w:eastAsia="Times New Roman" w:hint="default"/>
        </w:rPr>
        <w:t>PC</w:t>
      </w:r>
      <w:r>
        <w:rPr/>
        <w:t>端逐渐向移动端转移，作为用户接入移动互联网并借以获取内容和服务的第一 站，移动互联网入口成为行业竞争的焦点，所谓</w:t>
      </w:r>
      <w:r>
        <w:rPr>
          <w:rFonts w:ascii="Times New Roman" w:hAnsi="Times New Roman" w:cs="Times New Roman" w:eastAsia="Times New Roman" w:hint="default"/>
        </w:rPr>
        <w:t>“</w:t>
      </w:r>
      <w:r>
        <w:rPr/>
        <w:t>得入口者得天下</w:t>
      </w:r>
      <w:r>
        <w:rPr>
          <w:rFonts w:ascii="Times New Roman" w:hAnsi="Times New Roman" w:cs="Times New Roman" w:eastAsia="Times New Roman" w:hint="default"/>
        </w:rPr>
        <w:t>”</w:t>
      </w:r>
      <w:r>
        <w:rPr/>
        <w:t>，掌握了移动互联网入口就意味着可能 </w:t>
      </w:r>
      <w:r>
        <w:rPr>
          <w:spacing w:val="-1"/>
        </w:rPr>
        <w:t>通过高黏度的内容和服务将产品优势转化为用户规模优势和流量优势，并带来源源不断的数据、信息、业</w:t>
      </w:r>
      <w:r>
        <w:rPr>
          <w:spacing w:val="-83"/>
        </w:rPr>
        <w:t> </w:t>
      </w:r>
      <w:r>
        <w:rPr>
          <w:spacing w:val="-83"/>
        </w:rPr>
      </w:r>
      <w:r>
        <w:rPr>
          <w:spacing w:val="-1"/>
        </w:rPr>
        <w:t>务和收入。随着各大互联网巨头通过战略投资、并购等手段抢夺入口资源，打造各自的生态圈，移动互联</w:t>
      </w:r>
      <w:r>
        <w:rPr>
          <w:spacing w:val="-82"/>
        </w:rPr>
        <w:t> </w:t>
      </w:r>
      <w:r>
        <w:rPr>
          <w:spacing w:val="-82"/>
        </w:rPr>
      </w:r>
      <w:r>
        <w:rPr>
          <w:spacing w:val="-1"/>
        </w:rPr>
        <w:t>网行业的竞争格局逐渐明晰，拥有数量庞大、需求鲜明、粘性极高的特定潜在用户，并有望成为垂直领域</w:t>
      </w:r>
      <w:r>
        <w:rPr>
          <w:spacing w:val="-82"/>
        </w:rPr>
        <w:t> </w:t>
      </w:r>
      <w:r>
        <w:rPr>
          <w:spacing w:val="-82"/>
        </w:rPr>
      </w:r>
      <w:r>
        <w:rPr/>
        <w:t>精准入口的移动</w:t>
      </w:r>
      <w:r>
        <w:rPr>
          <w:rFonts w:ascii="Times New Roman" w:hAnsi="Times New Roman" w:cs="Times New Roman" w:eastAsia="Times New Roman" w:hint="default"/>
        </w:rPr>
        <w:t>APP</w:t>
      </w:r>
      <w:r>
        <w:rPr/>
        <w:t>的价值凸显。</w:t>
      </w:r>
    </w:p>
    <w:p>
      <w:pPr>
        <w:pStyle w:val="BodyText"/>
        <w:spacing w:line="393" w:lineRule="auto" w:before="21"/>
        <w:ind w:right="211" w:firstLine="420"/>
        <w:jc w:val="both"/>
      </w:pPr>
      <w:r>
        <w:rPr>
          <w:spacing w:val="-1"/>
        </w:rPr>
        <w:t>智能一卡通行业企业拥有大量的高校客户资源和庞大的校园卡持卡人用户群体，而高校在校学生的智</w:t>
      </w:r>
      <w:r>
        <w:rPr/>
        <w:t> 能手机普及率高，对新鲜事物的接受程度强，如成功将大量的线下持卡人用户转化为校园</w:t>
      </w:r>
      <w:r>
        <w:rPr>
          <w:rFonts w:ascii="Times New Roman" w:hAnsi="Times New Roman" w:cs="Times New Roman" w:eastAsia="Times New Roman" w:hint="default"/>
        </w:rPr>
        <w:t>APP</w:t>
      </w:r>
      <w:r>
        <w:rPr/>
        <w:t>线上用户， 则该校园</w:t>
      </w:r>
      <w:r>
        <w:rPr>
          <w:rFonts w:ascii="Times New Roman" w:hAnsi="Times New Roman" w:cs="Times New Roman" w:eastAsia="Times New Roman" w:hint="default"/>
        </w:rPr>
        <w:t>APP</w:t>
      </w:r>
      <w:r>
        <w:rPr/>
        <w:t>有望成为精准的校园移动互联网入口，用户群体的巨大商业价值可更加充分的挖掘，一卡通 企业的盈利空间将大幅增加，而随着高校学生熟悉并对校园</w:t>
      </w:r>
      <w:r>
        <w:rPr>
          <w:rFonts w:ascii="Times New Roman" w:hAnsi="Times New Roman" w:cs="Times New Roman" w:eastAsia="Times New Roman" w:hint="default"/>
        </w:rPr>
        <w:t>APP</w:t>
      </w:r>
      <w:r>
        <w:rPr/>
        <w:t>产生依赖，在其毕业离校后，又将会把上</w:t>
      </w:r>
    </w:p>
    <w:p>
      <w:pPr>
        <w:spacing w:after="0" w:line="393" w:lineRule="auto"/>
        <w:jc w:val="both"/>
        <w:sectPr>
          <w:footerReference w:type="default" r:id="rId23"/>
          <w:pgSz w:w="11910" w:h="16840"/>
          <w:pgMar w:footer="982" w:header="877" w:top="1100" w:bottom="1180" w:left="980" w:right="920"/>
          <w:pgNumType w:start="45"/>
        </w:sectPr>
      </w:pPr>
    </w:p>
    <w:p>
      <w:pPr>
        <w:spacing w:line="240" w:lineRule="auto" w:before="8"/>
        <w:rPr>
          <w:rFonts w:ascii="宋体" w:hAnsi="宋体" w:cs="宋体" w:eastAsia="宋体" w:hint="default"/>
          <w:sz w:val="26"/>
          <w:szCs w:val="26"/>
        </w:rPr>
      </w:pPr>
    </w:p>
    <w:p>
      <w:pPr>
        <w:pStyle w:val="BodyText"/>
        <w:spacing w:line="386" w:lineRule="auto" w:before="35"/>
        <w:ind w:left="573" w:right="95" w:hanging="420"/>
        <w:jc w:val="left"/>
      </w:pPr>
      <w:r>
        <w:rPr/>
        <w:t>述校园</w:t>
      </w:r>
      <w:r>
        <w:rPr>
          <w:rFonts w:ascii="Times New Roman" w:hAnsi="Times New Roman" w:cs="Times New Roman" w:eastAsia="Times New Roman" w:hint="default"/>
        </w:rPr>
        <w:t>APP</w:t>
      </w:r>
      <w:r>
        <w:rPr/>
        <w:t>带入企事业、城市等领域，进一步拓宽了一卡通企业的市场空间。 </w:t>
      </w:r>
      <w:r>
        <w:rPr>
          <w:rFonts w:ascii="Times New Roman" w:hAnsi="Times New Roman" w:cs="Times New Roman" w:eastAsia="Times New Roman" w:hint="default"/>
        </w:rPr>
        <w:t>8</w:t>
      </w:r>
      <w:r>
        <w:rPr/>
        <w:t>、国家政策大力支持为职业教育行业发展，职业教育潜在市场规模巨大 </w:t>
      </w:r>
      <w:r>
        <w:rPr>
          <w:spacing w:val="-1"/>
        </w:rPr>
        <w:t>自</w:t>
      </w:r>
      <w:r>
        <w:rPr>
          <w:rFonts w:ascii="Times New Roman" w:hAnsi="Times New Roman" w:cs="Times New Roman" w:eastAsia="Times New Roman" w:hint="default"/>
          <w:spacing w:val="-1"/>
        </w:rPr>
        <w:t>2014</w:t>
      </w:r>
      <w:r>
        <w:rPr>
          <w:spacing w:val="-1"/>
        </w:rPr>
        <w:t>年国务院发布《关于加快发展现代职业教育的决定》以来，与职业教育相关的推动与促进政策</w:t>
      </w:r>
    </w:p>
    <w:p>
      <w:pPr>
        <w:pStyle w:val="BodyText"/>
        <w:spacing w:line="393" w:lineRule="auto" w:before="35"/>
        <w:ind w:right="135"/>
        <w:jc w:val="left"/>
      </w:pPr>
      <w:r>
        <w:rPr/>
        <w:t>频出，整体利好现代职业教育产业的快速发展。相关政策集中围绕在三个方面：一是现代职业教育结构调 整，引导各层次教育结构向应用型职业方向转型；二是提高人才培养质量，积极推进同时具备教师、工程 师资格的</w:t>
      </w:r>
      <w:r>
        <w:rPr>
          <w:rFonts w:ascii="Times New Roman" w:hAnsi="Times New Roman" w:cs="Times New Roman" w:eastAsia="Times New Roman" w:hint="default"/>
        </w:rPr>
        <w:t>“</w:t>
      </w:r>
      <w:r>
        <w:rPr/>
        <w:t>双师型</w:t>
      </w:r>
      <w:r>
        <w:rPr>
          <w:rFonts w:ascii="Times New Roman" w:hAnsi="Times New Roman" w:cs="Times New Roman" w:eastAsia="Times New Roman" w:hint="default"/>
        </w:rPr>
        <w:t>”</w:t>
      </w:r>
      <w:r>
        <w:rPr/>
        <w:t>（</w:t>
      </w:r>
      <w:r>
        <w:rPr>
          <w:spacing w:val="-51"/>
        </w:rPr>
        <w:t> </w:t>
      </w:r>
      <w:r>
        <w:rPr>
          <w:rFonts w:ascii="Times New Roman" w:hAnsi="Times New Roman" w:cs="Times New Roman" w:eastAsia="Times New Roman" w:hint="default"/>
        </w:rPr>
        <w:t>“</w:t>
      </w:r>
      <w:r>
        <w:rPr/>
        <w:t>双师型</w:t>
      </w:r>
      <w:r>
        <w:rPr>
          <w:rFonts w:ascii="Times New Roman" w:hAnsi="Times New Roman" w:cs="Times New Roman" w:eastAsia="Times New Roman" w:hint="default"/>
        </w:rPr>
        <w:t>”</w:t>
      </w:r>
      <w:r>
        <w:rPr/>
        <w:t>教师指同时具备教师资格和职业资格、从事职业教育工作的教师，是教育教 学能力和工作经验兼备的复合型人才，对提高职业教育教学水平具有重要意义）教师队伍建设，推进学生 </w:t>
      </w:r>
      <w:r>
        <w:rPr>
          <w:spacing w:val="-3"/>
        </w:rPr>
        <w:t>学历证书和职业资格证书</w:t>
      </w:r>
      <w:r>
        <w:rPr>
          <w:rFonts w:ascii="Times New Roman" w:hAnsi="Times New Roman" w:cs="Times New Roman" w:eastAsia="Times New Roman" w:hint="default"/>
          <w:spacing w:val="-3"/>
        </w:rPr>
        <w:t>“</w:t>
      </w:r>
      <w:r>
        <w:rPr>
          <w:spacing w:val="-3"/>
        </w:rPr>
        <w:t>双证书</w:t>
      </w:r>
      <w:r>
        <w:rPr>
          <w:rFonts w:ascii="Times New Roman" w:hAnsi="Times New Roman" w:cs="Times New Roman" w:eastAsia="Times New Roman" w:hint="default"/>
          <w:spacing w:val="-3"/>
        </w:rPr>
        <w:t>”</w:t>
      </w:r>
      <w:r>
        <w:rPr>
          <w:spacing w:val="-3"/>
        </w:rPr>
        <w:t>制度；三是要支持引导社会力量参与兴办职业教育。根据教育部等</w:t>
      </w:r>
      <w:r>
        <w:rPr>
          <w:rFonts w:ascii="Times New Roman" w:hAnsi="Times New Roman" w:cs="Times New Roman" w:eastAsia="Times New Roman" w:hint="default"/>
          <w:spacing w:val="-3"/>
        </w:rPr>
        <w:t>6</w:t>
      </w:r>
      <w:r>
        <w:rPr>
          <w:spacing w:val="-3"/>
        </w:rPr>
        <w:t>部门</w:t>
      </w:r>
      <w:r>
        <w:rPr>
          <w:spacing w:val="-66"/>
        </w:rPr>
        <w:t> </w:t>
      </w: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月联合发布的《现代职业教育体系建设规划（</w:t>
      </w:r>
      <w:r>
        <w:rPr>
          <w:rFonts w:ascii="Times New Roman" w:hAnsi="Times New Roman" w:cs="Times New Roman" w:eastAsia="Times New Roman" w:hint="default"/>
        </w:rPr>
        <w:t>2014-2020</w:t>
      </w:r>
      <w:r>
        <w:rPr/>
        <w:t>年）》，到</w:t>
      </w:r>
      <w:r>
        <w:rPr>
          <w:rFonts w:ascii="Times New Roman" w:hAnsi="Times New Roman" w:cs="Times New Roman" w:eastAsia="Times New Roman" w:hint="default"/>
        </w:rPr>
        <w:t>2020</w:t>
      </w:r>
      <w:r>
        <w:rPr/>
        <w:t>年，中等职业教育在校 </w:t>
      </w:r>
      <w:r>
        <w:rPr>
          <w:spacing w:val="-2"/>
        </w:rPr>
        <w:t>生</w:t>
      </w:r>
      <w:r>
        <w:rPr>
          <w:rFonts w:ascii="Times New Roman" w:hAnsi="Times New Roman" w:cs="Times New Roman" w:eastAsia="Times New Roman" w:hint="default"/>
          <w:spacing w:val="-2"/>
        </w:rPr>
        <w:t>2,350</w:t>
      </w:r>
      <w:r>
        <w:rPr>
          <w:spacing w:val="-2"/>
        </w:rPr>
        <w:t>万人（</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2,114</w:t>
      </w:r>
      <w:r>
        <w:rPr>
          <w:spacing w:val="-2"/>
        </w:rPr>
        <w:t>万人），专科层次职业教育在校生</w:t>
      </w:r>
      <w:r>
        <w:rPr>
          <w:rFonts w:ascii="Times New Roman" w:hAnsi="Times New Roman" w:cs="Times New Roman" w:eastAsia="Times New Roman" w:hint="default"/>
          <w:spacing w:val="-2"/>
        </w:rPr>
        <w:t>1,480</w:t>
      </w:r>
      <w:r>
        <w:rPr>
          <w:spacing w:val="-2"/>
        </w:rPr>
        <w:t>万人（</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964</w:t>
      </w:r>
      <w:r>
        <w:rPr>
          <w:spacing w:val="-2"/>
        </w:rPr>
        <w:t>万人），从业人员继续</w:t>
      </w:r>
      <w:r>
        <w:rPr>
          <w:spacing w:val="-79"/>
        </w:rPr>
        <w:t> </w:t>
      </w:r>
      <w:r>
        <w:rPr>
          <w:spacing w:val="-79"/>
        </w:rPr>
      </w:r>
      <w:r>
        <w:rPr/>
        <w:t>教育</w:t>
      </w:r>
      <w:r>
        <w:rPr>
          <w:rFonts w:ascii="Times New Roman" w:hAnsi="Times New Roman" w:cs="Times New Roman" w:eastAsia="Times New Roman" w:hint="default"/>
        </w:rPr>
        <w:t>3.5</w:t>
      </w:r>
      <w:r>
        <w:rPr/>
        <w:t>亿人次。从数据对比来看，现代职业教育高校转型以及继续教育成为企业参与职业教育的新蓝海， 到</w:t>
      </w:r>
      <w:r>
        <w:rPr>
          <w:rFonts w:ascii="Times New Roman" w:hAnsi="Times New Roman" w:cs="Times New Roman" w:eastAsia="Times New Roman" w:hint="default"/>
        </w:rPr>
        <w:t>2020</w:t>
      </w:r>
      <w:r>
        <w:rPr/>
        <w:t>年，职业教育潜在市场规模将有望达到万亿水平。</w:t>
      </w:r>
    </w:p>
    <w:p>
      <w:pPr>
        <w:pStyle w:val="BodyText"/>
        <w:spacing w:line="393" w:lineRule="auto" w:before="28"/>
        <w:ind w:right="105" w:firstLine="420"/>
        <w:jc w:val="left"/>
      </w:pPr>
      <w:r>
        <w:rPr/>
        <w:t>自</w:t>
      </w:r>
      <w:r>
        <w:rPr>
          <w:rFonts w:ascii="Times New Roman" w:hAnsi="Times New Roman" w:cs="Times New Roman" w:eastAsia="Times New Roman" w:hint="default"/>
        </w:rPr>
        <w:t>2005</w:t>
      </w:r>
      <w:r>
        <w:rPr/>
        <w:t>年以来，我国职业教育经费年均增长率达到</w:t>
      </w:r>
      <w:r>
        <w:rPr>
          <w:rFonts w:ascii="Times New Roman" w:hAnsi="Times New Roman" w:cs="Times New Roman" w:eastAsia="Times New Roman" w:hint="default"/>
        </w:rPr>
        <w:t>18%</w:t>
      </w:r>
      <w:r>
        <w:rPr/>
        <w:t>，教育部</w:t>
      </w:r>
      <w:r>
        <w:rPr>
          <w:rFonts w:ascii="Times New Roman" w:hAnsi="Times New Roman" w:cs="Times New Roman" w:eastAsia="Times New Roman" w:hint="default"/>
        </w:rPr>
        <w:t>2015</w:t>
      </w:r>
      <w:r>
        <w:rPr/>
        <w:t>年用于重点实验室及相关设施的 经费预算为</w:t>
      </w:r>
      <w:r>
        <w:rPr>
          <w:rFonts w:ascii="Times New Roman" w:hAnsi="Times New Roman" w:cs="Times New Roman" w:eastAsia="Times New Roman" w:hint="default"/>
        </w:rPr>
        <w:t>256,230</w:t>
      </w:r>
      <w:r>
        <w:rPr/>
        <w:t>万元，比</w:t>
      </w:r>
      <w:r>
        <w:rPr>
          <w:rFonts w:ascii="Times New Roman" w:hAnsi="Times New Roman" w:cs="Times New Roman" w:eastAsia="Times New Roman" w:hint="default"/>
        </w:rPr>
        <w:t>2014</w:t>
      </w:r>
      <w:r>
        <w:rPr/>
        <w:t>年增加</w:t>
      </w:r>
      <w:r>
        <w:rPr>
          <w:rFonts w:ascii="Times New Roman" w:hAnsi="Times New Roman" w:cs="Times New Roman" w:eastAsia="Times New Roman" w:hint="default"/>
        </w:rPr>
        <w:t>55.19%</w:t>
      </w:r>
      <w:r>
        <w:rPr/>
        <w:t>，并要求地方教育附加费用于职业教育的比例不低于</w:t>
      </w:r>
      <w:r>
        <w:rPr>
          <w:rFonts w:ascii="Times New Roman" w:hAnsi="Times New Roman" w:cs="Times New Roman" w:eastAsia="Times New Roman" w:hint="default"/>
        </w:rPr>
        <w:t>30%</w:t>
      </w:r>
      <w:r>
        <w:rPr/>
        <w:t>。 此外，国家将引导一批本科高校向应用技术类型高校转型，在招生及资源投入方面，将向应用技术类型高 </w:t>
      </w:r>
      <w:r>
        <w:rPr>
          <w:spacing w:val="-5"/>
          <w:w w:val="100"/>
        </w:rPr>
        <w:t>校倾斜，</w:t>
      </w:r>
      <w:r>
        <w:rPr>
          <w:rFonts w:ascii="Times New Roman" w:hAnsi="Times New Roman" w:cs="Times New Roman" w:eastAsia="Times New Roman" w:hint="default"/>
          <w:spacing w:val="-5"/>
          <w:w w:val="100"/>
        </w:rPr>
        <w:t>1999</w:t>
      </w:r>
      <w:r>
        <w:rPr>
          <w:spacing w:val="-5"/>
          <w:w w:val="100"/>
        </w:rPr>
        <w:t>年大学扩招后</w:t>
      </w:r>
      <w:r>
        <w:rPr>
          <w:rFonts w:ascii="Times New Roman" w:hAnsi="Times New Roman" w:cs="Times New Roman" w:eastAsia="Times New Roman" w:hint="default"/>
          <w:spacing w:val="-5"/>
          <w:w w:val="100"/>
        </w:rPr>
        <w:t>“</w:t>
      </w:r>
      <w:r>
        <w:rPr>
          <w:spacing w:val="-5"/>
          <w:w w:val="100"/>
        </w:rPr>
        <w:t>专升本</w:t>
      </w:r>
      <w:r>
        <w:rPr>
          <w:rFonts w:ascii="Times New Roman" w:hAnsi="Times New Roman" w:cs="Times New Roman" w:eastAsia="Times New Roman" w:hint="default"/>
          <w:spacing w:val="-5"/>
          <w:w w:val="100"/>
        </w:rPr>
        <w:t>”</w:t>
      </w:r>
      <w:r>
        <w:rPr>
          <w:spacing w:val="-5"/>
          <w:w w:val="100"/>
        </w:rPr>
        <w:t>的</w:t>
      </w:r>
      <w:r>
        <w:rPr>
          <w:rFonts w:ascii="Times New Roman" w:hAnsi="Times New Roman" w:cs="Times New Roman" w:eastAsia="Times New Roman" w:hint="default"/>
          <w:spacing w:val="-5"/>
          <w:w w:val="100"/>
        </w:rPr>
        <w:t>600</w:t>
      </w:r>
      <w:r>
        <w:rPr>
          <w:spacing w:val="-5"/>
          <w:w w:val="100"/>
        </w:rPr>
        <w:t>多所地方高校将率先转作职业教育院校，带来校企合作巨大商机。</w:t>
      </w:r>
      <w:r>
        <w:rPr>
          <w:spacing w:val="-61"/>
          <w:w w:val="100"/>
        </w:rPr>
        <w:t> </w:t>
      </w:r>
      <w:r>
        <w:rPr>
          <w:spacing w:val="-61"/>
          <w:w w:val="100"/>
        </w:rPr>
      </w:r>
      <w:r>
        <w:rPr>
          <w:spacing w:val="-3"/>
        </w:rPr>
        <w:t>根据天拓咨询数据，</w:t>
      </w:r>
      <w:r>
        <w:rPr>
          <w:rFonts w:ascii="Times New Roman" w:hAnsi="Times New Roman" w:cs="Times New Roman" w:eastAsia="Times New Roman" w:hint="default"/>
          <w:spacing w:val="-3"/>
        </w:rPr>
        <w:t>2012</w:t>
      </w:r>
      <w:r>
        <w:rPr>
          <w:spacing w:val="-3"/>
        </w:rPr>
        <w:t>年全国教育培训市场的总体规模达到</w:t>
      </w:r>
      <w:r>
        <w:rPr>
          <w:rFonts w:ascii="Times New Roman" w:hAnsi="Times New Roman" w:cs="Times New Roman" w:eastAsia="Times New Roman" w:hint="default"/>
          <w:spacing w:val="-3"/>
        </w:rPr>
        <w:t>9,600</w:t>
      </w:r>
      <w:r>
        <w:rPr>
          <w:spacing w:val="-3"/>
        </w:rPr>
        <w:t>亿元，其中职业培训的市场规模为</w:t>
      </w:r>
      <w:r>
        <w:rPr>
          <w:rFonts w:ascii="Times New Roman" w:hAnsi="Times New Roman" w:cs="Times New Roman" w:eastAsia="Times New Roman" w:hint="default"/>
          <w:spacing w:val="-3"/>
        </w:rPr>
        <w:t>3,000</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t>亿元左右，占比接近三分之一。同时，在线职业教育这一细分领域也正经历快速成长期，根据易观国际测 </w:t>
      </w:r>
      <w:r>
        <w:rPr>
          <w:spacing w:val="-4"/>
        </w:rPr>
        <w:t>算，预计</w:t>
      </w:r>
      <w:r>
        <w:rPr>
          <w:rFonts w:ascii="Times New Roman" w:hAnsi="Times New Roman" w:cs="Times New Roman" w:eastAsia="Times New Roman" w:hint="default"/>
          <w:spacing w:val="-4"/>
        </w:rPr>
        <w:t>2015-2017</w:t>
      </w:r>
      <w:r>
        <w:rPr>
          <w:spacing w:val="-4"/>
        </w:rPr>
        <w:t>年我国在线职业教育的市场规模为</w:t>
      </w:r>
      <w:r>
        <w:rPr>
          <w:rFonts w:ascii="Times New Roman" w:hAnsi="Times New Roman" w:cs="Times New Roman" w:eastAsia="Times New Roman" w:hint="default"/>
          <w:spacing w:val="-4"/>
        </w:rPr>
        <w:t>390</w:t>
      </w:r>
      <w:r>
        <w:rPr>
          <w:spacing w:val="-4"/>
        </w:rPr>
        <w:t>亿元、</w:t>
      </w:r>
      <w:r>
        <w:rPr>
          <w:rFonts w:ascii="Times New Roman" w:hAnsi="Times New Roman" w:cs="Times New Roman" w:eastAsia="Times New Roman" w:hint="default"/>
          <w:spacing w:val="-4"/>
        </w:rPr>
        <w:t>582</w:t>
      </w:r>
      <w:r>
        <w:rPr>
          <w:spacing w:val="-4"/>
        </w:rPr>
        <w:t>亿元、</w:t>
      </w:r>
      <w:r>
        <w:rPr>
          <w:rFonts w:ascii="Times New Roman" w:hAnsi="Times New Roman" w:cs="Times New Roman" w:eastAsia="Times New Roman" w:hint="default"/>
          <w:spacing w:val="-4"/>
        </w:rPr>
        <w:t>823</w:t>
      </w:r>
      <w:r>
        <w:rPr>
          <w:spacing w:val="-4"/>
        </w:rPr>
        <w:t>亿元，同比增速分别为</w:t>
      </w:r>
      <w:r>
        <w:rPr>
          <w:rFonts w:ascii="Times New Roman" w:hAnsi="Times New Roman" w:cs="Times New Roman" w:eastAsia="Times New Roman" w:hint="default"/>
          <w:spacing w:val="-4"/>
        </w:rPr>
        <w:t>55.6%</w:t>
      </w:r>
      <w:r>
        <w:rPr>
          <w:spacing w:val="-4"/>
        </w:rPr>
        <w:t>、</w:t>
      </w:r>
    </w:p>
    <w:p>
      <w:pPr>
        <w:spacing w:after="0" w:line="393" w:lineRule="auto"/>
        <w:jc w:val="left"/>
        <w:sectPr>
          <w:pgSz w:w="11910" w:h="16840"/>
          <w:pgMar w:header="877" w:footer="982" w:top="1100" w:bottom="1180" w:left="980" w:right="920"/>
        </w:sectPr>
      </w:pPr>
    </w:p>
    <w:p>
      <w:pPr>
        <w:pStyle w:val="BodyText"/>
        <w:spacing w:line="240" w:lineRule="auto" w:before="28"/>
        <w:ind w:left="153" w:right="-8"/>
        <w:jc w:val="left"/>
      </w:pPr>
      <w:r>
        <w:rPr>
          <w:rFonts w:ascii="Times New Roman" w:hAnsi="Times New Roman" w:cs="Times New Roman" w:eastAsia="Times New Roman" w:hint="default"/>
          <w:spacing w:val="-1"/>
        </w:rPr>
        <w:t>49.2%</w:t>
      </w:r>
      <w:r>
        <w:rPr>
          <w:spacing w:val="-1"/>
        </w:rPr>
        <w:t>、</w:t>
      </w:r>
      <w:r>
        <w:rPr>
          <w:rFonts w:ascii="Times New Roman" w:hAnsi="Times New Roman" w:cs="Times New Roman" w:eastAsia="Times New Roman" w:hint="default"/>
          <w:spacing w:val="-1"/>
        </w:rPr>
        <w:t>41.4%</w:t>
      </w:r>
      <w:r>
        <w:rPr>
          <w:spacing w:val="-1"/>
        </w:rPr>
        <w:t>。</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5"/>
          <w:szCs w:val="15"/>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2010-2017</w:t>
      </w:r>
      <w:r>
        <w:rPr>
          <w:rFonts w:ascii="宋体" w:hAnsi="宋体" w:cs="宋体" w:eastAsia="宋体" w:hint="default"/>
          <w:sz w:val="18"/>
          <w:szCs w:val="18"/>
        </w:rPr>
        <w:t>年（预测）我国在线职业教育市场规模（单位：亿元）</w:t>
      </w:r>
    </w:p>
    <w:p>
      <w:pPr>
        <w:spacing w:after="0"/>
        <w:jc w:val="left"/>
        <w:rPr>
          <w:rFonts w:ascii="宋体" w:hAnsi="宋体" w:cs="宋体" w:eastAsia="宋体" w:hint="default"/>
          <w:sz w:val="18"/>
          <w:szCs w:val="18"/>
        </w:rPr>
        <w:sectPr>
          <w:type w:val="continuous"/>
          <w:pgSz w:w="11910" w:h="16840"/>
          <w:pgMar w:top="1060" w:bottom="1180" w:left="980" w:right="920"/>
          <w:cols w:num="2" w:equalWidth="0">
            <w:col w:w="1659" w:space="610"/>
            <w:col w:w="7741"/>
          </w:cols>
        </w:sectPr>
      </w:pPr>
    </w:p>
    <w:p>
      <w:pPr>
        <w:spacing w:line="240" w:lineRule="auto" w:before="11"/>
        <w:rPr>
          <w:rFonts w:ascii="宋体" w:hAnsi="宋体" w:cs="宋体" w:eastAsia="宋体" w:hint="default"/>
          <w:sz w:val="27"/>
          <w:szCs w:val="27"/>
        </w:rPr>
      </w:pPr>
    </w:p>
    <w:p>
      <w:pPr>
        <w:spacing w:line="4590" w:lineRule="exact"/>
        <w:ind w:left="1147" w:right="0" w:firstLine="0"/>
        <w:rPr>
          <w:rFonts w:ascii="宋体" w:hAnsi="宋体" w:cs="宋体" w:eastAsia="宋体" w:hint="default"/>
          <w:sz w:val="20"/>
          <w:szCs w:val="20"/>
        </w:rPr>
      </w:pPr>
      <w:r>
        <w:rPr>
          <w:rFonts w:ascii="宋体" w:hAnsi="宋体" w:cs="宋体" w:eastAsia="宋体" w:hint="default"/>
          <w:position w:val="-91"/>
          <w:sz w:val="20"/>
          <w:szCs w:val="20"/>
        </w:rPr>
        <w:drawing>
          <wp:inline distT="0" distB="0" distL="0" distR="0">
            <wp:extent cx="4857750" cy="2914650"/>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25" cstate="print"/>
                    <a:stretch>
                      <a:fillRect/>
                    </a:stretch>
                  </pic:blipFill>
                  <pic:spPr>
                    <a:xfrm>
                      <a:off x="0" y="0"/>
                      <a:ext cx="4857750" cy="2914650"/>
                    </a:xfrm>
                    <a:prstGeom prst="rect">
                      <a:avLst/>
                    </a:prstGeom>
                  </pic:spPr>
                </pic:pic>
              </a:graphicData>
            </a:graphic>
          </wp:inline>
        </w:drawing>
      </w:r>
      <w:r>
        <w:rPr>
          <w:rFonts w:ascii="宋体" w:hAnsi="宋体" w:cs="宋体" w:eastAsia="宋体" w:hint="default"/>
          <w:position w:val="-91"/>
          <w:sz w:val="20"/>
          <w:szCs w:val="20"/>
        </w:rPr>
      </w:r>
    </w:p>
    <w:p>
      <w:pPr>
        <w:spacing w:line="240" w:lineRule="auto" w:before="8"/>
        <w:rPr>
          <w:rFonts w:ascii="宋体" w:hAnsi="宋体" w:cs="宋体" w:eastAsia="宋体" w:hint="default"/>
          <w:sz w:val="5"/>
          <w:szCs w:val="5"/>
        </w:rPr>
      </w:pPr>
    </w:p>
    <w:p>
      <w:pPr>
        <w:pStyle w:val="BodyText"/>
        <w:spacing w:line="240" w:lineRule="auto" w:before="35"/>
        <w:ind w:left="574" w:right="95"/>
        <w:jc w:val="left"/>
      </w:pPr>
      <w:r>
        <w:rPr/>
        <w:t>（二）公司面临的市场格局和机遇</w:t>
      </w:r>
    </w:p>
    <w:p>
      <w:pPr>
        <w:spacing w:line="240" w:lineRule="auto" w:before="10"/>
        <w:rPr>
          <w:rFonts w:ascii="宋体" w:hAnsi="宋体" w:cs="宋体" w:eastAsia="宋体" w:hint="default"/>
          <w:sz w:val="14"/>
          <w:szCs w:val="14"/>
        </w:rPr>
      </w:pPr>
    </w:p>
    <w:p>
      <w:pPr>
        <w:pStyle w:val="BodyText"/>
        <w:spacing w:line="386" w:lineRule="auto" w:before="0"/>
        <w:ind w:left="574" w:right="170" w:hanging="1"/>
        <w:jc w:val="left"/>
      </w:pPr>
      <w:r>
        <w:rPr>
          <w:rFonts w:ascii="Times New Roman" w:hAnsi="Times New Roman" w:cs="Times New Roman" w:eastAsia="Times New Roman" w:hint="default"/>
        </w:rPr>
        <w:t>1</w:t>
      </w:r>
      <w:r>
        <w:rPr/>
        <w:t>、行业竞争格局和市场化程度 我国智能一卡通行业起步于</w:t>
      </w:r>
      <w:r>
        <w:rPr>
          <w:rFonts w:ascii="Times New Roman" w:hAnsi="Times New Roman" w:cs="Times New Roman" w:eastAsia="Times New Roman" w:hint="default"/>
        </w:rPr>
        <w:t>20</w:t>
      </w:r>
      <w:r>
        <w:rPr/>
        <w:t>世纪</w:t>
      </w:r>
      <w:r>
        <w:rPr>
          <w:rFonts w:ascii="Times New Roman" w:hAnsi="Times New Roman" w:cs="Times New Roman" w:eastAsia="Times New Roman" w:hint="default"/>
        </w:rPr>
        <w:t>90</w:t>
      </w:r>
      <w:r>
        <w:rPr/>
        <w:t>年代，经过</w:t>
      </w:r>
      <w:r>
        <w:rPr>
          <w:rFonts w:ascii="Times New Roman" w:hAnsi="Times New Roman" w:cs="Times New Roman" w:eastAsia="Times New Roman" w:hint="default"/>
        </w:rPr>
        <w:t>20</w:t>
      </w:r>
      <w:r>
        <w:rPr/>
        <w:t>多年的快速发展，行业内积累了大量的中小企业，</w:t>
      </w:r>
    </w:p>
    <w:p>
      <w:pPr>
        <w:pStyle w:val="BodyText"/>
        <w:spacing w:line="400" w:lineRule="auto" w:before="35"/>
        <w:ind w:right="209"/>
        <w:jc w:val="both"/>
      </w:pPr>
      <w:r>
        <w:rPr>
          <w:spacing w:val="-1"/>
        </w:rPr>
        <w:t>市场发展较为成熟，在门禁、考勤、餐卡、公交卡等传统一卡通业务领域，市场参与主体众多，竞争较为</w:t>
      </w:r>
      <w:r>
        <w:rPr>
          <w:spacing w:val="-83"/>
        </w:rPr>
        <w:t> </w:t>
      </w:r>
      <w:r>
        <w:rPr>
          <w:spacing w:val="-83"/>
        </w:rPr>
      </w:r>
      <w:r>
        <w:rPr>
          <w:spacing w:val="-1"/>
        </w:rPr>
        <w:t>激烈，但其产品和业务大都较为单一，能够提供智能一卡通系统整体解决方案的企业相对较少，尤其是在</w:t>
      </w:r>
      <w:r>
        <w:rPr>
          <w:spacing w:val="-83"/>
        </w:rPr>
        <w:t> </w:t>
      </w:r>
      <w:r>
        <w:rPr>
          <w:spacing w:val="-83"/>
        </w:rPr>
      </w:r>
      <w:r>
        <w:rPr>
          <w:spacing w:val="-1"/>
        </w:rPr>
        <w:t>技术含量和智能化程度相对较高的手机一卡通、城市金融</w:t>
      </w:r>
      <w:r>
        <w:rPr>
          <w:rFonts w:ascii="Times New Roman" w:hAnsi="Times New Roman" w:cs="Times New Roman" w:eastAsia="Times New Roman" w:hint="default"/>
          <w:spacing w:val="-1"/>
        </w:rPr>
        <w:t>IC</w:t>
      </w:r>
      <w:r>
        <w:rPr>
          <w:spacing w:val="-1"/>
        </w:rPr>
        <w:t>卡平台等领域，具备相应研发设计能力和整体</w:t>
      </w:r>
      <w:r>
        <w:rPr>
          <w:spacing w:val="-81"/>
        </w:rPr>
        <w:t> </w:t>
      </w:r>
      <w:r>
        <w:rPr>
          <w:spacing w:val="-81"/>
        </w:rPr>
      </w:r>
      <w:r>
        <w:rPr>
          <w:spacing w:val="-1"/>
        </w:rPr>
        <w:t>解决方案定制能力的企业更少，市场竞争也相对缓和。随着我国信息化的应用层次不断深入和建设水平持</w:t>
      </w:r>
      <w:r>
        <w:rPr>
          <w:spacing w:val="-81"/>
        </w:rPr>
        <w:t> </w:t>
      </w:r>
      <w:r>
        <w:rPr>
          <w:spacing w:val="-81"/>
        </w:rPr>
      </w:r>
      <w:r>
        <w:rPr>
          <w:spacing w:val="-1"/>
        </w:rPr>
        <w:t>续提升，尤其是随着移动互联网、</w:t>
      </w:r>
      <w:r>
        <w:rPr>
          <w:rFonts w:ascii="Times New Roman" w:hAnsi="Times New Roman" w:cs="Times New Roman" w:eastAsia="Times New Roman" w:hint="default"/>
          <w:spacing w:val="-1"/>
        </w:rPr>
        <w:t>NFC</w:t>
      </w:r>
      <w:r>
        <w:rPr>
          <w:spacing w:val="-1"/>
        </w:rPr>
        <w:t>移动支付、物联网、大数据分析等信息技术快速发展并在智能一卡</w:t>
      </w:r>
      <w:r>
        <w:rPr>
          <w:spacing w:val="-72"/>
        </w:rPr>
        <w:t> </w:t>
      </w:r>
      <w:r>
        <w:rPr>
          <w:spacing w:val="-72"/>
        </w:rPr>
      </w:r>
      <w:r>
        <w:rPr/>
        <w:t>通行业的渗透逐步加深，具备较强整体解决方案定制能力的企业在市场中的竞争优势将更加突出。</w:t>
      </w:r>
    </w:p>
    <w:p>
      <w:pPr>
        <w:pStyle w:val="BodyText"/>
        <w:spacing w:line="408" w:lineRule="auto" w:before="52"/>
        <w:ind w:right="188" w:firstLine="420"/>
        <w:jc w:val="right"/>
      </w:pPr>
      <w:r>
        <w:rPr>
          <w:spacing w:val="-1"/>
        </w:rPr>
        <w:t>从细分领域来看，在智能一卡通起步最早、发展最快、应用最成熟的校园一卡通领域，多年的市场竞</w:t>
      </w:r>
      <w:r>
        <w:rPr/>
        <w:t> </w:t>
      </w:r>
      <w:r>
        <w:rPr>
          <w:spacing w:val="-1"/>
        </w:rPr>
        <w:t>争淘汰了大多数中小一卡通厂商，行业竞争格局趋于稳定，以新开普、新中新、浙江正元为代表的少数厂</w:t>
      </w:r>
      <w:r>
        <w:rPr/>
        <w:t> </w:t>
      </w:r>
      <w:r>
        <w:rPr>
          <w:spacing w:val="-1"/>
        </w:rPr>
        <w:t>商占据了主要市场份额，其中新中新、新开普在全国市场积累了大量的客户，随着公司报告期内公司完成</w:t>
      </w:r>
      <w:r>
        <w:rPr/>
        <w:t> </w:t>
      </w:r>
      <w:r>
        <w:rPr>
          <w:spacing w:val="-1"/>
        </w:rPr>
        <w:t>对迪科远望、上海树维的收购，公司客户占有率及持卡人用户得到大幅度提升。在企事业和城市等应用领</w:t>
      </w:r>
      <w:r>
        <w:rPr/>
        <w:t> </w:t>
      </w:r>
      <w:r>
        <w:rPr>
          <w:spacing w:val="-1"/>
        </w:rPr>
        <w:t>域，智能一卡通行业呈现出市场空间巨大、发展快速、参与者众多和竞争较为充分等特点，市场参与者既</w:t>
      </w:r>
      <w:r>
        <w:rPr/>
        <w:t> 包括专业一卡通厂商，也包括门禁、考勤等单一系统供应商、大型软件开发企业以及部分系统集成商等。 </w:t>
      </w:r>
      <w:r>
        <w:rPr>
          <w:spacing w:val="-1"/>
        </w:rPr>
        <w:t>在城市一卡通领域，其涉及面广，持卡群体广泛，项目投资金额较大，可应用于公共交通（公交、出</w:t>
      </w:r>
    </w:p>
    <w:p>
      <w:pPr>
        <w:pStyle w:val="BodyText"/>
        <w:spacing w:line="408" w:lineRule="auto"/>
        <w:ind w:right="101"/>
        <w:jc w:val="left"/>
      </w:pPr>
      <w:r>
        <w:rPr>
          <w:spacing w:val="-3"/>
        </w:rPr>
        <w:t>租、地铁等）、公用事业（医疗、社保、水电缴费等）、商户小额消费（超市、商场等）等众多公共领域。</w:t>
      </w:r>
      <w:r>
        <w:rPr>
          <w:spacing w:val="-92"/>
        </w:rPr>
        <w:t> </w:t>
      </w:r>
      <w:r>
        <w:rPr>
          <w:spacing w:val="-92"/>
        </w:rPr>
      </w:r>
      <w:r>
        <w:rPr/>
        <w:t>目前在大中型城市一卡通项目建设中一般采用软硬件分别招标的模式，而在小型城市一般采用项目整体招</w:t>
      </w:r>
      <w:r>
        <w:rPr/>
        <w:t> 标方式。该领域的市场参与者以规模企业为主，其中既包括部分一卡通整体解决方案提供商，也包括大型 软件企业、</w:t>
      </w:r>
      <w:r>
        <w:rPr>
          <w:rFonts w:ascii="Times New Roman" w:hAnsi="Times New Roman" w:cs="Times New Roman" w:eastAsia="Times New Roman" w:hint="default"/>
        </w:rPr>
        <w:t>POS</w:t>
      </w:r>
      <w:r>
        <w:rPr/>
        <w:t>机等终端机具制造商、</w:t>
      </w:r>
      <w:r>
        <w:rPr>
          <w:rFonts w:ascii="Times New Roman" w:hAnsi="Times New Roman" w:cs="Times New Roman" w:eastAsia="Times New Roman" w:hint="default"/>
        </w:rPr>
        <w:t>IC</w:t>
      </w:r>
      <w:r>
        <w:rPr/>
        <w:t>卡芯片制造商、智能卡制造商、系统集成商等众多企业。此外，</w:t>
      </w:r>
    </w:p>
    <w:p>
      <w:pPr>
        <w:spacing w:after="0" w:line="408"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408" w:lineRule="auto" w:before="35"/>
        <w:ind w:right="95"/>
        <w:jc w:val="left"/>
      </w:pPr>
      <w:r>
        <w:rPr>
          <w:spacing w:val="-1"/>
        </w:rPr>
        <w:t>很多大中型城市均在当地政府的主导下成立了城市一卡通公司，专门负责城市一卡通项目的建设、管理和</w:t>
      </w:r>
      <w:r>
        <w:rPr>
          <w:spacing w:val="-81"/>
        </w:rPr>
        <w:t> </w:t>
      </w:r>
      <w:r>
        <w:rPr>
          <w:spacing w:val="-81"/>
        </w:rPr>
      </w:r>
      <w:r>
        <w:rPr/>
        <w:t>运营。</w:t>
      </w:r>
    </w:p>
    <w:p>
      <w:pPr>
        <w:pStyle w:val="BodyText"/>
        <w:spacing w:line="240" w:lineRule="auto"/>
        <w:ind w:left="574" w:right="95"/>
        <w:jc w:val="left"/>
      </w:pPr>
      <w:r>
        <w:rPr>
          <w:rFonts w:ascii="Times New Roman" w:hAnsi="Times New Roman" w:cs="Times New Roman" w:eastAsia="Times New Roman" w:hint="default"/>
        </w:rPr>
        <w:t>2</w:t>
      </w:r>
      <w:r>
        <w:rPr/>
        <w:t>、公司机遇</w:t>
      </w:r>
    </w:p>
    <w:p>
      <w:pPr>
        <w:pStyle w:val="BodyText"/>
        <w:spacing w:line="386" w:lineRule="auto" w:before="177"/>
        <w:ind w:left="574" w:right="95" w:hanging="1"/>
        <w:jc w:val="left"/>
      </w:pPr>
      <w:r>
        <w:rPr/>
        <w:t>（</w:t>
      </w:r>
      <w:r>
        <w:rPr>
          <w:rFonts w:ascii="Times New Roman" w:hAnsi="Times New Roman" w:cs="Times New Roman" w:eastAsia="Times New Roman" w:hint="default"/>
        </w:rPr>
        <w:t>1</w:t>
      </w:r>
      <w:r>
        <w:rPr/>
        <w:t>）国家对信息产业政策的大力支持有助于公司业务发展 </w:t>
      </w:r>
      <w:r>
        <w:rPr>
          <w:spacing w:val="-1"/>
        </w:rPr>
        <w:t>新一代信息技术产业是国家确立的七大战略性新兴产业之一，其未来的蓬勃发展将逐渐渗透到国民经</w:t>
      </w:r>
    </w:p>
    <w:p>
      <w:pPr>
        <w:pStyle w:val="BodyText"/>
        <w:spacing w:line="388" w:lineRule="auto" w:before="65"/>
        <w:ind w:right="194"/>
        <w:jc w:val="left"/>
      </w:pPr>
      <w:r>
        <w:rPr>
          <w:spacing w:val="-1"/>
        </w:rPr>
        <w:t>济生活的各个细分领域。为推动行业发展，国家制定了一系列促进政策措施。</w:t>
      </w:r>
      <w:r>
        <w:rPr>
          <w:rFonts w:ascii="Times New Roman" w:hAnsi="Times New Roman" w:cs="Times New Roman" w:eastAsia="Times New Roman" w:hint="default"/>
          <w:spacing w:val="-1"/>
        </w:rPr>
        <w:t>2011</w:t>
      </w:r>
      <w:r>
        <w:rPr>
          <w:spacing w:val="-1"/>
        </w:rPr>
        <w:t>年，科技部将电子与信</w:t>
      </w:r>
      <w:r>
        <w:rPr>
          <w:spacing w:val="-82"/>
        </w:rPr>
        <w:t> </w:t>
      </w:r>
      <w:r>
        <w:rPr>
          <w:spacing w:val="-82"/>
        </w:rPr>
      </w:r>
      <w:r>
        <w:rPr>
          <w:spacing w:val="-1"/>
        </w:rPr>
        <w:t>息、新能源与高效节能等十个领域中以重大技术突破、重大发展需求为基础，对促进产业结构升级和加快</w:t>
      </w:r>
      <w:r>
        <w:rPr>
          <w:spacing w:val="-83"/>
        </w:rPr>
        <w:t> </w:t>
      </w:r>
      <w:r>
        <w:rPr>
          <w:spacing w:val="-83"/>
        </w:rPr>
      </w:r>
      <w:r>
        <w:rPr/>
        <w:t>经济发展方式转变有显著促进和带动效应的领域的重点新产品进行大力支持。其中，</w:t>
      </w:r>
      <w:r>
        <w:rPr>
          <w:rFonts w:ascii="Times New Roman" w:hAnsi="Times New Roman" w:cs="Times New Roman" w:eastAsia="Times New Roman" w:hint="default"/>
        </w:rPr>
        <w:t>“</w:t>
      </w:r>
      <w:r>
        <w:rPr/>
        <w:t>新一代信息技术产 业</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软件服务、网络增值服务等信息平台（智慧社区平台系统：在物联网体系架构下，利用三大通信 运营商的网络，实现社区的智能化集中管控：消费、收费、身份识别、资源管控、安防与出入管理）</w:t>
      </w:r>
      <w:r>
        <w:rPr>
          <w:rFonts w:ascii="Times New Roman" w:hAnsi="Times New Roman" w:cs="Times New Roman" w:eastAsia="Times New Roman" w:hint="default"/>
        </w:rPr>
        <w:t>”</w:t>
      </w:r>
      <w:r>
        <w:rPr/>
        <w:t>被 </w:t>
      </w:r>
      <w:r>
        <w:rPr>
          <w:spacing w:val="-2"/>
        </w:rPr>
        <w:t>列入</w:t>
      </w:r>
      <w:r>
        <w:rPr>
          <w:rFonts w:ascii="Times New Roman" w:hAnsi="Times New Roman" w:cs="Times New Roman" w:eastAsia="Times New Roman" w:hint="default"/>
          <w:spacing w:val="-2"/>
        </w:rPr>
        <w:t>“</w:t>
      </w:r>
      <w:r>
        <w:rPr>
          <w:spacing w:val="-2"/>
        </w:rPr>
        <w:t>重点支持领域</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各种信息终端和面向行业应用的专用终端（基于物联网技术的电子支付和身份识别</w:t>
      </w:r>
      <w:r>
        <w:rPr>
          <w:spacing w:val="-102"/>
        </w:rPr>
        <w:t> </w:t>
      </w:r>
      <w:r>
        <w:rPr>
          <w:spacing w:val="-102"/>
        </w:rPr>
      </w:r>
      <w:r>
        <w:rPr/>
        <w:t>系统与终端产业化项目）</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无线射频（</w:t>
      </w:r>
      <w:r>
        <w:rPr>
          <w:rFonts w:ascii="Times New Roman" w:hAnsi="Times New Roman" w:cs="Times New Roman" w:eastAsia="Times New Roman" w:hint="default"/>
        </w:rPr>
        <w:t>RFID</w:t>
      </w:r>
      <w:r>
        <w:rPr/>
        <w:t>）芯片、标签、读写器、中间件等产品及</w:t>
      </w:r>
      <w:r>
        <w:rPr>
          <w:rFonts w:ascii="Times New Roman" w:hAnsi="Times New Roman" w:cs="Times New Roman" w:eastAsia="Times New Roman" w:hint="default"/>
        </w:rPr>
        <w:t>RFID</w:t>
      </w:r>
      <w:r>
        <w:rPr/>
        <w:t>行业及区域 应用系统（基于物联网技术的智慧社区及终端产业化项目；或者基于物联网技术能源监测与管理系统）</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也被列入</w:t>
      </w:r>
      <w:r>
        <w:rPr>
          <w:rFonts w:ascii="Times New Roman" w:hAnsi="Times New Roman" w:cs="Times New Roman" w:eastAsia="Times New Roman" w:hint="default"/>
        </w:rPr>
        <w:t>“</w:t>
      </w:r>
      <w:r>
        <w:rPr/>
        <w:t>支持领域</w:t>
      </w:r>
      <w:r>
        <w:rPr>
          <w:rFonts w:ascii="Times New Roman" w:hAnsi="Times New Roman" w:cs="Times New Roman" w:eastAsia="Times New Roman" w:hint="default"/>
        </w:rPr>
        <w:t>”</w:t>
      </w:r>
      <w:r>
        <w:rPr/>
        <w:t>。</w:t>
      </w:r>
    </w:p>
    <w:p>
      <w:pPr>
        <w:pStyle w:val="BodyText"/>
        <w:spacing w:line="398" w:lineRule="auto" w:before="33"/>
        <w:ind w:right="209" w:firstLine="420"/>
        <w:jc w:val="both"/>
      </w:pPr>
      <w:r>
        <w:rPr>
          <w:spacing w:val="-1"/>
        </w:rPr>
        <w:t>智能一卡通行业符合国家的信息化发展战略，其在校园的广泛应用得到了教育部等相关主管部门的大</w:t>
      </w:r>
      <w:r>
        <w:rPr/>
        <w:t> </w:t>
      </w:r>
      <w:r>
        <w:rPr>
          <w:spacing w:val="-2"/>
        </w:rPr>
        <w:t>力支持，国家出台了《国家中长期教育改革和发展规划纲要（</w:t>
      </w:r>
      <w:r>
        <w:rPr>
          <w:rFonts w:ascii="Times New Roman" w:hAnsi="Times New Roman" w:cs="Times New Roman" w:eastAsia="Times New Roman" w:hint="default"/>
          <w:spacing w:val="-2"/>
        </w:rPr>
        <w:t>2010-2020</w:t>
      </w:r>
      <w:r>
        <w:rPr>
          <w:spacing w:val="-2"/>
        </w:rPr>
        <w:t>年）》、《教育信息化十年发展规</w:t>
      </w:r>
      <w:r>
        <w:rPr>
          <w:spacing w:val="-103"/>
        </w:rPr>
        <w:t> </w:t>
      </w:r>
      <w:r>
        <w:rPr>
          <w:spacing w:val="-103"/>
        </w:rPr>
      </w:r>
      <w:r>
        <w:rPr/>
        <w:t>划（</w:t>
      </w:r>
      <w:r>
        <w:rPr>
          <w:rFonts w:ascii="Times New Roman" w:hAnsi="Times New Roman" w:cs="Times New Roman" w:eastAsia="Times New Roman" w:hint="default"/>
        </w:rPr>
        <w:t>2011-2020</w:t>
      </w:r>
      <w:r>
        <w:rPr/>
        <w:t>）》等一系列政策文件促进了行业的发展。</w:t>
      </w:r>
    </w:p>
    <w:p>
      <w:pPr>
        <w:pStyle w:val="BodyText"/>
        <w:spacing w:line="403" w:lineRule="auto" w:before="24"/>
        <w:ind w:right="211" w:firstLine="420"/>
        <w:jc w:val="both"/>
      </w:pPr>
      <w:r>
        <w:rPr>
          <w:spacing w:val="-1"/>
        </w:rPr>
        <w:t>除数字化校园及一卡通以外，公司产品线还涵盖了城市一卡通综合管理、金融</w:t>
      </w:r>
      <w:r>
        <w:rPr>
          <w:rFonts w:ascii="Times New Roman" w:hAnsi="Times New Roman" w:cs="Times New Roman" w:eastAsia="Times New Roman" w:hint="default"/>
          <w:spacing w:val="-1"/>
        </w:rPr>
        <w:t>IC</w:t>
      </w:r>
      <w:r>
        <w:rPr>
          <w:spacing w:val="-1"/>
        </w:rPr>
        <w:t>卡行业应用省级运营</w:t>
      </w:r>
      <w:r>
        <w:rPr/>
        <w:t> </w:t>
      </w:r>
      <w:r>
        <w:rPr>
          <w:spacing w:val="-1"/>
        </w:rPr>
        <w:t>管理、手机一卡通省市级运营管理、短信服务省市运维、能源监控管理等平台系统，均属于新一代信息技</w:t>
      </w:r>
      <w:r>
        <w:rPr>
          <w:spacing w:val="-82"/>
        </w:rPr>
        <w:t> </w:t>
      </w:r>
      <w:r>
        <w:rPr>
          <w:spacing w:val="-82"/>
        </w:rPr>
      </w:r>
      <w:r>
        <w:rPr>
          <w:spacing w:val="-1"/>
        </w:rPr>
        <w:t>术产业的细分领域，行业政策的大力支持将推动公司的可持续发展。从覆盖的高校数量来看，公司目前市</w:t>
      </w:r>
      <w:r>
        <w:rPr>
          <w:spacing w:val="-83"/>
        </w:rPr>
        <w:t> </w:t>
      </w:r>
      <w:r>
        <w:rPr>
          <w:spacing w:val="-83"/>
        </w:rPr>
      </w:r>
      <w:r>
        <w:rPr>
          <w:spacing w:val="-1"/>
        </w:rPr>
        <w:t>场份额第一，在高校信息化浪潮中具有规模优势。同时，国家大力支持发展职业教育产业，旨在快速推动</w:t>
      </w:r>
      <w:r>
        <w:rPr>
          <w:spacing w:val="-82"/>
        </w:rPr>
        <w:t> </w:t>
      </w:r>
      <w:r>
        <w:rPr>
          <w:spacing w:val="-82"/>
        </w:rPr>
      </w:r>
      <w:r>
        <w:rPr/>
        <w:t>行业发展升级、转变人才结构，良好的行业背景与政策环境将为公司的发展带来前所未有的发展机遇。</w:t>
      </w:r>
    </w:p>
    <w:p>
      <w:pPr>
        <w:pStyle w:val="BodyText"/>
        <w:spacing w:line="386" w:lineRule="auto" w:before="50"/>
        <w:ind w:left="574" w:right="333" w:hanging="1"/>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）移动互联网产业迅速发展，与智能一卡通行业的融合带来了新的盈利空间 近年来，我国移动互联网用户规模快速增长，智能移动终端迅速普及，根据</w:t>
      </w:r>
      <w:r>
        <w:rPr>
          <w:rFonts w:ascii="Times New Roman" w:hAnsi="Times New Roman" w:cs="Times New Roman" w:eastAsia="Times New Roman" w:hint="default"/>
        </w:rPr>
        <w:t>Wind</w:t>
      </w:r>
      <w:r>
        <w:rPr/>
        <w:t>的数据，截至</w:t>
      </w:r>
      <w:r>
        <w:rPr>
          <w:rFonts w:ascii="Times New Roman" w:hAnsi="Times New Roman" w:cs="Times New Roman" w:eastAsia="Times New Roman" w:hint="default"/>
        </w:rPr>
        <w:t>2015</w:t>
      </w:r>
    </w:p>
    <w:p>
      <w:pPr>
        <w:pStyle w:val="BodyText"/>
        <w:spacing w:line="396" w:lineRule="auto" w:before="35"/>
        <w:ind w:right="101"/>
        <w:jc w:val="left"/>
      </w:pPr>
      <w:r>
        <w:rPr>
          <w:spacing w:val="-4"/>
        </w:rPr>
        <w:t>年</w:t>
      </w:r>
      <w:r>
        <w:rPr>
          <w:rFonts w:ascii="Times New Roman" w:hAnsi="Times New Roman" w:cs="Times New Roman" w:eastAsia="Times New Roman" w:hint="default"/>
          <w:spacing w:val="-4"/>
        </w:rPr>
        <w:t>6</w:t>
      </w:r>
      <w:r>
        <w:rPr>
          <w:spacing w:val="-4"/>
        </w:rPr>
        <w:t>月，我国手机网民规模为</w:t>
      </w:r>
      <w:r>
        <w:rPr>
          <w:rFonts w:ascii="Times New Roman" w:hAnsi="Times New Roman" w:cs="Times New Roman" w:eastAsia="Times New Roman" w:hint="default"/>
          <w:spacing w:val="-4"/>
        </w:rPr>
        <w:t>5.94</w:t>
      </w:r>
      <w:r>
        <w:rPr>
          <w:spacing w:val="-4"/>
        </w:rPr>
        <w:t>亿，同比增长</w:t>
      </w:r>
      <w:r>
        <w:rPr>
          <w:rFonts w:ascii="Times New Roman" w:hAnsi="Times New Roman" w:cs="Times New Roman" w:eastAsia="Times New Roman" w:hint="default"/>
          <w:spacing w:val="-4"/>
        </w:rPr>
        <w:t>12.62%</w:t>
      </w:r>
      <w:r>
        <w:rPr>
          <w:spacing w:val="-4"/>
        </w:rPr>
        <w:t>，这为我国移动互联网产业的崛起奠定了坚实的基础。</w:t>
      </w:r>
      <w:r>
        <w:rPr>
          <w:spacing w:val="-94"/>
        </w:rPr>
        <w:t> </w:t>
      </w:r>
      <w:r>
        <w:rPr>
          <w:spacing w:val="-94"/>
        </w:rPr>
      </w:r>
      <w:r>
        <w:rPr/>
        <w:t>随着</w:t>
      </w:r>
      <w:r>
        <w:rPr>
          <w:rFonts w:ascii="Times New Roman" w:hAnsi="Times New Roman" w:cs="Times New Roman" w:eastAsia="Times New Roman" w:hint="default"/>
        </w:rPr>
        <w:t>3G/4G</w:t>
      </w:r>
      <w:r>
        <w:rPr/>
        <w:t>通信技术的快速发展和大规模应用，移动互联网产业的商业环境不断成熟，传统互联网公司加 速移动端布局，新兴创业公司则专注于拓展各种细分领域，并开始探索商业化道路，移动互联网产业链不 </w:t>
      </w:r>
      <w:r>
        <w:rPr>
          <w:spacing w:val="-3"/>
        </w:rPr>
        <w:t>断丰富和完善，对社会生活服务各领域的渗透不断加大，移动增值服务、移动购物、移动营销、移动搜索、</w:t>
      </w:r>
      <w:r>
        <w:rPr>
          <w:spacing w:val="-94"/>
        </w:rPr>
        <w:t> </w:t>
      </w:r>
      <w:r>
        <w:rPr>
          <w:spacing w:val="-94"/>
        </w:rPr>
      </w:r>
      <w:r>
        <w:rPr/>
        <w:t>移动游戏等移动互联网的商业形态快速发展，移动互联网产业呈现爆发式增长。根据</w:t>
      </w:r>
      <w:r>
        <w:rPr>
          <w:rFonts w:ascii="Times New Roman" w:hAnsi="Times New Roman" w:cs="Times New Roman" w:eastAsia="Times New Roman" w:hint="default"/>
        </w:rPr>
        <w:t>Wind</w:t>
      </w:r>
      <w:r>
        <w:rPr/>
        <w:t>的数据，</w:t>
      </w:r>
      <w:r>
        <w:rPr>
          <w:rFonts w:ascii="Times New Roman" w:hAnsi="Times New Roman" w:cs="Times New Roman" w:eastAsia="Times New Roman" w:hint="default"/>
        </w:rPr>
        <w:t>2015 </w:t>
      </w:r>
      <w:r>
        <w:rPr/>
        <w:t>年第一季度中国移动互联网市场规模达到</w:t>
      </w:r>
      <w:r>
        <w:rPr>
          <w:rFonts w:ascii="Times New Roman" w:hAnsi="Times New Roman" w:cs="Times New Roman" w:eastAsia="Times New Roman" w:hint="default"/>
        </w:rPr>
        <w:t>761.6</w:t>
      </w:r>
      <w:r>
        <w:rPr/>
        <w:t>亿元，同比增速达到</w:t>
      </w:r>
      <w:r>
        <w:rPr>
          <w:rFonts w:ascii="Times New Roman" w:hAnsi="Times New Roman" w:cs="Times New Roman" w:eastAsia="Times New Roman" w:hint="default"/>
        </w:rPr>
        <w:t>117%</w:t>
      </w:r>
      <w:r>
        <w:rPr/>
        <w:t>。</w:t>
      </w:r>
    </w:p>
    <w:p>
      <w:pPr>
        <w:spacing w:after="0" w:line="396" w:lineRule="auto"/>
        <w:jc w:val="left"/>
        <w:sectPr>
          <w:footerReference w:type="default" r:id="rId26"/>
          <w:pgSz w:w="11910" w:h="16840"/>
          <w:pgMar w:footer="982" w:header="877" w:top="1100" w:bottom="1180" w:left="980" w:right="920"/>
          <w:pgNumType w:start="48"/>
        </w:sectPr>
      </w:pPr>
    </w:p>
    <w:p>
      <w:pPr>
        <w:spacing w:line="240" w:lineRule="auto" w:before="8"/>
        <w:rPr>
          <w:rFonts w:ascii="宋体" w:hAnsi="宋体" w:cs="宋体" w:eastAsia="宋体" w:hint="default"/>
          <w:sz w:val="26"/>
          <w:szCs w:val="26"/>
        </w:rPr>
      </w:pPr>
    </w:p>
    <w:p>
      <w:pPr>
        <w:pStyle w:val="BodyText"/>
        <w:spacing w:line="391" w:lineRule="auto" w:before="35"/>
        <w:ind w:left="153" w:right="209" w:firstLine="420"/>
        <w:jc w:val="both"/>
      </w:pPr>
      <w:r>
        <w:rPr>
          <w:spacing w:val="-1"/>
        </w:rPr>
        <w:t>学生群体也正逐渐成为移动互联网的主导力量。据</w:t>
      </w:r>
      <w:r>
        <w:rPr>
          <w:rFonts w:ascii="Times New Roman" w:hAnsi="Times New Roman" w:cs="Times New Roman" w:eastAsia="Times New Roman" w:hint="default"/>
          <w:spacing w:val="-1"/>
        </w:rPr>
        <w:t>TalkingData</w:t>
      </w:r>
      <w:r>
        <w:rPr>
          <w:spacing w:val="-1"/>
        </w:rPr>
        <w:t>发布的《</w:t>
      </w:r>
      <w:r>
        <w:rPr>
          <w:rFonts w:ascii="Times New Roman" w:hAnsi="Times New Roman" w:cs="Times New Roman" w:eastAsia="Times New Roman" w:hint="default"/>
          <w:spacing w:val="-1"/>
        </w:rPr>
        <w:t>2014</w:t>
      </w:r>
      <w:r>
        <w:rPr>
          <w:spacing w:val="-1"/>
        </w:rPr>
        <w:t>移动互联网数据报告》显</w:t>
      </w:r>
      <w:r>
        <w:rPr/>
        <w:t> </w:t>
      </w:r>
      <w:r>
        <w:rPr>
          <w:spacing w:val="-1"/>
        </w:rPr>
        <w:t>示，截至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月底，我国移动互联网</w:t>
      </w:r>
      <w:r>
        <w:rPr>
          <w:rFonts w:ascii="Times New Roman" w:hAnsi="Times New Roman" w:cs="Times New Roman" w:eastAsia="Times New Roman" w:hint="default"/>
          <w:spacing w:val="-1"/>
        </w:rPr>
        <w:t>25</w:t>
      </w:r>
      <w:r>
        <w:rPr>
          <w:spacing w:val="-1"/>
        </w:rPr>
        <w:t>岁及以下用户占比</w:t>
      </w:r>
      <w:r>
        <w:rPr>
          <w:rFonts w:ascii="Times New Roman" w:hAnsi="Times New Roman" w:cs="Times New Roman" w:eastAsia="Times New Roman" w:hint="default"/>
          <w:spacing w:val="-1"/>
        </w:rPr>
        <w:t>35.7%</w:t>
      </w:r>
      <w:r>
        <w:rPr>
          <w:spacing w:val="-1"/>
        </w:rPr>
        <w:t>，已成为仅次于</w:t>
      </w:r>
      <w:r>
        <w:rPr>
          <w:rFonts w:ascii="Times New Roman" w:hAnsi="Times New Roman" w:cs="Times New Roman" w:eastAsia="Times New Roman" w:hint="default"/>
          <w:spacing w:val="-1"/>
        </w:rPr>
        <w:t>26-35</w:t>
      </w:r>
      <w:r>
        <w:rPr>
          <w:spacing w:val="-1"/>
        </w:rPr>
        <w:t>岁用户的主流用</w:t>
      </w:r>
      <w:r>
        <w:rPr>
          <w:spacing w:val="-69"/>
        </w:rPr>
        <w:t> </w:t>
      </w:r>
      <w:r>
        <w:rPr>
          <w:spacing w:val="-69"/>
        </w:rPr>
      </w:r>
      <w:r>
        <w:rPr/>
        <w:t>户群体，市场潜力巨大。根据国家统计局的数据，</w:t>
      </w:r>
      <w:r>
        <w:rPr>
          <w:rFonts w:ascii="Times New Roman" w:hAnsi="Times New Roman" w:cs="Times New Roman" w:eastAsia="Times New Roman" w:hint="default"/>
        </w:rPr>
        <w:t>2014</w:t>
      </w:r>
      <w:r>
        <w:rPr/>
        <w:t>年我国大学生人数为</w:t>
      </w:r>
      <w:r>
        <w:rPr>
          <w:rFonts w:ascii="Times New Roman" w:hAnsi="Times New Roman" w:cs="Times New Roman" w:eastAsia="Times New Roman" w:hint="default"/>
        </w:rPr>
        <w:t>2468.1</w:t>
      </w:r>
      <w:r>
        <w:rPr/>
        <w:t>万人，随着移动互联网 </w:t>
      </w:r>
      <w:r>
        <w:rPr>
          <w:spacing w:val="-1"/>
        </w:rPr>
        <w:t>影响的不断深入，校园移动互联的市场潜力将被不断挖掘，高校移动互联服务平台项目有助于公司抢占时</w:t>
      </w:r>
      <w:r>
        <w:rPr>
          <w:spacing w:val="-81"/>
        </w:rPr>
        <w:t> </w:t>
      </w:r>
      <w:r>
        <w:rPr>
          <w:spacing w:val="-81"/>
        </w:rPr>
      </w:r>
      <w:r>
        <w:rPr/>
        <w:t>机，快速切入校园移动互联市场。</w:t>
      </w:r>
    </w:p>
    <w:p>
      <w:pPr>
        <w:pStyle w:val="BodyText"/>
        <w:spacing w:line="396" w:lineRule="auto" w:before="61"/>
        <w:ind w:left="153" w:right="104" w:firstLine="420"/>
        <w:jc w:val="left"/>
      </w:pPr>
      <w:r>
        <w:rPr/>
        <w:t>随着互联网用户从</w:t>
      </w:r>
      <w:r>
        <w:rPr>
          <w:rFonts w:ascii="Times New Roman" w:hAnsi="Times New Roman" w:cs="Times New Roman" w:eastAsia="Times New Roman" w:hint="default"/>
        </w:rPr>
        <w:t>PC</w:t>
      </w:r>
      <w:r>
        <w:rPr/>
        <w:t>端逐渐向移动端转移，作为用户接入移动互联网并借以获取内容和服务的第一 站，移动互联网入口成为行业竞争的焦点，所谓</w:t>
      </w:r>
      <w:r>
        <w:rPr>
          <w:rFonts w:ascii="Times New Roman" w:hAnsi="Times New Roman" w:cs="Times New Roman" w:eastAsia="Times New Roman" w:hint="default"/>
        </w:rPr>
        <w:t>“</w:t>
      </w:r>
      <w:r>
        <w:rPr/>
        <w:t>得入口者得天下</w:t>
      </w:r>
      <w:r>
        <w:rPr>
          <w:rFonts w:ascii="Times New Roman" w:hAnsi="Times New Roman" w:cs="Times New Roman" w:eastAsia="Times New Roman" w:hint="default"/>
        </w:rPr>
        <w:t>”</w:t>
      </w:r>
      <w:r>
        <w:rPr/>
        <w:t>，掌握了移动互联网入口就意味着可能 通过高黏度的内容和服务将产品优势转化为用户规模优势和流量优势，并带来源源不断的数据、信息、业 务和收入。移动互联网重构了互联网服务的模式与生态，移动互联网的入口也不再仅仅是</w:t>
      </w:r>
      <w:r>
        <w:rPr>
          <w:rFonts w:ascii="Times New Roman" w:hAnsi="Times New Roman" w:cs="Times New Roman" w:eastAsia="Times New Roman" w:hint="default"/>
        </w:rPr>
        <w:t>PC</w:t>
      </w:r>
      <w:r>
        <w:rPr/>
        <w:t>端的浏览器， 而呈现更强的多元化，从移动互联网用户获取内容与服务的链条来看，其大致包括</w:t>
      </w:r>
      <w:r>
        <w:rPr>
          <w:rFonts w:ascii="Times New Roman" w:hAnsi="Times New Roman" w:cs="Times New Roman" w:eastAsia="Times New Roman" w:hint="default"/>
        </w:rPr>
        <w:t>“</w:t>
      </w:r>
      <w:r>
        <w:rPr/>
        <w:t>用户</w:t>
      </w:r>
      <w:r>
        <w:rPr>
          <w:rFonts w:ascii="Times New Roman" w:hAnsi="Times New Roman" w:cs="Times New Roman" w:eastAsia="Times New Roman" w:hint="default"/>
        </w:rPr>
        <w:t>→</w:t>
      </w:r>
      <w:r>
        <w:rPr/>
        <w:t>硬件终端</w:t>
      </w:r>
      <w:r>
        <w:rPr>
          <w:rFonts w:ascii="Times New Roman" w:hAnsi="Times New Roman" w:cs="Times New Roman" w:eastAsia="Times New Roman" w:hint="default"/>
        </w:rPr>
        <w:t>→</w:t>
      </w:r>
      <w:r>
        <w:rPr/>
        <w:t>操 </w:t>
      </w:r>
      <w:r>
        <w:rPr>
          <w:spacing w:val="-2"/>
        </w:rPr>
        <w:t>作系统</w:t>
      </w:r>
      <w:r>
        <w:rPr>
          <w:rFonts w:ascii="Times New Roman" w:hAnsi="Times New Roman" w:cs="Times New Roman" w:eastAsia="Times New Roman" w:hint="default"/>
          <w:spacing w:val="-2"/>
        </w:rPr>
        <w:t>→</w:t>
      </w:r>
      <w:r>
        <w:rPr>
          <w:spacing w:val="-2"/>
        </w:rPr>
        <w:t>应用程序</w:t>
      </w:r>
      <w:r>
        <w:rPr>
          <w:rFonts w:ascii="Times New Roman" w:hAnsi="Times New Roman" w:cs="Times New Roman" w:eastAsia="Times New Roman" w:hint="default"/>
          <w:spacing w:val="-2"/>
        </w:rPr>
        <w:t>/</w:t>
      </w:r>
      <w:r>
        <w:rPr>
          <w:spacing w:val="-2"/>
        </w:rPr>
        <w:t>即时通讯</w:t>
      </w:r>
      <w:r>
        <w:rPr>
          <w:rFonts w:ascii="Times New Roman" w:hAnsi="Times New Roman" w:cs="Times New Roman" w:eastAsia="Times New Roman" w:hint="default"/>
          <w:spacing w:val="-2"/>
        </w:rPr>
        <w:t>/</w:t>
      </w:r>
      <w:r>
        <w:rPr>
          <w:spacing w:val="-2"/>
        </w:rPr>
        <w:t>搜索引擎</w:t>
      </w:r>
      <w:r>
        <w:rPr>
          <w:rFonts w:ascii="Times New Roman" w:hAnsi="Times New Roman" w:cs="Times New Roman" w:eastAsia="Times New Roman" w:hint="default"/>
          <w:spacing w:val="-2"/>
        </w:rPr>
        <w:t>/</w:t>
      </w:r>
      <w:r>
        <w:rPr>
          <w:spacing w:val="-2"/>
        </w:rPr>
        <w:t>地图</w:t>
      </w:r>
      <w:r>
        <w:rPr>
          <w:rFonts w:ascii="Times New Roman" w:hAnsi="Times New Roman" w:cs="Times New Roman" w:eastAsia="Times New Roman" w:hint="default"/>
          <w:spacing w:val="-2"/>
        </w:rPr>
        <w:t>→</w:t>
      </w:r>
      <w:r>
        <w:rPr>
          <w:spacing w:val="-2"/>
        </w:rPr>
        <w:t>互联网内容与服务</w:t>
      </w:r>
      <w:r>
        <w:rPr>
          <w:rFonts w:ascii="Times New Roman" w:hAnsi="Times New Roman" w:cs="Times New Roman" w:eastAsia="Times New Roman" w:hint="default"/>
          <w:spacing w:val="-2"/>
        </w:rPr>
        <w:t>”</w:t>
      </w:r>
      <w:r>
        <w:rPr>
          <w:spacing w:val="-2"/>
        </w:rPr>
        <w:t>等环节，移动互联网入口的争夺也经历了</w:t>
      </w:r>
      <w:r>
        <w:rPr>
          <w:spacing w:val="-88"/>
        </w:rPr>
        <w:t> </w:t>
      </w:r>
      <w:r>
        <w:rPr>
          <w:spacing w:val="-88"/>
        </w:rPr>
      </w:r>
      <w:r>
        <w:rPr>
          <w:spacing w:val="-2"/>
        </w:rPr>
        <w:t>从基础的硬件终端、操作系统到移动应用及内容的演变。</w:t>
      </w:r>
      <w:r>
        <w:rPr>
          <w:rFonts w:ascii="Times New Roman" w:hAnsi="Times New Roman" w:cs="Times New Roman" w:eastAsia="Times New Roman" w:hint="default"/>
          <w:spacing w:val="-2"/>
        </w:rPr>
        <w:t>2011-2012</w:t>
      </w:r>
      <w:r>
        <w:rPr>
          <w:spacing w:val="-2"/>
        </w:rPr>
        <w:t>年，众多的互联网企业纷纷与手机厂商</w:t>
      </w:r>
      <w:r>
        <w:rPr>
          <w:spacing w:val="-102"/>
        </w:rPr>
        <w:t> </w:t>
      </w:r>
      <w:r>
        <w:rPr>
          <w:spacing w:val="-102"/>
        </w:rPr>
      </w:r>
      <w:r>
        <w:rPr/>
        <w:t>合作，推出了一系列的定制终端以及定制系统，希望通过硬件的竞争获取用户。</w:t>
      </w:r>
      <w:r>
        <w:rPr>
          <w:rFonts w:ascii="Times New Roman" w:hAnsi="Times New Roman" w:cs="Times New Roman" w:eastAsia="Times New Roman" w:hint="default"/>
        </w:rPr>
        <w:t>2013</w:t>
      </w:r>
      <w:r>
        <w:rPr/>
        <w:t>年以来，一大批拥有 海量用户的移动应用纷纷产生，移动互联网的入口之争已经不再停留在硬件终端、操作系统层面，移动应 用及内容层面的所谓</w:t>
      </w:r>
      <w:r>
        <w:rPr>
          <w:rFonts w:ascii="Times New Roman" w:hAnsi="Times New Roman" w:cs="Times New Roman" w:eastAsia="Times New Roman" w:hint="default"/>
        </w:rPr>
        <w:t>“</w:t>
      </w:r>
      <w:r>
        <w:rPr/>
        <w:t>超级</w:t>
      </w:r>
      <w:r>
        <w:rPr>
          <w:rFonts w:ascii="Times New Roman" w:hAnsi="Times New Roman" w:cs="Times New Roman" w:eastAsia="Times New Roman" w:hint="default"/>
        </w:rPr>
        <w:t>APP”</w:t>
      </w:r>
      <w:r>
        <w:rPr/>
        <w:t>和诸多细分领域领先的</w:t>
      </w:r>
      <w:r>
        <w:rPr>
          <w:rFonts w:ascii="Times New Roman" w:hAnsi="Times New Roman" w:cs="Times New Roman" w:eastAsia="Times New Roman" w:hint="default"/>
        </w:rPr>
        <w:t>APP</w:t>
      </w:r>
      <w:r>
        <w:rPr/>
        <w:t>都成为互联网巨头竞争的重点。地图、即时通 信、应用分发平台、支付、浏览器等移动应用不再仅仅是提供服务的关键界面，也成为用户导流的重要方 式，满足用户刚性需求的移动应用在移动互联网时代的入口价值被充分挖掘，各大互联网巨头也纷纷进行 </w:t>
      </w:r>
      <w:r>
        <w:rPr>
          <w:spacing w:val="-3"/>
        </w:rPr>
        <w:t>战略布局。随着各大互联网巨头通过战略投资、并购等手段抢夺移动互联网入口资源，打造各自的生态圈，</w:t>
      </w:r>
      <w:r>
        <w:rPr>
          <w:spacing w:val="-90"/>
        </w:rPr>
        <w:t> </w:t>
      </w:r>
      <w:r>
        <w:rPr>
          <w:spacing w:val="-90"/>
        </w:rPr>
      </w:r>
      <w:r>
        <w:rPr/>
        <w:t>移动互联网行业的竞争格局逐渐明晰。拥有数量庞大、需求鲜明、粘性极高的特定潜在用户，已成为移动</w:t>
      </w:r>
      <w:r>
        <w:rPr/>
        <w:t> 互联网重点竞争的领域。</w:t>
      </w:r>
    </w:p>
    <w:p>
      <w:pPr>
        <w:pStyle w:val="BodyText"/>
        <w:spacing w:line="396" w:lineRule="auto" w:before="56"/>
        <w:ind w:right="101" w:firstLine="420"/>
        <w:jc w:val="left"/>
      </w:pPr>
      <w:r>
        <w:rPr>
          <w:spacing w:val="-2"/>
        </w:rPr>
        <w:t>截至目前，公司已经为全国</w:t>
      </w:r>
      <w:r>
        <w:rPr>
          <w:rFonts w:ascii="Times New Roman" w:hAnsi="Times New Roman" w:cs="Times New Roman" w:eastAsia="Times New Roman" w:hint="default"/>
          <w:spacing w:val="-2"/>
        </w:rPr>
        <w:t>850</w:t>
      </w:r>
      <w:r>
        <w:rPr>
          <w:spacing w:val="-2"/>
        </w:rPr>
        <w:t>余所本专科院校及</w:t>
      </w:r>
      <w:r>
        <w:rPr>
          <w:rFonts w:ascii="Times New Roman" w:hAnsi="Times New Roman" w:cs="Times New Roman" w:eastAsia="Times New Roman" w:hint="default"/>
          <w:spacing w:val="-2"/>
        </w:rPr>
        <w:t>950</w:t>
      </w:r>
      <w:r>
        <w:rPr>
          <w:spacing w:val="-2"/>
        </w:rPr>
        <w:t>余所中职院校的</w:t>
      </w:r>
      <w:r>
        <w:rPr>
          <w:rFonts w:ascii="Times New Roman" w:hAnsi="Times New Roman" w:cs="Times New Roman" w:eastAsia="Times New Roman" w:hint="default"/>
          <w:spacing w:val="-2"/>
        </w:rPr>
        <w:t>1,000</w:t>
      </w:r>
      <w:r>
        <w:rPr>
          <w:spacing w:val="-2"/>
        </w:rPr>
        <w:t>余万持卡人用户提供了个性</w:t>
      </w:r>
      <w:r>
        <w:rPr/>
        <w:t> 化、可持续的校园信息化服务。同时，公司已经在全国范围内设立</w:t>
      </w:r>
      <w:r>
        <w:rPr>
          <w:rFonts w:ascii="Times New Roman" w:hAnsi="Times New Roman" w:cs="Times New Roman" w:eastAsia="Times New Roman" w:hint="default"/>
        </w:rPr>
        <w:t>30</w:t>
      </w:r>
      <w:r>
        <w:rPr/>
        <w:t>多家分支机构，建立了成熟的销售渠 道和客户服务体系。线下业务多年的经营积累为公司进军移动互联网提供了良好的保障，便于公司快速将 线下资源向线上转移。公司以一卡通为切入点，通过持续占领高校市场不断扩大线下用户群体规模，同时 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月正式推出首款面向高校自主运营的移动互联网产品</w:t>
      </w:r>
      <w:r>
        <w:rPr>
          <w:rFonts w:ascii="Times New Roman" w:hAnsi="Times New Roman" w:cs="Times New Roman" w:eastAsia="Times New Roman" w:hint="default"/>
        </w:rPr>
        <w:t>“</w:t>
      </w:r>
      <w:r>
        <w:rPr/>
        <w:t>玩校</w:t>
      </w:r>
      <w:r>
        <w:rPr>
          <w:rFonts w:ascii="Times New Roman" w:hAnsi="Times New Roman" w:cs="Times New Roman" w:eastAsia="Times New Roman" w:hint="default"/>
        </w:rPr>
        <w:t>”APP</w:t>
      </w:r>
      <w:r>
        <w:rPr/>
        <w:t>，进军移动互联网领域。</w:t>
      </w:r>
      <w:r>
        <w:rPr>
          <w:rFonts w:ascii="Times New Roman" w:hAnsi="Times New Roman" w:cs="Times New Roman" w:eastAsia="Times New Roman" w:hint="default"/>
        </w:rPr>
        <w:t>“</w:t>
      </w:r>
      <w:r>
        <w:rPr/>
        <w:t>玩 校</w:t>
      </w:r>
      <w:r>
        <w:rPr>
          <w:rFonts w:ascii="Times New Roman" w:hAnsi="Times New Roman" w:cs="Times New Roman" w:eastAsia="Times New Roman" w:hint="default"/>
        </w:rPr>
        <w:t>”APP</w:t>
      </w:r>
      <w:r>
        <w:rPr/>
        <w:t>集智能一卡通、</w:t>
      </w:r>
      <w:r>
        <w:rPr>
          <w:rFonts w:ascii="Times New Roman" w:hAnsi="Times New Roman" w:cs="Times New Roman" w:eastAsia="Times New Roman" w:hint="default"/>
        </w:rPr>
        <w:t>NFC</w:t>
      </w:r>
      <w:r>
        <w:rPr/>
        <w:t>移动支付、校园公共服务、校园通讯录等功能于一体，截至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月已接入 高校</w:t>
      </w:r>
      <w:r>
        <w:rPr>
          <w:rFonts w:ascii="Times New Roman" w:hAnsi="Times New Roman" w:cs="Times New Roman" w:eastAsia="Times New Roman" w:hint="default"/>
        </w:rPr>
        <w:t>400</w:t>
      </w:r>
      <w:r>
        <w:rPr/>
        <w:t>余所，覆盖用户</w:t>
      </w:r>
      <w:r>
        <w:rPr>
          <w:rFonts w:ascii="Times New Roman" w:hAnsi="Times New Roman" w:cs="Times New Roman" w:eastAsia="Times New Roman" w:hint="default"/>
        </w:rPr>
        <w:t>400</w:t>
      </w:r>
      <w:r>
        <w:rPr/>
        <w:t>余万人，用户基数大、需求鲜明、粘性强，具备较强的入口优势。未来公司将 </w:t>
      </w:r>
      <w:r>
        <w:rPr>
          <w:spacing w:val="-3"/>
        </w:rPr>
        <w:t>为高校师生打造学习、生活、社交、商圈、支付、创业等各类智能移动应用服务的高校移动互联服务平台，</w:t>
      </w:r>
      <w:r>
        <w:rPr>
          <w:spacing w:val="-94"/>
        </w:rPr>
        <w:t> </w:t>
      </w:r>
      <w:r>
        <w:rPr>
          <w:spacing w:val="-94"/>
        </w:rPr>
      </w:r>
      <w:r>
        <w:rPr/>
        <w:t>为公司未来进行数据挖掘、分析和运营提供精准通道，从而实现产品升级，完善运营服务体系，完成公司</w:t>
      </w:r>
      <w:r>
        <w:rPr/>
        <w:t> 战略部署。</w:t>
      </w:r>
    </w:p>
    <w:p>
      <w:pPr>
        <w:spacing w:after="0" w:line="396" w:lineRule="auto"/>
        <w:jc w:val="left"/>
        <w:sectPr>
          <w:footerReference w:type="default" r:id="rId27"/>
          <w:pgSz w:w="11910" w:h="16840"/>
          <w:pgMar w:footer="982" w:header="877" w:top="1100" w:bottom="1180" w:left="980" w:right="920"/>
          <w:pgNumType w:start="49"/>
        </w:sectPr>
      </w:pPr>
    </w:p>
    <w:p>
      <w:pPr>
        <w:spacing w:line="240" w:lineRule="auto" w:before="8"/>
        <w:rPr>
          <w:rFonts w:ascii="宋体" w:hAnsi="宋体" w:cs="宋体" w:eastAsia="宋体" w:hint="default"/>
          <w:sz w:val="26"/>
          <w:szCs w:val="26"/>
        </w:rPr>
      </w:pPr>
    </w:p>
    <w:p>
      <w:pPr>
        <w:pStyle w:val="BodyText"/>
        <w:spacing w:line="386" w:lineRule="auto" w:before="35"/>
        <w:ind w:left="574" w:right="95" w:hanging="1"/>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NFC</w:t>
      </w:r>
      <w:r>
        <w:rPr/>
        <w:t>近场支付产业进入快速发展的黄金时期 </w:t>
      </w:r>
      <w:r>
        <w:rPr>
          <w:spacing w:val="-1"/>
        </w:rPr>
        <w:t>根据央行季度支付体系运行情况报告，</w:t>
      </w:r>
      <w:r>
        <w:rPr>
          <w:rFonts w:ascii="Times New Roman" w:hAnsi="Times New Roman" w:cs="Times New Roman" w:eastAsia="Times New Roman" w:hint="default"/>
          <w:spacing w:val="-1"/>
        </w:rPr>
        <w:t>2013</w:t>
      </w:r>
      <w:r>
        <w:rPr>
          <w:spacing w:val="-1"/>
        </w:rPr>
        <w:t>年以来，我国移动支付业务呈现爆发式增长态势，</w:t>
      </w:r>
      <w:r>
        <w:rPr>
          <w:rFonts w:ascii="Times New Roman" w:hAnsi="Times New Roman" w:cs="Times New Roman" w:eastAsia="Times New Roman" w:hint="default"/>
          <w:spacing w:val="-1"/>
        </w:rPr>
        <w:t>2014</w:t>
      </w:r>
      <w:r>
        <w:rPr>
          <w:spacing w:val="-1"/>
        </w:rPr>
        <w:t>年</w:t>
      </w:r>
    </w:p>
    <w:p>
      <w:pPr>
        <w:pStyle w:val="BodyText"/>
        <w:spacing w:line="391" w:lineRule="auto" w:before="35"/>
        <w:ind w:left="153" w:right="102"/>
        <w:jc w:val="left"/>
      </w:pPr>
      <w:r>
        <w:rPr>
          <w:rFonts w:ascii="Times New Roman" w:hAnsi="Times New Roman" w:cs="Times New Roman" w:eastAsia="Times New Roman" w:hint="default"/>
          <w:spacing w:val="-2"/>
        </w:rPr>
        <w:t>3</w:t>
      </w:r>
      <w:r>
        <w:rPr>
          <w:spacing w:val="-2"/>
        </w:rPr>
        <w:t>季度移动支付金额达</w:t>
      </w:r>
      <w:r>
        <w:rPr>
          <w:rFonts w:ascii="Times New Roman" w:hAnsi="Times New Roman" w:cs="Times New Roman" w:eastAsia="Times New Roman" w:hint="default"/>
          <w:spacing w:val="-2"/>
        </w:rPr>
        <w:t>6.16</w:t>
      </w:r>
      <w:r>
        <w:rPr>
          <w:spacing w:val="-2"/>
        </w:rPr>
        <w:t>万亿元，同比增长</w:t>
      </w:r>
      <w:r>
        <w:rPr>
          <w:rFonts w:ascii="Times New Roman" w:hAnsi="Times New Roman" w:cs="Times New Roman" w:eastAsia="Times New Roman" w:hint="default"/>
          <w:spacing w:val="-2"/>
        </w:rPr>
        <w:t>112.7%</w:t>
      </w:r>
      <w:r>
        <w:rPr>
          <w:spacing w:val="-2"/>
        </w:rPr>
        <w:t>，增速远高于电子支付（包括网上支付、电话支付和移</w:t>
      </w:r>
      <w:r>
        <w:rPr>
          <w:spacing w:val="-99"/>
        </w:rPr>
        <w:t> </w:t>
      </w:r>
      <w:r>
        <w:rPr>
          <w:spacing w:val="-99"/>
        </w:rPr>
      </w:r>
      <w:r>
        <w:rPr/>
        <w:t>动支付）整体</w:t>
      </w:r>
      <w:r>
        <w:rPr>
          <w:rFonts w:ascii="Times New Roman" w:hAnsi="Times New Roman" w:cs="Times New Roman" w:eastAsia="Times New Roman" w:hint="default"/>
        </w:rPr>
        <w:t>31.92%</w:t>
      </w:r>
      <w:r>
        <w:rPr/>
        <w:t>的增速，但其在电子支付中的占比仍相对较小，从业务数量来看，移动支付占电子支 付业务笔数的比重仅为</w:t>
      </w:r>
      <w:r>
        <w:rPr>
          <w:rFonts w:ascii="Times New Roman" w:hAnsi="Times New Roman" w:cs="Times New Roman" w:eastAsia="Times New Roman" w:hint="default"/>
        </w:rPr>
        <w:t>15%</w:t>
      </w:r>
      <w:r>
        <w:rPr/>
        <w:t>，随着移动网民数量的大幅增长，以及移动互联网产业的迅速发展，移动支付 </w:t>
      </w:r>
      <w:r>
        <w:rPr>
          <w:spacing w:val="-3"/>
        </w:rPr>
        <w:t>仍有广阔的发展空间。近年来，虽然三大运营商积极推动近场支付产业的发展，但受制于技术标准不统一、</w:t>
      </w:r>
      <w:r>
        <w:rPr>
          <w:spacing w:val="-90"/>
        </w:rPr>
        <w:t> </w:t>
      </w:r>
      <w:r>
        <w:rPr>
          <w:spacing w:val="-90"/>
        </w:rPr>
      </w:r>
      <w:r>
        <w:rPr/>
        <w:t>硬件设施不健全等限制，我国近场支付产业发展仍相对缓慢，近场支付在移动支付中的占比还相对较低， 随着近场支付相关技术标准逐渐统一、受理环境不断改善、政策环境逐渐成熟，凭借安全性、应用场景、 便捷性等方面的优势，近场支付在移动支付中的占比有望大幅提升。在技术标准方面，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月，央行 发布了中国金融移动支付系列技术标准，我国近场支付标准正式确立；在硬件方面，</w:t>
      </w:r>
      <w:r>
        <w:rPr>
          <w:rFonts w:ascii="Times New Roman" w:hAnsi="Times New Roman" w:cs="Times New Roman" w:eastAsia="Times New Roman" w:hint="default"/>
        </w:rPr>
        <w:t>NFC</w:t>
      </w:r>
      <w:r>
        <w:rPr/>
        <w:t>近场支付的大规 模应用离不开支持</w:t>
      </w:r>
      <w:r>
        <w:rPr>
          <w:rFonts w:ascii="Times New Roman" w:hAnsi="Times New Roman" w:cs="Times New Roman" w:eastAsia="Times New Roman" w:hint="default"/>
        </w:rPr>
        <w:t>NFC</w:t>
      </w:r>
      <w:r>
        <w:rPr/>
        <w:t>的</w:t>
      </w:r>
      <w:r>
        <w:rPr>
          <w:rFonts w:ascii="Times New Roman" w:hAnsi="Times New Roman" w:cs="Times New Roman" w:eastAsia="Times New Roman" w:hint="default"/>
        </w:rPr>
        <w:t>POS</w:t>
      </w:r>
      <w:r>
        <w:rPr/>
        <w:t>终端和智能手机的普及，根据中国银联的数据，全国</w:t>
      </w:r>
      <w:r>
        <w:rPr>
          <w:rFonts w:ascii="Times New Roman" w:hAnsi="Times New Roman" w:cs="Times New Roman" w:eastAsia="Times New Roman" w:hint="default"/>
        </w:rPr>
        <w:t>“</w:t>
      </w:r>
      <w:r>
        <w:rPr/>
        <w:t>闪付</w:t>
      </w:r>
      <w:r>
        <w:rPr>
          <w:rFonts w:ascii="Times New Roman" w:hAnsi="Times New Roman" w:cs="Times New Roman" w:eastAsia="Times New Roman" w:hint="default"/>
        </w:rPr>
        <w:t>”POS</w:t>
      </w:r>
      <w:r>
        <w:rPr/>
        <w:t>终端（支持 </w:t>
      </w:r>
      <w:r>
        <w:rPr>
          <w:spacing w:val="-1"/>
        </w:rPr>
        <w:t>金融</w:t>
      </w:r>
      <w:r>
        <w:rPr>
          <w:rFonts w:ascii="Times New Roman" w:hAnsi="Times New Roman" w:cs="Times New Roman" w:eastAsia="Times New Roman" w:hint="default"/>
          <w:spacing w:val="-1"/>
        </w:rPr>
        <w:t>IC</w:t>
      </w:r>
      <w:r>
        <w:rPr>
          <w:spacing w:val="-1"/>
        </w:rPr>
        <w:t>卡和</w:t>
      </w:r>
      <w:r>
        <w:rPr>
          <w:rFonts w:ascii="Times New Roman" w:hAnsi="Times New Roman" w:cs="Times New Roman" w:eastAsia="Times New Roman" w:hint="default"/>
          <w:spacing w:val="-1"/>
        </w:rPr>
        <w:t>NFC</w:t>
      </w:r>
      <w:r>
        <w:rPr>
          <w:spacing w:val="-1"/>
        </w:rPr>
        <w:t>）的数量已达近</w:t>
      </w:r>
      <w:r>
        <w:rPr>
          <w:rFonts w:ascii="Times New Roman" w:hAnsi="Times New Roman" w:cs="Times New Roman" w:eastAsia="Times New Roman" w:hint="default"/>
          <w:spacing w:val="-1"/>
        </w:rPr>
        <w:t>400</w:t>
      </w:r>
      <w:r>
        <w:rPr>
          <w:spacing w:val="-1"/>
        </w:rPr>
        <w:t>万台，并已基本覆盖了公交、地铁、出租、停车、高铁、超市、百货、</w:t>
      </w:r>
      <w:r>
        <w:rPr>
          <w:spacing w:val="-77"/>
        </w:rPr>
        <w:t> </w:t>
      </w:r>
      <w:r>
        <w:rPr>
          <w:spacing w:val="-77"/>
        </w:rPr>
      </w:r>
      <w:r>
        <w:rPr/>
        <w:t>快餐、菜场等生活服务区域；在</w:t>
      </w:r>
      <w:r>
        <w:rPr>
          <w:rFonts w:ascii="Times New Roman" w:hAnsi="Times New Roman" w:cs="Times New Roman" w:eastAsia="Times New Roman" w:hint="default"/>
        </w:rPr>
        <w:t>NFC</w:t>
      </w:r>
      <w:r>
        <w:rPr/>
        <w:t>手机方面，目前，主流手机厂商大都已经推出了具备</w:t>
      </w:r>
      <w:r>
        <w:rPr>
          <w:rFonts w:ascii="Times New Roman" w:hAnsi="Times New Roman" w:cs="Times New Roman" w:eastAsia="Times New Roman" w:hint="default"/>
        </w:rPr>
        <w:t>NFC</w:t>
      </w:r>
      <w:r>
        <w:rPr/>
        <w:t>功能的智能 </w:t>
      </w:r>
      <w:r>
        <w:rPr>
          <w:spacing w:val="-7"/>
        </w:rPr>
        <w:t>手机，以</w:t>
      </w:r>
      <w:r>
        <w:rPr>
          <w:rFonts w:ascii="Times New Roman" w:hAnsi="Times New Roman" w:cs="Times New Roman" w:eastAsia="Times New Roman" w:hint="default"/>
          <w:spacing w:val="-7"/>
        </w:rPr>
        <w:t>NFC</w:t>
      </w:r>
      <w:r>
        <w:rPr>
          <w:spacing w:val="-7"/>
        </w:rPr>
        <w:t>为基础的</w:t>
      </w:r>
      <w:r>
        <w:rPr>
          <w:spacing w:val="-16"/>
        </w:rPr>
        <w:t> </w:t>
      </w:r>
      <w:r>
        <w:rPr>
          <w:rFonts w:ascii="Times New Roman" w:hAnsi="Times New Roman" w:cs="Times New Roman" w:eastAsia="Times New Roman" w:hint="default"/>
        </w:rPr>
        <w:t>“Apple</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6"/>
        </w:rPr>
        <w:t>Pay”</w:t>
      </w:r>
      <w:r>
        <w:rPr>
          <w:spacing w:val="-6"/>
        </w:rPr>
        <w:t>、</w:t>
      </w:r>
      <w:r>
        <w:rPr>
          <w:rFonts w:ascii="Times New Roman" w:hAnsi="Times New Roman" w:cs="Times New Roman" w:eastAsia="Times New Roman" w:hint="default"/>
          <w:spacing w:val="-6"/>
        </w:rPr>
        <w:t>“</w:t>
      </w:r>
      <w:r>
        <w:rPr>
          <w:spacing w:val="-6"/>
        </w:rPr>
        <w:t>三星智付</w:t>
      </w:r>
      <w:r>
        <w:rPr>
          <w:rFonts w:ascii="Times New Roman" w:hAnsi="Times New Roman" w:cs="Times New Roman" w:eastAsia="Times New Roman" w:hint="default"/>
          <w:spacing w:val="-6"/>
        </w:rPr>
        <w:t>”</w:t>
      </w:r>
      <w:r>
        <w:rPr>
          <w:spacing w:val="-6"/>
        </w:rPr>
        <w:t>，以及华为即将推出的</w:t>
      </w:r>
      <w:r>
        <w:rPr>
          <w:rFonts w:ascii="Times New Roman" w:hAnsi="Times New Roman" w:cs="Times New Roman" w:eastAsia="Times New Roman" w:hint="default"/>
          <w:spacing w:val="-6"/>
        </w:rPr>
        <w:t>“Huawei</w:t>
      </w:r>
      <w:r>
        <w:rPr>
          <w:rFonts w:ascii="Times New Roman" w:hAnsi="Times New Roman" w:cs="Times New Roman" w:eastAsia="Times New Roman" w:hint="default"/>
          <w:spacing w:val="-9"/>
        </w:rPr>
        <w:t> </w:t>
      </w:r>
      <w:r>
        <w:rPr>
          <w:rFonts w:ascii="Times New Roman" w:hAnsi="Times New Roman" w:cs="Times New Roman" w:eastAsia="Times New Roman" w:hint="default"/>
        </w:rPr>
        <w:t>Pay”</w:t>
      </w:r>
      <w:r>
        <w:rPr/>
        <w:t>都从各个方面推动</w:t>
      </w:r>
      <w:r>
        <w:rPr>
          <w:rFonts w:ascii="Times New Roman" w:hAnsi="Times New Roman" w:cs="Times New Roman" w:eastAsia="Times New Roman" w:hint="default"/>
        </w:rPr>
        <w:t>NFC</w:t>
      </w:r>
      <w:r>
        <w:rPr>
          <w:rFonts w:ascii="Times New Roman" w:hAnsi="Times New Roman" w:cs="Times New Roman" w:eastAsia="Times New Roman" w:hint="default"/>
          <w:spacing w:val="-45"/>
        </w:rPr>
        <w:t> </w:t>
      </w:r>
      <w:r>
        <w:rPr/>
        <w:t>手机的出货量快速增长用户使用习惯也迅速被培养起来，支持</w:t>
      </w:r>
      <w:r>
        <w:rPr>
          <w:rFonts w:ascii="Times New Roman" w:hAnsi="Times New Roman" w:cs="Times New Roman" w:eastAsia="Times New Roman" w:hint="default"/>
        </w:rPr>
        <w:t>NFC</w:t>
      </w:r>
      <w:r>
        <w:rPr/>
        <w:t>的</w:t>
      </w:r>
      <w:r>
        <w:rPr>
          <w:rFonts w:ascii="Times New Roman" w:hAnsi="Times New Roman" w:cs="Times New Roman" w:eastAsia="Times New Roman" w:hint="default"/>
        </w:rPr>
        <w:t>POS</w:t>
      </w:r>
      <w:r>
        <w:rPr/>
        <w:t>终端和智能手机的大规模应用使 得终端设备对</w:t>
      </w:r>
      <w:r>
        <w:rPr>
          <w:rFonts w:ascii="Times New Roman" w:hAnsi="Times New Roman" w:cs="Times New Roman" w:eastAsia="Times New Roman" w:hint="default"/>
        </w:rPr>
        <w:t>NFC</w:t>
      </w:r>
      <w:r>
        <w:rPr/>
        <w:t>支付的制约逐步消失。此外，在政策环境方面，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月，央行下发《中国人民银行 关于手机支付业务发展的指导意见》，也提出大力鼓励商业银行拓展</w:t>
      </w:r>
      <w:r>
        <w:rPr>
          <w:rFonts w:ascii="Times New Roman" w:hAnsi="Times New Roman" w:cs="Times New Roman" w:eastAsia="Times New Roman" w:hint="default"/>
        </w:rPr>
        <w:t>NFC</w:t>
      </w:r>
      <w:r>
        <w:rPr/>
        <w:t>手机近场支付应用，我国</w:t>
      </w:r>
      <w:r>
        <w:rPr>
          <w:rFonts w:ascii="Times New Roman" w:hAnsi="Times New Roman" w:cs="Times New Roman" w:eastAsia="Times New Roman" w:hint="default"/>
        </w:rPr>
        <w:t>NFC</w:t>
      </w:r>
      <w:r>
        <w:rPr/>
        <w:t>移 动支付产业进入发展的黄金时期。</w:t>
      </w:r>
    </w:p>
    <w:p>
      <w:pPr>
        <w:pStyle w:val="BodyText"/>
        <w:spacing w:line="386" w:lineRule="auto" w:before="61"/>
        <w:ind w:right="95" w:firstLine="419"/>
        <w:jc w:val="left"/>
      </w:pPr>
      <w:r>
        <w:rPr>
          <w:rFonts w:ascii="Times New Roman" w:hAnsi="Times New Roman" w:cs="Times New Roman" w:eastAsia="Times New Roman" w:hint="default"/>
        </w:rPr>
        <w:t>NFC</w:t>
      </w:r>
      <w:r>
        <w:rPr/>
        <w:t>近场支付主要利用</w:t>
      </w:r>
      <w:r>
        <w:rPr>
          <w:rFonts w:ascii="Times New Roman" w:hAnsi="Times New Roman" w:cs="Times New Roman" w:eastAsia="Times New Roman" w:hint="default"/>
        </w:rPr>
        <w:t>RFID</w:t>
      </w:r>
      <w:r>
        <w:rPr/>
        <w:t>技术，是智能一卡通行业</w:t>
      </w:r>
      <w:r>
        <w:rPr>
          <w:rFonts w:ascii="Times New Roman" w:hAnsi="Times New Roman" w:cs="Times New Roman" w:eastAsia="Times New Roman" w:hint="default"/>
        </w:rPr>
        <w:t>RFID</w:t>
      </w:r>
      <w:r>
        <w:rPr/>
        <w:t>和智能卡技术在手机载体上应用的典型业 </w:t>
      </w:r>
      <w:r>
        <w:rPr>
          <w:spacing w:val="-1"/>
        </w:rPr>
        <w:t>务，我国</w:t>
      </w:r>
      <w:r>
        <w:rPr>
          <w:rFonts w:ascii="Times New Roman" w:hAnsi="Times New Roman" w:cs="Times New Roman" w:eastAsia="Times New Roman" w:hint="default"/>
          <w:spacing w:val="-1"/>
        </w:rPr>
        <w:t>NFC</w:t>
      </w:r>
      <w:r>
        <w:rPr>
          <w:spacing w:val="-1"/>
        </w:rPr>
        <w:t>移动支付产业的高速发展将为解决方案提供商、系统集成商、服务提供商、中间件及应用商</w:t>
      </w:r>
      <w:r>
        <w:rPr>
          <w:spacing w:val="-72"/>
        </w:rPr>
        <w:t> </w:t>
      </w:r>
      <w:r>
        <w:rPr>
          <w:spacing w:val="-72"/>
        </w:rPr>
      </w:r>
      <w:r>
        <w:rPr/>
        <w:t>带来巨大的市场需求，智能一卡通行业也将因此而受益。</w:t>
      </w:r>
    </w:p>
    <w:p>
      <w:pPr>
        <w:pStyle w:val="BodyText"/>
        <w:spacing w:line="386" w:lineRule="auto" w:before="65"/>
        <w:ind w:left="574" w:right="203" w:hanging="1"/>
        <w:jc w:val="left"/>
      </w:pPr>
      <w:r>
        <w:rPr/>
        <w:t>（</w:t>
      </w:r>
      <w:r>
        <w:rPr>
          <w:rFonts w:ascii="Times New Roman" w:hAnsi="Times New Roman" w:cs="Times New Roman" w:eastAsia="Times New Roman" w:hint="default"/>
        </w:rPr>
        <w:t>4</w:t>
      </w:r>
      <w:r>
        <w:rPr/>
        <w:t>）物联网应用发展进入实质性推进阶段 </w:t>
      </w:r>
      <w:r>
        <w:rPr>
          <w:spacing w:val="-2"/>
        </w:rPr>
        <w:t>物联网将所有的物品通过短距离射频识别（</w:t>
      </w:r>
      <w:r>
        <w:rPr>
          <w:rFonts w:ascii="Times New Roman" w:hAnsi="Times New Roman" w:cs="Times New Roman" w:eastAsia="Times New Roman" w:hint="default"/>
          <w:spacing w:val="-2"/>
        </w:rPr>
        <w:t>RFID</w:t>
      </w:r>
      <w:r>
        <w:rPr>
          <w:spacing w:val="-2"/>
        </w:rPr>
        <w:t>）等信息传感设备与互联网连接起来，实现局域范围</w:t>
      </w:r>
    </w:p>
    <w:p>
      <w:pPr>
        <w:pStyle w:val="BodyText"/>
        <w:spacing w:line="405" w:lineRule="auto" w:before="35"/>
        <w:ind w:left="153" w:right="102"/>
        <w:jc w:val="left"/>
      </w:pPr>
      <w:r>
        <w:rPr/>
        <w:t>内的物品</w:t>
      </w:r>
      <w:r>
        <w:rPr>
          <w:rFonts w:ascii="Times New Roman" w:hAnsi="Times New Roman" w:cs="Times New Roman" w:eastAsia="Times New Roman" w:hint="default"/>
        </w:rPr>
        <w:t>“</w:t>
      </w:r>
      <w:r>
        <w:rPr/>
        <w:t>智能化识别和管理</w:t>
      </w:r>
      <w:r>
        <w:rPr>
          <w:rFonts w:ascii="Times New Roman" w:hAnsi="Times New Roman" w:cs="Times New Roman" w:eastAsia="Times New Roman" w:hint="default"/>
        </w:rPr>
        <w:t>”</w:t>
      </w:r>
      <w:r>
        <w:rPr/>
        <w:t>。经过几年的发展，我国物联网产业在技术研发、标准研制、产业培育和行 业应用等方面已具备一定基础，物联网的理念和相关技术产品也已经广泛渗透到社会经济民生的各个领 域，并形成了涵盖以感知端设备和网络设备为代表的物联网制造业，以及以网络服务、软件与集成服务、 应用服务为代表的物联网服务业等相对完善的物联网产业体系，物联网产业规模持续高速增长。在移动互 联网高速发展的推动下，物联网开始融入移动互联网元素，并呈现出巨大的市场潜力和创新空间，物联网 </w:t>
      </w:r>
      <w:r>
        <w:rPr>
          <w:spacing w:val="-3"/>
        </w:rPr>
        <w:t>借鉴移动互联网的技术、模式和渠道，开始从行业领域向民生领域渗透，智慧城市、智慧校园、智慧医疗、</w:t>
      </w:r>
      <w:r>
        <w:rPr>
          <w:spacing w:val="-94"/>
        </w:rPr>
        <w:t> </w:t>
      </w:r>
      <w:r>
        <w:rPr>
          <w:spacing w:val="-94"/>
        </w:rPr>
      </w:r>
      <w:r>
        <w:rPr/>
        <w:t>智能交通等结合了物联网应用的</w:t>
      </w:r>
      <w:r>
        <w:rPr>
          <w:rFonts w:ascii="Times New Roman" w:hAnsi="Times New Roman" w:cs="Times New Roman" w:eastAsia="Times New Roman" w:hint="default"/>
        </w:rPr>
        <w:t>APP</w:t>
      </w:r>
      <w:r>
        <w:rPr/>
        <w:t>不断涌现，如智慧城市开放城市管理的相关数据和能力，可通过智能</w:t>
      </w:r>
    </w:p>
    <w:p>
      <w:pPr>
        <w:spacing w:after="0" w:line="405" w:lineRule="auto"/>
        <w:jc w:val="left"/>
        <w:sectPr>
          <w:footerReference w:type="default" r:id="rId28"/>
          <w:pgSz w:w="11910" w:h="16840"/>
          <w:pgMar w:footer="982" w:header="877" w:top="1100" w:bottom="1180" w:left="980" w:right="920"/>
          <w:pgNumType w:start="50"/>
        </w:sectPr>
      </w:pPr>
    </w:p>
    <w:p>
      <w:pPr>
        <w:spacing w:line="240" w:lineRule="auto" w:before="8"/>
        <w:rPr>
          <w:rFonts w:ascii="宋体" w:hAnsi="宋体" w:cs="宋体" w:eastAsia="宋体" w:hint="default"/>
          <w:sz w:val="26"/>
          <w:szCs w:val="26"/>
        </w:rPr>
      </w:pPr>
    </w:p>
    <w:p>
      <w:pPr>
        <w:pStyle w:val="BodyText"/>
        <w:spacing w:line="408" w:lineRule="auto" w:before="35"/>
        <w:ind w:left="573" w:right="95" w:hanging="420"/>
        <w:jc w:val="left"/>
      </w:pPr>
      <w:r>
        <w:rPr/>
        <w:t>手机向用户提供公共缴费、气象预警、交通引导等便民服务。 </w:t>
      </w:r>
      <w:r>
        <w:rPr>
          <w:spacing w:val="-1"/>
        </w:rPr>
        <w:t>智能一卡通在智慧城市（包括综合交通、商户小额消费、城市管理、智慧建筑等）、智慧校园以及智</w:t>
      </w:r>
    </w:p>
    <w:p>
      <w:pPr>
        <w:pStyle w:val="BodyText"/>
        <w:spacing w:line="408" w:lineRule="auto"/>
        <w:ind w:left="153" w:right="102"/>
        <w:jc w:val="left"/>
      </w:pPr>
      <w:r>
        <w:rPr>
          <w:spacing w:val="-3"/>
        </w:rPr>
        <w:t>慧工业（电力、制造等）等物联网的细分领域有广泛的应用，随着物联网的应用发展进入实质性推进阶段，</w:t>
      </w:r>
      <w:r>
        <w:rPr>
          <w:spacing w:val="-96"/>
        </w:rPr>
        <w:t> </w:t>
      </w:r>
      <w:r>
        <w:rPr>
          <w:spacing w:val="-96"/>
        </w:rPr>
      </w:r>
      <w:r>
        <w:rPr/>
        <w:t>以及物联网与移动互联网、大数据分析等其他信息技术不断融合渗透，智能一卡通的建设范围和应用深度</w:t>
      </w:r>
      <w:r>
        <w:rPr/>
        <w:t> 将不断提升，这将为智能一卡通行业带来巨大的发展空间。</w:t>
      </w:r>
    </w:p>
    <w:p>
      <w:pPr>
        <w:pStyle w:val="BodyText"/>
        <w:spacing w:line="386" w:lineRule="auto"/>
        <w:ind w:left="574" w:right="95" w:hanging="1"/>
        <w:jc w:val="left"/>
      </w:pPr>
      <w:r>
        <w:rPr/>
        <w:t>（</w:t>
      </w:r>
      <w:r>
        <w:rPr>
          <w:rFonts w:ascii="Times New Roman" w:hAnsi="Times New Roman" w:cs="Times New Roman" w:eastAsia="Times New Roman" w:hint="default"/>
        </w:rPr>
        <w:t>5</w:t>
      </w:r>
      <w:r>
        <w:rPr/>
        <w:t>）现代职业教育产业产业快速发展 </w:t>
      </w:r>
      <w:r>
        <w:rPr>
          <w:spacing w:val="-1"/>
        </w:rPr>
        <w:t>自</w:t>
      </w:r>
      <w:r>
        <w:rPr>
          <w:rFonts w:ascii="Times New Roman" w:hAnsi="Times New Roman" w:cs="Times New Roman" w:eastAsia="Times New Roman" w:hint="default"/>
          <w:spacing w:val="-1"/>
        </w:rPr>
        <w:t>2014</w:t>
      </w:r>
      <w:r>
        <w:rPr>
          <w:spacing w:val="-1"/>
        </w:rPr>
        <w:t>年国务院发布《关于加快发展现代职业教育的决定》以来，与职业教育相关的推动与促进政策</w:t>
      </w:r>
    </w:p>
    <w:p>
      <w:pPr>
        <w:pStyle w:val="BodyText"/>
        <w:spacing w:line="393" w:lineRule="auto" w:before="35"/>
        <w:ind w:right="135"/>
        <w:jc w:val="left"/>
      </w:pPr>
      <w:r>
        <w:rPr/>
        <w:t>频出，整体利好现代职业教育产业的快速发展。相关政策集中围绕在三个方面：一是现代职业教育结构调 整，引导各层次教育结构向应用型职业方向转型；二是提高人才培养质量，积极推进同时具备教师、工程 师资格的</w:t>
      </w:r>
      <w:r>
        <w:rPr>
          <w:rFonts w:ascii="Times New Roman" w:hAnsi="Times New Roman" w:cs="Times New Roman" w:eastAsia="Times New Roman" w:hint="default"/>
        </w:rPr>
        <w:t>“</w:t>
      </w:r>
      <w:r>
        <w:rPr/>
        <w:t>双师型</w:t>
      </w:r>
      <w:r>
        <w:rPr>
          <w:rFonts w:ascii="Times New Roman" w:hAnsi="Times New Roman" w:cs="Times New Roman" w:eastAsia="Times New Roman" w:hint="default"/>
        </w:rPr>
        <w:t>”</w:t>
      </w:r>
      <w:r>
        <w:rPr/>
        <w:t>（</w:t>
      </w:r>
      <w:r>
        <w:rPr>
          <w:spacing w:val="-51"/>
        </w:rPr>
        <w:t> </w:t>
      </w:r>
      <w:r>
        <w:rPr>
          <w:rFonts w:ascii="Times New Roman" w:hAnsi="Times New Roman" w:cs="Times New Roman" w:eastAsia="Times New Roman" w:hint="default"/>
        </w:rPr>
        <w:t>“</w:t>
      </w:r>
      <w:r>
        <w:rPr/>
        <w:t>双师型</w:t>
      </w:r>
      <w:r>
        <w:rPr>
          <w:rFonts w:ascii="Times New Roman" w:hAnsi="Times New Roman" w:cs="Times New Roman" w:eastAsia="Times New Roman" w:hint="default"/>
        </w:rPr>
        <w:t>”</w:t>
      </w:r>
      <w:r>
        <w:rPr/>
        <w:t>教师指同时具备教师资格和职业资格、从事职业教育工作的教师，是教育教 学能力和工作经验兼备的复合型人才，对提高职业教育教学水平具有重要意义）教师队伍建设，推进学生 </w:t>
      </w:r>
      <w:r>
        <w:rPr>
          <w:spacing w:val="-3"/>
        </w:rPr>
        <w:t>学历证书和职业资格证书</w:t>
      </w:r>
      <w:r>
        <w:rPr>
          <w:rFonts w:ascii="Times New Roman" w:hAnsi="Times New Roman" w:cs="Times New Roman" w:eastAsia="Times New Roman" w:hint="default"/>
          <w:spacing w:val="-3"/>
        </w:rPr>
        <w:t>“</w:t>
      </w:r>
      <w:r>
        <w:rPr>
          <w:spacing w:val="-3"/>
        </w:rPr>
        <w:t>双证书</w:t>
      </w:r>
      <w:r>
        <w:rPr>
          <w:rFonts w:ascii="Times New Roman" w:hAnsi="Times New Roman" w:cs="Times New Roman" w:eastAsia="Times New Roman" w:hint="default"/>
          <w:spacing w:val="-3"/>
        </w:rPr>
        <w:t>”</w:t>
      </w:r>
      <w:r>
        <w:rPr>
          <w:spacing w:val="-3"/>
        </w:rPr>
        <w:t>制度；三是要支持引导社会力量参与兴办职业教育。根据教育部等</w:t>
      </w:r>
      <w:r>
        <w:rPr>
          <w:rFonts w:ascii="Times New Roman" w:hAnsi="Times New Roman" w:cs="Times New Roman" w:eastAsia="Times New Roman" w:hint="default"/>
          <w:spacing w:val="-3"/>
        </w:rPr>
        <w:t>6</w:t>
      </w:r>
      <w:r>
        <w:rPr>
          <w:spacing w:val="-3"/>
        </w:rPr>
        <w:t>部门</w:t>
      </w:r>
      <w:r>
        <w:rPr>
          <w:spacing w:val="-66"/>
        </w:rPr>
        <w:t> </w:t>
      </w: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月联合发布的《现代职业教育体系建设规划（</w:t>
      </w:r>
      <w:r>
        <w:rPr>
          <w:rFonts w:ascii="Times New Roman" w:hAnsi="Times New Roman" w:cs="Times New Roman" w:eastAsia="Times New Roman" w:hint="default"/>
        </w:rPr>
        <w:t>2014-2020</w:t>
      </w:r>
      <w:r>
        <w:rPr/>
        <w:t>年）》，到</w:t>
      </w:r>
      <w:r>
        <w:rPr>
          <w:rFonts w:ascii="Times New Roman" w:hAnsi="Times New Roman" w:cs="Times New Roman" w:eastAsia="Times New Roman" w:hint="default"/>
        </w:rPr>
        <w:t>2020</w:t>
      </w:r>
      <w:r>
        <w:rPr/>
        <w:t>年，中等职业教育在校 </w:t>
      </w:r>
      <w:r>
        <w:rPr>
          <w:spacing w:val="-2"/>
        </w:rPr>
        <w:t>生</w:t>
      </w:r>
      <w:r>
        <w:rPr>
          <w:rFonts w:ascii="Times New Roman" w:hAnsi="Times New Roman" w:cs="Times New Roman" w:eastAsia="Times New Roman" w:hint="default"/>
          <w:spacing w:val="-2"/>
        </w:rPr>
        <w:t>2,350</w:t>
      </w:r>
      <w:r>
        <w:rPr>
          <w:spacing w:val="-2"/>
        </w:rPr>
        <w:t>万人（</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2,114</w:t>
      </w:r>
      <w:r>
        <w:rPr>
          <w:spacing w:val="-2"/>
        </w:rPr>
        <w:t>万人），专科层次职业教育在校生</w:t>
      </w:r>
      <w:r>
        <w:rPr>
          <w:rFonts w:ascii="Times New Roman" w:hAnsi="Times New Roman" w:cs="Times New Roman" w:eastAsia="Times New Roman" w:hint="default"/>
          <w:spacing w:val="-2"/>
        </w:rPr>
        <w:t>1,480</w:t>
      </w:r>
      <w:r>
        <w:rPr>
          <w:spacing w:val="-2"/>
        </w:rPr>
        <w:t>万人（</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964</w:t>
      </w:r>
      <w:r>
        <w:rPr>
          <w:spacing w:val="-2"/>
        </w:rPr>
        <w:t>万人），从业人员继续</w:t>
      </w:r>
      <w:r>
        <w:rPr>
          <w:spacing w:val="-79"/>
        </w:rPr>
        <w:t> </w:t>
      </w:r>
      <w:r>
        <w:rPr>
          <w:spacing w:val="-79"/>
        </w:rPr>
      </w:r>
      <w:r>
        <w:rPr/>
        <w:t>教育</w:t>
      </w:r>
      <w:r>
        <w:rPr>
          <w:rFonts w:ascii="Times New Roman" w:hAnsi="Times New Roman" w:cs="Times New Roman" w:eastAsia="Times New Roman" w:hint="default"/>
        </w:rPr>
        <w:t>3.5</w:t>
      </w:r>
      <w:r>
        <w:rPr/>
        <w:t>亿人次。从数据对比来看，现代职业教育高校转型以及继续教育成为企业参与职业教育的新蓝海， 到</w:t>
      </w:r>
      <w:r>
        <w:rPr>
          <w:rFonts w:ascii="Times New Roman" w:hAnsi="Times New Roman" w:cs="Times New Roman" w:eastAsia="Times New Roman" w:hint="default"/>
        </w:rPr>
        <w:t>2020</w:t>
      </w:r>
      <w:r>
        <w:rPr/>
        <w:t>年，职业教育潜在市场规模将有望达到万亿水平。</w:t>
      </w:r>
    </w:p>
    <w:p>
      <w:pPr>
        <w:pStyle w:val="BodyText"/>
        <w:spacing w:line="396" w:lineRule="auto" w:before="28"/>
        <w:ind w:right="209" w:firstLine="420"/>
        <w:jc w:val="left"/>
      </w:pPr>
      <w:r>
        <w:rPr>
          <w:spacing w:val="-1"/>
        </w:rPr>
        <w:t>随着计算机、网络及信息技术不断发展，我国信息化水平整体大幅提升，而在国家一系列重大工程和</w:t>
      </w:r>
      <w:r>
        <w:rPr/>
        <w:t> 政策措施的引导下，我国教育信息化水平取得了长足的进步。国务院、教育部在</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月发布的《国家 </w:t>
      </w:r>
      <w:r>
        <w:rPr>
          <w:spacing w:val="-1"/>
        </w:rPr>
        <w:t>中长期教育改革和发展规划纲要（</w:t>
      </w:r>
      <w:r>
        <w:rPr>
          <w:rFonts w:ascii="Times New Roman" w:hAnsi="Times New Roman" w:cs="Times New Roman" w:eastAsia="Times New Roman" w:hint="default"/>
          <w:spacing w:val="-1"/>
        </w:rPr>
        <w:t>2010—2020</w:t>
      </w:r>
      <w:r>
        <w:rPr>
          <w:spacing w:val="-1"/>
        </w:rPr>
        <w:t>年）》中强调加快教育信息化进程，提出把教育信息化纳入</w:t>
      </w:r>
      <w:r>
        <w:rPr>
          <w:spacing w:val="-83"/>
        </w:rPr>
        <w:t> </w:t>
      </w:r>
      <w:r>
        <w:rPr>
          <w:spacing w:val="-83"/>
        </w:rPr>
      </w:r>
      <w:r>
        <w:rPr>
          <w:spacing w:val="-1"/>
        </w:rPr>
        <w:t>国家信息化发展整体战略，加快教育信息基础设施建设，加强优质教育资源开发与应用，构建国家教育管</w:t>
      </w:r>
      <w:r>
        <w:rPr>
          <w:spacing w:val="-83"/>
        </w:rPr>
        <w:t> </w:t>
      </w:r>
      <w:r>
        <w:rPr>
          <w:spacing w:val="-83"/>
        </w:rPr>
      </w:r>
      <w:r>
        <w:rPr/>
        <w:t>理信息系统，并要求加快终端设施普及，推进数字化校园建设。教育部也于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月专门出台了《教育 信息化十年发展规划（</w:t>
      </w:r>
      <w:r>
        <w:rPr>
          <w:rFonts w:ascii="Times New Roman" w:hAnsi="Times New Roman" w:cs="Times New Roman" w:eastAsia="Times New Roman" w:hint="default"/>
        </w:rPr>
        <w:t>2011-2020</w:t>
      </w:r>
      <w:r>
        <w:rPr/>
        <w:t>年）》，着力推进我国的教育信息化进程。</w:t>
      </w:r>
    </w:p>
    <w:p>
      <w:pPr>
        <w:pStyle w:val="BodyText"/>
        <w:spacing w:line="386" w:lineRule="auto" w:before="26"/>
        <w:ind w:right="209" w:firstLine="420"/>
        <w:jc w:val="both"/>
      </w:pPr>
      <w:r>
        <w:rPr>
          <w:spacing w:val="-1"/>
        </w:rPr>
        <w:t>在国家政策的大力推动下，我国教育行业信息化投资规模逐年扩大，根据计世资讯的数据，</w:t>
      </w:r>
      <w:r>
        <w:rPr>
          <w:rFonts w:ascii="Times New Roman" w:hAnsi="Times New Roman" w:cs="Times New Roman" w:eastAsia="Times New Roman" w:hint="default"/>
          <w:spacing w:val="-1"/>
        </w:rPr>
        <w:t>2010</w:t>
      </w:r>
      <w:r>
        <w:rPr>
          <w:spacing w:val="-1"/>
        </w:rPr>
        <w:t>年我</w:t>
      </w:r>
      <w:r>
        <w:rPr/>
        <w:t> 国教育行业信息化投资金额为</w:t>
      </w:r>
      <w:r>
        <w:rPr>
          <w:rFonts w:ascii="Times New Roman" w:hAnsi="Times New Roman" w:cs="Times New Roman" w:eastAsia="Times New Roman" w:hint="default"/>
        </w:rPr>
        <w:t>307.1</w:t>
      </w:r>
      <w:r>
        <w:rPr/>
        <w:t>亿元，到</w:t>
      </w:r>
      <w:r>
        <w:rPr>
          <w:rFonts w:ascii="Times New Roman" w:hAnsi="Times New Roman" w:cs="Times New Roman" w:eastAsia="Times New Roman" w:hint="default"/>
        </w:rPr>
        <w:t>2014</w:t>
      </w:r>
      <w:r>
        <w:rPr/>
        <w:t>年已增至</w:t>
      </w:r>
      <w:r>
        <w:rPr>
          <w:rFonts w:ascii="Times New Roman" w:hAnsi="Times New Roman" w:cs="Times New Roman" w:eastAsia="Times New Roman" w:hint="default"/>
        </w:rPr>
        <w:t>571.9</w:t>
      </w:r>
      <w:r>
        <w:rPr/>
        <w:t>亿元，期间年均复合增长率达</w:t>
      </w:r>
      <w:r>
        <w:rPr>
          <w:rFonts w:ascii="Times New Roman" w:hAnsi="Times New Roman" w:cs="Times New Roman" w:eastAsia="Times New Roman" w:hint="default"/>
        </w:rPr>
        <w:t>16.82%</w:t>
      </w:r>
      <w:r>
        <w:rPr/>
        <w:t>。根 据计世咨询的测算，</w:t>
      </w:r>
      <w:r>
        <w:rPr>
          <w:rFonts w:ascii="Times New Roman" w:hAnsi="Times New Roman" w:cs="Times New Roman" w:eastAsia="Times New Roman" w:hint="default"/>
        </w:rPr>
        <w:t>2015</w:t>
      </w:r>
      <w:r>
        <w:rPr/>
        <w:t>年预计投资金额达到</w:t>
      </w:r>
      <w:r>
        <w:rPr>
          <w:rFonts w:ascii="Times New Roman" w:hAnsi="Times New Roman" w:cs="Times New Roman" w:eastAsia="Times New Roman" w:hint="default"/>
        </w:rPr>
        <w:t>611.8</w:t>
      </w:r>
      <w:r>
        <w:rPr/>
        <w:t>亿元，较</w:t>
      </w:r>
      <w:r>
        <w:rPr>
          <w:rFonts w:ascii="Times New Roman" w:hAnsi="Times New Roman" w:cs="Times New Roman" w:eastAsia="Times New Roman" w:hint="default"/>
        </w:rPr>
        <w:t>2014</w:t>
      </w:r>
      <w:r>
        <w:rPr/>
        <w:t>年增长</w:t>
      </w:r>
      <w:r>
        <w:rPr>
          <w:rFonts w:ascii="Times New Roman" w:hAnsi="Times New Roman" w:cs="Times New Roman" w:eastAsia="Times New Roman" w:hint="default"/>
        </w:rPr>
        <w:t>7%</w:t>
      </w:r>
      <w:r>
        <w:rPr/>
        <w:t>。</w:t>
      </w:r>
    </w:p>
    <w:p>
      <w:pPr>
        <w:pStyle w:val="BodyText"/>
        <w:spacing w:line="386" w:lineRule="auto" w:before="35"/>
        <w:ind w:left="153" w:right="210" w:firstLine="420"/>
        <w:jc w:val="both"/>
      </w:pPr>
      <w:r>
        <w:rPr/>
        <w:t>同时，自</w:t>
      </w:r>
      <w:r>
        <w:rPr>
          <w:rFonts w:ascii="Times New Roman" w:hAnsi="Times New Roman" w:cs="Times New Roman" w:eastAsia="Times New Roman" w:hint="default"/>
        </w:rPr>
        <w:t>2005</w:t>
      </w:r>
      <w:r>
        <w:rPr/>
        <w:t>年以来，我国职业教育经费年均增长率达到</w:t>
      </w:r>
      <w:r>
        <w:rPr>
          <w:rFonts w:ascii="Times New Roman" w:hAnsi="Times New Roman" w:cs="Times New Roman" w:eastAsia="Times New Roman" w:hint="default"/>
        </w:rPr>
        <w:t>18%</w:t>
      </w:r>
      <w:r>
        <w:rPr/>
        <w:t>，教育部</w:t>
      </w:r>
      <w:r>
        <w:rPr>
          <w:rFonts w:ascii="Times New Roman" w:hAnsi="Times New Roman" w:cs="Times New Roman" w:eastAsia="Times New Roman" w:hint="default"/>
        </w:rPr>
        <w:t>2015</w:t>
      </w:r>
      <w:r>
        <w:rPr/>
        <w:t>年用于重点实验室及相关 </w:t>
      </w:r>
      <w:r>
        <w:rPr>
          <w:spacing w:val="-2"/>
        </w:rPr>
        <w:t>设施的经费预算为</w:t>
      </w:r>
      <w:r>
        <w:rPr>
          <w:rFonts w:ascii="Times New Roman" w:hAnsi="Times New Roman" w:cs="Times New Roman" w:eastAsia="Times New Roman" w:hint="default"/>
          <w:spacing w:val="-2"/>
        </w:rPr>
        <w:t>256,230</w:t>
      </w:r>
      <w:r>
        <w:rPr>
          <w:spacing w:val="-2"/>
        </w:rPr>
        <w:t>万元，比</w:t>
      </w:r>
      <w:r>
        <w:rPr>
          <w:rFonts w:ascii="Times New Roman" w:hAnsi="Times New Roman" w:cs="Times New Roman" w:eastAsia="Times New Roman" w:hint="default"/>
          <w:spacing w:val="-2"/>
        </w:rPr>
        <w:t>2014</w:t>
      </w:r>
      <w:r>
        <w:rPr>
          <w:spacing w:val="-2"/>
        </w:rPr>
        <w:t>年增加</w:t>
      </w:r>
      <w:r>
        <w:rPr>
          <w:rFonts w:ascii="Times New Roman" w:hAnsi="Times New Roman" w:cs="Times New Roman" w:eastAsia="Times New Roman" w:hint="default"/>
          <w:spacing w:val="-2"/>
        </w:rPr>
        <w:t>55.19%</w:t>
      </w:r>
      <w:r>
        <w:rPr>
          <w:spacing w:val="-2"/>
        </w:rPr>
        <w:t>，并要求地方教育附加费用于职业教育的比例不低于</w:t>
      </w:r>
      <w:r>
        <w:rPr>
          <w:spacing w:val="-98"/>
        </w:rPr>
        <w:t> </w:t>
      </w:r>
      <w:r>
        <w:rPr>
          <w:spacing w:val="-98"/>
        </w:rPr>
      </w:r>
      <w:r>
        <w:rPr>
          <w:rFonts w:ascii="Times New Roman" w:hAnsi="Times New Roman" w:cs="Times New Roman" w:eastAsia="Times New Roman" w:hint="default"/>
        </w:rPr>
        <w:t>30%</w:t>
      </w:r>
      <w:r>
        <w:rPr/>
        <w:t>。此外，国家将引导一批本科高校向应用技术类型高校转型，在招生及资源投入方面，将向应用技术 </w:t>
      </w:r>
      <w:r>
        <w:rPr>
          <w:spacing w:val="-3"/>
        </w:rPr>
        <w:t>类型高校倾斜，</w:t>
      </w:r>
      <w:r>
        <w:rPr>
          <w:rFonts w:ascii="Times New Roman" w:hAnsi="Times New Roman" w:cs="Times New Roman" w:eastAsia="Times New Roman" w:hint="default"/>
          <w:spacing w:val="-3"/>
        </w:rPr>
        <w:t>1999</w:t>
      </w:r>
      <w:r>
        <w:rPr>
          <w:spacing w:val="-3"/>
        </w:rPr>
        <w:t>年大学扩招后</w:t>
      </w:r>
      <w:r>
        <w:rPr>
          <w:rFonts w:ascii="Times New Roman" w:hAnsi="Times New Roman" w:cs="Times New Roman" w:eastAsia="Times New Roman" w:hint="default"/>
          <w:spacing w:val="-3"/>
        </w:rPr>
        <w:t>“</w:t>
      </w:r>
      <w:r>
        <w:rPr>
          <w:spacing w:val="-3"/>
        </w:rPr>
        <w:t>专升本</w:t>
      </w:r>
      <w:r>
        <w:rPr>
          <w:rFonts w:ascii="Times New Roman" w:hAnsi="Times New Roman" w:cs="Times New Roman" w:eastAsia="Times New Roman" w:hint="default"/>
          <w:spacing w:val="-3"/>
        </w:rPr>
        <w:t>”</w:t>
      </w:r>
      <w:r>
        <w:rPr>
          <w:spacing w:val="-3"/>
        </w:rPr>
        <w:t>的</w:t>
      </w:r>
      <w:r>
        <w:rPr>
          <w:rFonts w:ascii="Times New Roman" w:hAnsi="Times New Roman" w:cs="Times New Roman" w:eastAsia="Times New Roman" w:hint="default"/>
          <w:spacing w:val="-3"/>
        </w:rPr>
        <w:t>600</w:t>
      </w:r>
      <w:r>
        <w:rPr>
          <w:spacing w:val="-3"/>
        </w:rPr>
        <w:t>多所地方高校将率先转作职业教育院校，带来校企合作巨</w:t>
      </w:r>
      <w:r>
        <w:rPr>
          <w:spacing w:val="-61"/>
        </w:rPr>
        <w:t> </w:t>
      </w:r>
      <w:r>
        <w:rPr>
          <w:spacing w:val="-61"/>
        </w:rPr>
      </w:r>
      <w:r>
        <w:rPr/>
        <w:t>大商机。</w:t>
      </w:r>
    </w:p>
    <w:p>
      <w:pPr>
        <w:spacing w:after="0" w:line="386" w:lineRule="auto"/>
        <w:jc w:val="both"/>
        <w:sectPr>
          <w:footerReference w:type="default" r:id="rId29"/>
          <w:pgSz w:w="11910" w:h="16840"/>
          <w:pgMar w:footer="982" w:header="877" w:top="1100" w:bottom="1180" w:left="980" w:right="920"/>
          <w:pgNumType w:start="51"/>
        </w:sectPr>
      </w:pPr>
    </w:p>
    <w:p>
      <w:pPr>
        <w:spacing w:line="240" w:lineRule="auto" w:before="8"/>
        <w:rPr>
          <w:rFonts w:ascii="宋体" w:hAnsi="宋体" w:cs="宋体" w:eastAsia="宋体" w:hint="default"/>
          <w:sz w:val="26"/>
          <w:szCs w:val="26"/>
        </w:rPr>
      </w:pPr>
    </w:p>
    <w:p>
      <w:pPr>
        <w:pStyle w:val="BodyText"/>
        <w:spacing w:line="386" w:lineRule="auto" w:before="35"/>
        <w:ind w:left="153" w:right="211" w:firstLine="420"/>
        <w:jc w:val="both"/>
      </w:pPr>
      <w:r>
        <w:rPr>
          <w:spacing w:val="-2"/>
        </w:rPr>
        <w:t>根据天拓咨询数据，</w:t>
      </w:r>
      <w:r>
        <w:rPr>
          <w:rFonts w:ascii="Times New Roman" w:hAnsi="Times New Roman" w:cs="Times New Roman" w:eastAsia="Times New Roman" w:hint="default"/>
          <w:spacing w:val="-2"/>
        </w:rPr>
        <w:t>2012</w:t>
      </w:r>
      <w:r>
        <w:rPr>
          <w:spacing w:val="-2"/>
        </w:rPr>
        <w:t>年全国教育培训市场的总体规模达到</w:t>
      </w:r>
      <w:r>
        <w:rPr>
          <w:rFonts w:ascii="Times New Roman" w:hAnsi="Times New Roman" w:cs="Times New Roman" w:eastAsia="Times New Roman" w:hint="default"/>
          <w:spacing w:val="-2"/>
        </w:rPr>
        <w:t>9,600</w:t>
      </w:r>
      <w:r>
        <w:rPr>
          <w:spacing w:val="-2"/>
        </w:rPr>
        <w:t>亿元，其中职业培训的市场规模为</w:t>
      </w:r>
      <w:r>
        <w:rPr/>
        <w:t> </w:t>
      </w:r>
      <w:r>
        <w:rPr>
          <w:rFonts w:ascii="Times New Roman" w:hAnsi="Times New Roman" w:cs="Times New Roman" w:eastAsia="Times New Roman" w:hint="default"/>
          <w:spacing w:val="-2"/>
        </w:rPr>
        <w:t>3,000</w:t>
      </w:r>
      <w:r>
        <w:rPr>
          <w:spacing w:val="-2"/>
        </w:rPr>
        <w:t>亿元左右，占比接近三分之一。同时，在线职业教育这一细分领域也正经历快速成长期，根据易观国</w:t>
      </w:r>
      <w:r>
        <w:rPr>
          <w:spacing w:val="-89"/>
        </w:rPr>
        <w:t> </w:t>
      </w:r>
      <w:r>
        <w:rPr>
          <w:spacing w:val="-89"/>
        </w:rPr>
      </w:r>
      <w:r>
        <w:rPr/>
        <w:t>际测算，预计</w:t>
      </w:r>
      <w:r>
        <w:rPr>
          <w:rFonts w:ascii="Times New Roman" w:hAnsi="Times New Roman" w:cs="Times New Roman" w:eastAsia="Times New Roman" w:hint="default"/>
        </w:rPr>
        <w:t>2015-2017</w:t>
      </w:r>
      <w:r>
        <w:rPr/>
        <w:t>年我国在线职业教育的市场规模为</w:t>
      </w:r>
      <w:r>
        <w:rPr>
          <w:rFonts w:ascii="Times New Roman" w:hAnsi="Times New Roman" w:cs="Times New Roman" w:eastAsia="Times New Roman" w:hint="default"/>
        </w:rPr>
        <w:t>390</w:t>
      </w:r>
      <w:r>
        <w:rPr/>
        <w:t>亿元、</w:t>
      </w:r>
      <w:r>
        <w:rPr>
          <w:rFonts w:ascii="Times New Roman" w:hAnsi="Times New Roman" w:cs="Times New Roman" w:eastAsia="Times New Roman" w:hint="default"/>
        </w:rPr>
        <w:t>582</w:t>
      </w:r>
      <w:r>
        <w:rPr/>
        <w:t>亿元、</w:t>
      </w:r>
      <w:r>
        <w:rPr>
          <w:rFonts w:ascii="Times New Roman" w:hAnsi="Times New Roman" w:cs="Times New Roman" w:eastAsia="Times New Roman" w:hint="default"/>
        </w:rPr>
        <w:t>823</w:t>
      </w:r>
      <w:r>
        <w:rPr/>
        <w:t>亿元，同比增速分别为 </w:t>
      </w:r>
      <w:r>
        <w:rPr>
          <w:rFonts w:ascii="Times New Roman" w:hAnsi="Times New Roman" w:cs="Times New Roman" w:eastAsia="Times New Roman" w:hint="default"/>
        </w:rPr>
        <w:t>55.6%</w:t>
      </w:r>
      <w:r>
        <w:rPr/>
        <w:t>、</w:t>
      </w:r>
      <w:r>
        <w:rPr>
          <w:rFonts w:ascii="Times New Roman" w:hAnsi="Times New Roman" w:cs="Times New Roman" w:eastAsia="Times New Roman" w:hint="default"/>
        </w:rPr>
        <w:t>49.2%</w:t>
      </w:r>
      <w:r>
        <w:rPr/>
        <w:t>、</w:t>
      </w:r>
      <w:r>
        <w:rPr>
          <w:rFonts w:ascii="Times New Roman" w:hAnsi="Times New Roman" w:cs="Times New Roman" w:eastAsia="Times New Roman" w:hint="default"/>
        </w:rPr>
        <w:t>41.4%</w:t>
      </w:r>
      <w:r>
        <w:rPr/>
        <w:t>。</w:t>
      </w:r>
    </w:p>
    <w:p>
      <w:pPr>
        <w:pStyle w:val="BodyText"/>
        <w:spacing w:line="403" w:lineRule="auto" w:before="35"/>
        <w:ind w:right="112" w:firstLine="420"/>
        <w:jc w:val="left"/>
      </w:pPr>
      <w:r>
        <w:rPr/>
        <w:t>依托公司线下业务的多年发展，公司在高校市场已具备较强的资源优势。目前公司校园一卡通高校用 户市占率约</w:t>
      </w:r>
      <w:r>
        <w:rPr>
          <w:rFonts w:ascii="Times New Roman" w:hAnsi="Times New Roman" w:cs="Times New Roman" w:eastAsia="Times New Roman" w:hint="default"/>
        </w:rPr>
        <w:t>1/3</w:t>
      </w:r>
      <w:r>
        <w:rPr/>
        <w:t>，高校客户资源丰富，通过校企合作等方式，能够在较短时间内推广公司的职业教育业务。 另一方面，由于我国高等教育尤其是信息技术相关专业普遍存在着专业设置与社会经济需求脱节的问题， 客观上导致不能学以致用，这就造成了目前大学生</w:t>
      </w:r>
      <w:r>
        <w:rPr>
          <w:rFonts w:ascii="Times New Roman" w:hAnsi="Times New Roman" w:cs="Times New Roman" w:eastAsia="Times New Roman" w:hint="default"/>
        </w:rPr>
        <w:t>“</w:t>
      </w:r>
      <w:r>
        <w:rPr/>
        <w:t>就业难</w:t>
      </w:r>
      <w:r>
        <w:rPr>
          <w:rFonts w:ascii="Times New Roman" w:hAnsi="Times New Roman" w:cs="Times New Roman" w:eastAsia="Times New Roman" w:hint="default"/>
        </w:rPr>
        <w:t>”</w:t>
      </w:r>
      <w:r>
        <w:rPr/>
        <w:t>现象，高校学生存在着普遍的职业教育需求。 公司经过多年的市场历练，积累了新一代信息技术全产业链的研发技术储备，并梳理出了围绕信息技术产 品各个服务环节的配套岗位技能，同时也积累了全球百余家的信息技术原厂的合作经验，这些都为开展职 业教育培训提供了充足的技术及人才支持。公司的职业教育产业基地项目将通过提供实验、实训、实习和 研究性学习的技术服务促进高校现代化职业教育转型，通过提供职业技能培训、就业指导、创业孵化等服 务促进高校大学生和社会人才的职业水平，通过培养高级工程师、高级技工和高素质职业人才为国家经济 转型提供创新型人才支撑。</w:t>
      </w:r>
    </w:p>
    <w:p>
      <w:pPr>
        <w:pStyle w:val="BodyText"/>
        <w:spacing w:line="400" w:lineRule="auto" w:before="50"/>
        <w:ind w:right="104" w:firstLine="420"/>
        <w:jc w:val="both"/>
      </w:pPr>
      <w:r>
        <w:rPr/>
        <w:t>同时，随着移动互联网技术的发展和推广应用，公司以多年来积累的行业经验为基础，融合行业应用 发展趋势，快速推进移动互联网和移动支付在智能一卡通行业中的普及，促进以大数据、移动互联以及智 能终端为核心的</w:t>
      </w:r>
      <w:r>
        <w:rPr>
          <w:rFonts w:ascii="Times New Roman" w:hAnsi="Times New Roman" w:cs="Times New Roman" w:eastAsia="Times New Roman" w:hint="default"/>
        </w:rPr>
        <w:t>O2O</w:t>
      </w:r>
      <w:r>
        <w:rPr/>
        <w:t>闭环模式的整合与发展。公司移动互联网业务的发展，将为公司职业教育业务积累优 </w:t>
      </w:r>
      <w:r>
        <w:rPr>
          <w:spacing w:val="-3"/>
        </w:rPr>
        <w:t>质渠道资源，同时结合移动互联网技术特点，实现职业教育相关内容的精准投放，有助于业务的有效推广。</w:t>
      </w:r>
    </w:p>
    <w:p>
      <w:pPr>
        <w:pStyle w:val="BodyText"/>
        <w:spacing w:line="240" w:lineRule="auto" w:before="52"/>
        <w:ind w:left="574" w:right="95"/>
        <w:jc w:val="left"/>
      </w:pPr>
      <w:r>
        <w:rPr/>
        <w:t>（三）</w:t>
      </w:r>
      <w:r>
        <w:rPr>
          <w:rFonts w:ascii="Times New Roman" w:hAnsi="Times New Roman" w:cs="Times New Roman" w:eastAsia="Times New Roman" w:hint="default"/>
        </w:rPr>
        <w:t>2016</w:t>
      </w:r>
      <w:r>
        <w:rPr/>
        <w:t>年度展望及经营规划</w:t>
      </w:r>
    </w:p>
    <w:p>
      <w:pPr>
        <w:pStyle w:val="BodyText"/>
        <w:spacing w:line="405" w:lineRule="auto" w:before="177"/>
        <w:ind w:right="101" w:firstLine="420"/>
        <w:jc w:val="left"/>
      </w:pPr>
      <w:r>
        <w:rPr>
          <w:rFonts w:ascii="Times New Roman" w:hAnsi="Times New Roman" w:cs="Times New Roman" w:eastAsia="Times New Roman" w:hint="default"/>
        </w:rPr>
        <w:t>2016</w:t>
      </w:r>
      <w:r>
        <w:rPr/>
        <w:t>年以及未来三年内，公司将由目前国内领先的智能一卡通整体解决方案供应商快速转型为国内知 名的高校信息化、互联网及人才事业服务商。公司将以创新思维统领发展，着力实现客户满意、员工成长 及市值增长的三大目标。公司将不断完善行业应用平台建设，提升智能终端核心技术开发及产业化能力， 以丰富的线下应用解决方案为基础，快速形成基于高校的移动互联网综合服务能力。同时，公司将继续积 </w:t>
      </w:r>
      <w:r>
        <w:rPr>
          <w:spacing w:val="-3"/>
        </w:rPr>
        <w:t>极布局移动互联网和职业教育领域，为高校大学生提供基于线上和线下的职业培训、就业服务、创业孵化，</w:t>
      </w:r>
      <w:r>
        <w:rPr>
          <w:spacing w:val="-90"/>
        </w:rPr>
        <w:t> </w:t>
      </w:r>
      <w:r>
        <w:rPr>
          <w:spacing w:val="-90"/>
        </w:rPr>
      </w:r>
      <w:r>
        <w:rPr/>
        <w:t>打造公司全方位的高校移动互联网生态圈。同时，公司将不断完善内部的激励机制和监督机制，加强人才</w:t>
      </w:r>
      <w:r>
        <w:rPr/>
        <w:t> 队伍建设，提升公司治理水平，实现规范与发展同步。此外，公司将加快行业并购步伐，通过机会把握和 风险规避，不断提升公司的综合竞争力和盈利水平。</w:t>
      </w:r>
    </w:p>
    <w:p>
      <w:pPr>
        <w:pStyle w:val="BodyText"/>
        <w:spacing w:line="398" w:lineRule="auto" w:before="48"/>
        <w:ind w:left="574" w:right="95"/>
        <w:jc w:val="left"/>
      </w:pPr>
      <w:r>
        <w:rPr/>
        <w:t>（四）对公司未来发展战略和经营目标的实现产生不利影响的风险因素分析 </w:t>
      </w:r>
      <w:r>
        <w:rPr>
          <w:rFonts w:ascii="Times New Roman" w:hAnsi="Times New Roman" w:cs="Times New Roman" w:eastAsia="Times New Roman" w:hint="default"/>
        </w:rPr>
        <w:t>1</w:t>
      </w:r>
      <w:r>
        <w:rPr/>
        <w:t>、移动互联网业务运营风险 </w:t>
      </w:r>
      <w:r>
        <w:rPr>
          <w:spacing w:val="-1"/>
        </w:rPr>
        <w:t>当前，移动互联网产业蓬勃发展，成功的产品和服务模式不断向其它产业领域延伸渗透，智能一卡通</w:t>
      </w:r>
    </w:p>
    <w:p>
      <w:pPr>
        <w:spacing w:after="0" w:line="398"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403" w:lineRule="auto" w:before="35"/>
        <w:ind w:left="153" w:right="208"/>
        <w:jc w:val="both"/>
      </w:pPr>
      <w:r>
        <w:rPr>
          <w:spacing w:val="-1"/>
        </w:rPr>
        <w:t>行业也开始融入移动互联网元素，呈现出巨大的市场潜力。传统智能一卡通企业主要向学校、企业等客户</w:t>
      </w:r>
      <w:r>
        <w:rPr>
          <w:spacing w:val="-83"/>
        </w:rPr>
        <w:t> </w:t>
      </w:r>
      <w:r>
        <w:rPr>
          <w:spacing w:val="-83"/>
        </w:rPr>
      </w:r>
      <w:r>
        <w:rPr>
          <w:spacing w:val="-1"/>
        </w:rPr>
        <w:t>提供智能一卡通系统及相关软硬件产品的研发设计、系统集成和售后服务，缺乏直接面向大众消费者的自</w:t>
      </w:r>
      <w:r>
        <w:rPr>
          <w:spacing w:val="-81"/>
        </w:rPr>
        <w:t> </w:t>
      </w:r>
      <w:r>
        <w:rPr>
          <w:spacing w:val="-81"/>
        </w:rPr>
      </w:r>
      <w:r>
        <w:rPr>
          <w:spacing w:val="-2"/>
        </w:rPr>
        <w:t>有系统</w:t>
      </w:r>
      <w:r>
        <w:rPr>
          <w:rFonts w:ascii="Times New Roman" w:hAnsi="Times New Roman" w:cs="Times New Roman" w:eastAsia="Times New Roman" w:hint="default"/>
          <w:spacing w:val="-2"/>
        </w:rPr>
        <w:t>/</w:t>
      </w:r>
      <w:r>
        <w:rPr>
          <w:spacing w:val="-2"/>
        </w:rPr>
        <w:t>平台的推广和运营经验，技术、渠道和商业模式与移动互联网行业也相差较大。公司移动互联网运</w:t>
      </w:r>
      <w:r>
        <w:rPr>
          <w:spacing w:val="-92"/>
        </w:rPr>
        <w:t> </w:t>
      </w:r>
      <w:r>
        <w:rPr>
          <w:spacing w:val="-92"/>
        </w:rPr>
      </w:r>
      <w:r>
        <w:rPr>
          <w:spacing w:val="-1"/>
        </w:rPr>
        <w:t>营经验和成熟盈利模式的缺乏将对与移动互联网的深度融合，以及借助移动互联网进一步拓展行业发展空</w:t>
      </w:r>
      <w:r>
        <w:rPr>
          <w:spacing w:val="-81"/>
        </w:rPr>
        <w:t> </w:t>
      </w:r>
      <w:r>
        <w:rPr>
          <w:spacing w:val="-81"/>
        </w:rPr>
      </w:r>
      <w:r>
        <w:rPr/>
        <w:t>间造成不利影响。</w:t>
      </w:r>
    </w:p>
    <w:p>
      <w:pPr>
        <w:pStyle w:val="BodyText"/>
        <w:spacing w:line="386" w:lineRule="auto" w:before="50"/>
        <w:ind w:left="574" w:right="111" w:hanging="1"/>
        <w:jc w:val="left"/>
      </w:pPr>
      <w:r>
        <w:rPr>
          <w:rFonts w:ascii="Times New Roman" w:hAnsi="Times New Roman" w:cs="Times New Roman" w:eastAsia="Times New Roman" w:hint="default"/>
        </w:rPr>
        <w:t>2</w:t>
      </w:r>
      <w:r>
        <w:rPr/>
        <w:t>、职业教育服务业务运营风险 公司自成立以来，一直致力于开发以智能卡及</w:t>
      </w:r>
      <w:r>
        <w:rPr>
          <w:rFonts w:ascii="Times New Roman" w:hAnsi="Times New Roman" w:cs="Times New Roman" w:eastAsia="Times New Roman" w:hint="default"/>
        </w:rPr>
        <w:t>RFID</w:t>
      </w:r>
      <w:r>
        <w:rPr/>
        <w:t>技术为基础的各类行业信息一体化应用解决方案，</w:t>
      </w:r>
    </w:p>
    <w:p>
      <w:pPr>
        <w:pStyle w:val="BodyText"/>
        <w:spacing w:line="403" w:lineRule="auto" w:before="35"/>
        <w:ind w:right="209"/>
        <w:jc w:val="both"/>
      </w:pPr>
      <w:r>
        <w:rPr>
          <w:spacing w:val="-1"/>
        </w:rPr>
        <w:t>从事智能一卡通系统的平台软件、应用软件及各类智能卡终端的研发、生产、集成、销售和服务，并快速</w:t>
      </w:r>
      <w:r>
        <w:rPr>
          <w:spacing w:val="-83"/>
        </w:rPr>
        <w:t> </w:t>
      </w:r>
      <w:r>
        <w:rPr>
          <w:spacing w:val="-83"/>
        </w:rPr>
      </w:r>
      <w:r>
        <w:rPr>
          <w:spacing w:val="-1"/>
        </w:rPr>
        <w:t>推进移动互联网和移动支付在智能一卡通行业中的普及，促进以大数据、移动互联以及智能终端为核心的</w:t>
      </w:r>
      <w:r>
        <w:rPr>
          <w:spacing w:val="-81"/>
        </w:rPr>
        <w:t> </w:t>
      </w:r>
      <w:r>
        <w:rPr>
          <w:spacing w:val="-81"/>
        </w:rPr>
      </w:r>
      <w:r>
        <w:rPr>
          <w:rFonts w:ascii="Times New Roman" w:hAnsi="Times New Roman" w:cs="Times New Roman" w:eastAsia="Times New Roman" w:hint="default"/>
          <w:spacing w:val="-1"/>
        </w:rPr>
        <w:t>O2O</w:t>
      </w:r>
      <w:r>
        <w:rPr>
          <w:spacing w:val="-1"/>
        </w:rPr>
        <w:t>闭环模式的整合与发展。长期的研发服务以及高校客户资源为公司开展职业教育业务提供了充足的技</w:t>
      </w:r>
      <w:r>
        <w:rPr>
          <w:spacing w:val="-72"/>
        </w:rPr>
        <w:t> </w:t>
      </w:r>
      <w:r>
        <w:rPr>
          <w:spacing w:val="-72"/>
        </w:rPr>
      </w:r>
      <w:r>
        <w:rPr>
          <w:spacing w:val="-1"/>
        </w:rPr>
        <w:t>术、人才和客户支持，但作为公司之新业务，职业教育之运营方式、盈利模式与其现有智能一卡通业务完</w:t>
      </w:r>
      <w:r>
        <w:rPr>
          <w:spacing w:val="-82"/>
        </w:rPr>
        <w:t> </w:t>
      </w:r>
      <w:r>
        <w:rPr>
          <w:spacing w:val="-82"/>
        </w:rPr>
      </w:r>
      <w:r>
        <w:rPr/>
        <w:t>全不同，公司面临一定的业务运营风险。</w:t>
      </w:r>
    </w:p>
    <w:p>
      <w:pPr>
        <w:pStyle w:val="BodyText"/>
        <w:spacing w:line="386" w:lineRule="auto" w:before="50"/>
        <w:ind w:left="574" w:right="95" w:hanging="1"/>
        <w:jc w:val="left"/>
      </w:pPr>
      <w:r>
        <w:rPr>
          <w:rFonts w:ascii="Times New Roman" w:hAnsi="Times New Roman" w:cs="Times New Roman" w:eastAsia="Times New Roman" w:hint="default"/>
        </w:rPr>
        <w:t>3</w:t>
      </w:r>
      <w:r>
        <w:rPr/>
        <w:t>、研发风险 </w:t>
      </w:r>
      <w:r>
        <w:rPr>
          <w:spacing w:val="-1"/>
        </w:rPr>
        <w:t>由于信息技术行业整体发展速度较快，各类信息技术呈现出更新速度快、应用领域不断深入和拓展的</w:t>
      </w:r>
    </w:p>
    <w:p>
      <w:pPr>
        <w:pStyle w:val="BodyText"/>
        <w:spacing w:line="408" w:lineRule="auto" w:before="65"/>
        <w:ind w:right="209"/>
        <w:jc w:val="both"/>
      </w:pPr>
      <w:r>
        <w:rPr>
          <w:spacing w:val="-1"/>
        </w:rPr>
        <w:t>发展态势，因此，公司需要不断进行新技术、新产品的研发和升级。虽然公司拥有强大的自主研发和技术</w:t>
      </w:r>
      <w:r>
        <w:rPr>
          <w:spacing w:val="-82"/>
        </w:rPr>
        <w:t> </w:t>
      </w:r>
      <w:r>
        <w:rPr>
          <w:spacing w:val="-82"/>
        </w:rPr>
      </w:r>
      <w:r>
        <w:rPr>
          <w:spacing w:val="-1"/>
        </w:rPr>
        <w:t>创新能力，但如果未来不能准确把握信息技术、产品及市场的发展趋势并持续研发出符合市场需求的新产</w:t>
      </w:r>
      <w:r>
        <w:rPr>
          <w:spacing w:val="-81"/>
        </w:rPr>
        <w:t> </w:t>
      </w:r>
      <w:r>
        <w:rPr>
          <w:spacing w:val="-81"/>
        </w:rPr>
      </w:r>
      <w:r>
        <w:rPr/>
        <w:t>品，将会在一定程度上削弱公司的竞争优势，对公司的持续盈利能力造成不利影响。</w:t>
      </w:r>
    </w:p>
    <w:p>
      <w:pPr>
        <w:pStyle w:val="BodyText"/>
        <w:spacing w:line="386" w:lineRule="auto"/>
        <w:ind w:left="574" w:right="95" w:hanging="1"/>
        <w:jc w:val="left"/>
      </w:pPr>
      <w:r>
        <w:rPr>
          <w:rFonts w:ascii="Times New Roman" w:hAnsi="Times New Roman" w:cs="Times New Roman" w:eastAsia="Times New Roman" w:hint="default"/>
        </w:rPr>
        <w:t>4</w:t>
      </w:r>
      <w:r>
        <w:rPr/>
        <w:t>、管理风险 </w:t>
      </w:r>
      <w:r>
        <w:rPr>
          <w:spacing w:val="-1"/>
        </w:rPr>
        <w:t>随着公司资产规模及经营规模将逐步扩大，公司人员亦将相应增加，组织结构和管理体系可能趋于复</w:t>
      </w:r>
    </w:p>
    <w:p>
      <w:pPr>
        <w:pStyle w:val="BodyText"/>
        <w:spacing w:line="408" w:lineRule="auto" w:before="65"/>
        <w:ind w:right="188"/>
        <w:jc w:val="both"/>
      </w:pPr>
      <w:r>
        <w:rPr>
          <w:spacing w:val="-1"/>
        </w:rPr>
        <w:t>杂化，公司的经营决策、风险控制的难度大为增加，对公司管理团队的管理水平及驾驭经营风险的能力带</w:t>
      </w:r>
      <w:r>
        <w:rPr>
          <w:spacing w:val="-83"/>
        </w:rPr>
        <w:t> </w:t>
      </w:r>
      <w:r>
        <w:rPr>
          <w:spacing w:val="-83"/>
        </w:rPr>
      </w:r>
      <w:r>
        <w:rPr/>
        <w:t>来一定程度的挑战，对公司的内部控制、运营组织、营销服务等各方面都提出了更高的要求，对在管理、 </w:t>
      </w:r>
      <w:r>
        <w:rPr>
          <w:spacing w:val="-1"/>
        </w:rPr>
        <w:t>技术、营销、业务等方面的中高级人才的需求也将日益增加。若公司的技术管理、营销管理、质量控制等</w:t>
      </w:r>
      <w:r>
        <w:rPr>
          <w:spacing w:val="-83"/>
        </w:rPr>
        <w:t> </w:t>
      </w:r>
      <w:r>
        <w:rPr>
          <w:spacing w:val="-83"/>
        </w:rPr>
      </w:r>
      <w:r>
        <w:rPr>
          <w:spacing w:val="-1"/>
        </w:rPr>
        <w:t>能力不能适应公司规模迅速扩张的要求，人才培养、组织模式和管理制度不能进一步健全和完善，将会导</w:t>
      </w:r>
      <w:r>
        <w:rPr>
          <w:spacing w:val="-83"/>
        </w:rPr>
        <w:t> </w:t>
      </w:r>
      <w:r>
        <w:rPr>
          <w:spacing w:val="-83"/>
        </w:rPr>
      </w:r>
      <w:r>
        <w:rPr/>
        <w:t>致相应的管理风险。</w:t>
      </w:r>
    </w:p>
    <w:p>
      <w:pPr>
        <w:pStyle w:val="BodyText"/>
        <w:spacing w:line="240" w:lineRule="auto"/>
        <w:ind w:left="574" w:right="95"/>
        <w:jc w:val="left"/>
      </w:pPr>
      <w:r>
        <w:rPr>
          <w:rFonts w:ascii="Times New Roman" w:hAnsi="Times New Roman" w:cs="Times New Roman" w:eastAsia="Times New Roman" w:hint="default"/>
        </w:rPr>
        <w:t>5</w:t>
      </w:r>
      <w:r>
        <w:rPr/>
        <w:t>、收购整合的风险</w:t>
      </w:r>
    </w:p>
    <w:p>
      <w:pPr>
        <w:pStyle w:val="BodyText"/>
        <w:spacing w:line="400" w:lineRule="auto" w:before="177"/>
        <w:ind w:right="101" w:firstLine="420"/>
        <w:jc w:val="left"/>
      </w:pPr>
      <w:r>
        <w:rPr>
          <w:rFonts w:ascii="Times New Roman" w:hAnsi="Times New Roman" w:cs="Times New Roman" w:eastAsia="Times New Roman" w:hint="default"/>
          <w:spacing w:val="-3"/>
        </w:rPr>
        <w:t>2015</w:t>
      </w:r>
      <w:r>
        <w:rPr>
          <w:spacing w:val="-3"/>
        </w:rPr>
        <w:t>年，公司收购完成了对迪科远望、上海树维的收购以及对北京乐智、成都兰途等公司的战略投资，</w:t>
      </w:r>
      <w:r>
        <w:rPr/>
        <w:t> 公司的资产规模和渠道覆盖均大幅增加，公司与标的公司在企业文化、经营管理、业务拓展等方面能否顺 利实现整合存在不确定性，若公司未能及时制定并实施与之相适应的整合措施，可能存在无法达到预期整 合效应的风险。</w:t>
      </w:r>
    </w:p>
    <w:p>
      <w:pPr>
        <w:pStyle w:val="BodyText"/>
        <w:spacing w:line="240" w:lineRule="auto" w:before="52"/>
        <w:ind w:left="574" w:right="95"/>
        <w:jc w:val="left"/>
      </w:pPr>
      <w:r>
        <w:rPr>
          <w:rFonts w:ascii="Times New Roman" w:hAnsi="Times New Roman" w:cs="Times New Roman" w:eastAsia="Times New Roman" w:hint="default"/>
        </w:rPr>
        <w:t>6</w:t>
      </w:r>
      <w:r>
        <w:rPr/>
        <w:t>、商誉减值的风险</w:t>
      </w:r>
    </w:p>
    <w:p>
      <w:pPr>
        <w:spacing w:after="0" w:line="240" w:lineRule="auto"/>
        <w:jc w:val="left"/>
        <w:sectPr>
          <w:footerReference w:type="default" r:id="rId30"/>
          <w:pgSz w:w="11910" w:h="16840"/>
          <w:pgMar w:footer="982" w:header="877" w:top="1100" w:bottom="1180" w:left="980" w:right="920"/>
          <w:pgNumType w:start="53"/>
        </w:sectPr>
      </w:pPr>
    </w:p>
    <w:p>
      <w:pPr>
        <w:spacing w:line="240" w:lineRule="auto" w:before="8"/>
        <w:rPr>
          <w:rFonts w:ascii="宋体" w:hAnsi="宋体" w:cs="宋体" w:eastAsia="宋体" w:hint="default"/>
          <w:sz w:val="26"/>
          <w:szCs w:val="26"/>
        </w:rPr>
      </w:pPr>
    </w:p>
    <w:p>
      <w:pPr>
        <w:pStyle w:val="BodyText"/>
        <w:spacing w:line="400" w:lineRule="auto" w:before="35"/>
        <w:ind w:left="153" w:right="147" w:firstLine="420"/>
        <w:jc w:val="both"/>
      </w:pPr>
      <w:r>
        <w:rPr>
          <w:spacing w:val="-1"/>
        </w:rPr>
        <w:t>根据企业会计准则，非同一控制下的企业合并中，购买方对合并成本大于合并中取得的被购买方可辨</w:t>
      </w:r>
      <w:r>
        <w:rPr/>
        <w:t> </w:t>
      </w:r>
      <w:r>
        <w:rPr>
          <w:spacing w:val="-5"/>
        </w:rPr>
        <w:t>认净资产公允价值份额的差额，应当确认为商誉，该等商誉需要在未来每个会计年度末进行减值测试。</w:t>
      </w:r>
      <w:r>
        <w:rPr>
          <w:rFonts w:ascii="Times New Roman" w:hAnsi="Times New Roman" w:cs="Times New Roman" w:eastAsia="Times New Roman" w:hint="default"/>
          <w:spacing w:val="-5"/>
        </w:rPr>
        <w:t>2015</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spacing w:val="-1"/>
        </w:rPr>
        <w:t>年度，公司并购重组确认了较大额度的商誉，若标的公司未来经营中不能较好地实现收益，则收购标的资</w:t>
      </w:r>
      <w:r>
        <w:rPr>
          <w:spacing w:val="-83"/>
        </w:rPr>
        <w:t> </w:t>
      </w:r>
      <w:r>
        <w:rPr>
          <w:spacing w:val="-83"/>
        </w:rPr>
      </w:r>
      <w:r>
        <w:rPr/>
        <w:t>产所形成的商誉将会有减值风险，从而对公司经营业绩产生不利影响。</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十、接待调研、沟通、采访等活动情况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7"/>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3"/>
                <w:sz w:val="18"/>
                <w:szCs w:val="18"/>
              </w:rPr>
              <w:t> </w:t>
            </w:r>
            <w:hyperlink r:id="rId31">
              <w:r>
                <w:rPr>
                  <w:rFonts w:ascii="Times New Roman" w:hAnsi="Times New Roman" w:cs="Times New Roman" w:eastAsia="Times New Roman" w:hint="default"/>
                  <w:sz w:val="18"/>
                  <w:szCs w:val="18"/>
                </w:rPr>
                <w:t>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3"/>
                <w:sz w:val="18"/>
                <w:szCs w:val="18"/>
              </w:rPr>
              <w:t> </w:t>
            </w:r>
            <w:hyperlink r:id="rId31">
              <w:r>
                <w:rPr>
                  <w:rFonts w:ascii="Times New Roman" w:hAnsi="Times New Roman" w:cs="Times New Roman" w:eastAsia="Times New Roman" w:hint="default"/>
                  <w:sz w:val="18"/>
                  <w:szCs w:val="18"/>
                </w:rPr>
                <w:t>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3"/>
                <w:sz w:val="18"/>
                <w:szCs w:val="18"/>
              </w:rPr>
              <w:t> </w:t>
            </w:r>
            <w:hyperlink r:id="rId31">
              <w:r>
                <w:rPr>
                  <w:rFonts w:ascii="Times New Roman" w:hAnsi="Times New Roman" w:cs="Times New Roman" w:eastAsia="Times New Roman" w:hint="default"/>
                  <w:sz w:val="18"/>
                  <w:szCs w:val="18"/>
                </w:rPr>
                <w:t>www.cninfo.com.cn</w:t>
              </w:r>
            </w:hyperlink>
          </w:p>
        </w:tc>
      </w:tr>
      <w:tr>
        <w:trPr>
          <w:trHeight w:val="403"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3"/>
                <w:sz w:val="18"/>
                <w:szCs w:val="18"/>
              </w:rPr>
              <w:t> </w:t>
            </w:r>
            <w:hyperlink r:id="rId31">
              <w:r>
                <w:rPr>
                  <w:rFonts w:ascii="Times New Roman" w:hAnsi="Times New Roman" w:cs="Times New Roman" w:eastAsia="Times New Roman" w:hint="default"/>
                  <w:sz w:val="18"/>
                  <w:szCs w:val="18"/>
                </w:rPr>
                <w:t>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2080"/>
        <w:jc w:val="center"/>
        <w:rPr>
          <w:b w:val="0"/>
          <w:bCs w:val="0"/>
        </w:rPr>
      </w:pPr>
      <w:bookmarkStart w:name="_TOC_250006" w:id="5"/>
      <w:r>
        <w:rPr/>
        <w:t>第五节</w:t>
      </w:r>
      <w:r>
        <w:rPr>
          <w:spacing w:val="-5"/>
        </w:rPr>
        <w:t> </w:t>
      </w:r>
      <w:r>
        <w:rPr/>
        <w:t>重要事项</w:t>
      </w:r>
      <w:bookmarkEnd w:id="5"/>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right="151" w:firstLine="420"/>
        <w:jc w:val="both"/>
      </w:pPr>
      <w:r>
        <w:rPr>
          <w:spacing w:val="-1"/>
        </w:rPr>
        <w:t>（一）公司重视对投资者的合理投资回报，根据自身的财务结构、盈利能力和未来的投资、融资发展</w:t>
      </w:r>
      <w:r>
        <w:rPr/>
        <w:t> 规划实施积极的利润分配办法，保持利润分配政策的持续性和稳定性。</w:t>
      </w:r>
    </w:p>
    <w:p>
      <w:pPr>
        <w:pStyle w:val="BodyText"/>
        <w:spacing w:line="240" w:lineRule="auto"/>
        <w:ind w:left="573" w:right="0"/>
        <w:jc w:val="left"/>
      </w:pPr>
      <w:r>
        <w:rPr/>
        <w:t>公司利润分配政策如下：</w:t>
      </w:r>
    </w:p>
    <w:p>
      <w:pPr>
        <w:spacing w:line="240" w:lineRule="auto" w:before="10"/>
        <w:rPr>
          <w:rFonts w:ascii="宋体" w:hAnsi="宋体" w:cs="宋体" w:eastAsia="宋体" w:hint="default"/>
          <w:sz w:val="14"/>
          <w:szCs w:val="14"/>
        </w:rPr>
      </w:pPr>
    </w:p>
    <w:p>
      <w:pPr>
        <w:pStyle w:val="BodyText"/>
        <w:spacing w:line="386" w:lineRule="auto" w:before="0"/>
        <w:ind w:left="153" w:right="244" w:firstLine="420"/>
        <w:jc w:val="both"/>
      </w:pPr>
      <w:r>
        <w:rPr>
          <w:rFonts w:ascii="Times New Roman" w:hAnsi="Times New Roman" w:cs="Times New Roman" w:eastAsia="Times New Roman" w:hint="default"/>
        </w:rPr>
        <w:t>“</w:t>
      </w:r>
      <w:r>
        <w:rPr/>
        <w:t>公司的利润分配政策应重视对投资者的合理投资回报，利润分配政策将保持连续性和稳定性。公司 的利润分配不得超过累计可分配利润的范围，不得损害公司持续经营能力。</w:t>
      </w:r>
    </w:p>
    <w:p>
      <w:pPr>
        <w:pStyle w:val="BodyText"/>
        <w:spacing w:line="240" w:lineRule="auto" w:before="65"/>
        <w:ind w:left="573" w:right="0"/>
        <w:jc w:val="left"/>
      </w:pPr>
      <w:r>
        <w:rPr/>
        <w:t>公司的利润分配政策为：</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（一）公司可以采取现金或者股票股利方式分配股利，可以进行中期现金分红；</w:t>
      </w:r>
    </w:p>
    <w:p>
      <w:pPr>
        <w:spacing w:line="240" w:lineRule="auto" w:before="10"/>
        <w:rPr>
          <w:rFonts w:ascii="宋体" w:hAnsi="宋体" w:cs="宋体" w:eastAsia="宋体" w:hint="default"/>
          <w:sz w:val="14"/>
          <w:szCs w:val="14"/>
        </w:rPr>
      </w:pPr>
    </w:p>
    <w:p>
      <w:pPr>
        <w:pStyle w:val="BodyText"/>
        <w:spacing w:line="398" w:lineRule="auto" w:before="0"/>
        <w:ind w:left="153" w:right="151" w:firstLine="420"/>
        <w:jc w:val="both"/>
      </w:pPr>
      <w:r>
        <w:rPr>
          <w:spacing w:val="-1"/>
        </w:rPr>
        <w:t>（二）在满足公司正常生产经营的资金需求的前提下，公司每年以现金方式分配的利润不少于当年实</w:t>
      </w:r>
      <w:r>
        <w:rPr/>
        <w:t> 现的可分配利润的</w:t>
      </w:r>
      <w:r>
        <w:rPr>
          <w:rFonts w:ascii="Times New Roman" w:hAnsi="Times New Roman" w:cs="Times New Roman" w:eastAsia="Times New Roman" w:hint="default"/>
        </w:rPr>
        <w:t>10%</w:t>
      </w:r>
      <w:r>
        <w:rPr/>
        <w:t>；对于公司当年的利润分配计划，公司董事会应当在定期报告中披露当年未分配利 润的使用计划、安排或原则。</w:t>
      </w:r>
    </w:p>
    <w:p>
      <w:pPr>
        <w:pStyle w:val="BodyText"/>
        <w:spacing w:line="400" w:lineRule="auto" w:before="54"/>
        <w:ind w:left="153" w:right="151" w:firstLine="420"/>
        <w:jc w:val="both"/>
      </w:pPr>
      <w:r>
        <w:rPr/>
        <w:t>公司董事会未做出年度现金利润分配预案或年度现金利润分配比例不足</w:t>
      </w:r>
      <w:r>
        <w:rPr>
          <w:rFonts w:ascii="Times New Roman" w:hAnsi="Times New Roman" w:cs="Times New Roman" w:eastAsia="Times New Roman" w:hint="default"/>
        </w:rPr>
        <w:t>10%</w:t>
      </w:r>
      <w:r>
        <w:rPr/>
        <w:t>的，应当在定期报告中披 </w:t>
      </w:r>
      <w:r>
        <w:rPr>
          <w:spacing w:val="-1"/>
        </w:rPr>
        <w:t>露原因、公司留存资金的使用计划和安排，该等年度现金利润分配方案须经董事会审议、监事会审核后提</w:t>
      </w:r>
      <w:r>
        <w:rPr>
          <w:spacing w:val="-83"/>
        </w:rPr>
        <w:t> </w:t>
      </w:r>
      <w:r>
        <w:rPr>
          <w:spacing w:val="-83"/>
        </w:rPr>
      </w:r>
      <w:r>
        <w:rPr>
          <w:spacing w:val="-1"/>
        </w:rPr>
        <w:t>交股东大会审议；股东大会审议该等年度现金利润分配方案时，公司应当提供网络投票表决方式为公众股</w:t>
      </w:r>
      <w:r>
        <w:rPr>
          <w:spacing w:val="-81"/>
        </w:rPr>
        <w:t> </w:t>
      </w:r>
      <w:r>
        <w:rPr>
          <w:spacing w:val="-81"/>
        </w:rPr>
      </w:r>
      <w:r>
        <w:rPr/>
        <w:t>东参加股东大会提供便利；对于该等年度现金利润分配方案，独立董事应当发表独立意见；</w:t>
      </w:r>
    </w:p>
    <w:p>
      <w:pPr>
        <w:pStyle w:val="BodyText"/>
        <w:spacing w:line="408" w:lineRule="auto" w:before="52"/>
        <w:ind w:left="153" w:right="151" w:firstLine="420"/>
        <w:jc w:val="both"/>
      </w:pPr>
      <w:r>
        <w:rPr>
          <w:spacing w:val="-1"/>
        </w:rPr>
        <w:t>（三）具备现金分红条件的，应当采用现金分红进行利润分配。若公司营业收入快速增长，并且董事</w:t>
      </w:r>
      <w:r>
        <w:rPr/>
        <w:t> </w:t>
      </w:r>
      <w:r>
        <w:rPr>
          <w:spacing w:val="-1"/>
        </w:rPr>
        <w:t>会认为公司股票价格与公司股本规模不匹配时，可以在满足上述现金股利分配之余，提出实施股票股利分</w:t>
      </w:r>
      <w:r>
        <w:rPr>
          <w:spacing w:val="-81"/>
        </w:rPr>
        <w:t> </w:t>
      </w:r>
      <w:r>
        <w:rPr>
          <w:spacing w:val="-81"/>
        </w:rPr>
      </w:r>
      <w:r>
        <w:rPr>
          <w:spacing w:val="-1"/>
        </w:rPr>
        <w:t>配预案，具体方案需经公司董事会审议后提交公司股东大会批准。采用股票股利进行利润分配的，应当具</w:t>
      </w:r>
      <w:r>
        <w:rPr>
          <w:spacing w:val="-83"/>
        </w:rPr>
        <w:t> </w:t>
      </w:r>
      <w:r>
        <w:rPr>
          <w:spacing w:val="-83"/>
        </w:rPr>
      </w:r>
      <w:r>
        <w:rPr/>
        <w:t>有公司成长性、每股净资产的摊薄等真实合理因素。</w:t>
      </w:r>
    </w:p>
    <w:p>
      <w:pPr>
        <w:pStyle w:val="BodyText"/>
        <w:spacing w:line="408" w:lineRule="auto"/>
        <w:ind w:left="153" w:right="150" w:firstLine="420"/>
        <w:jc w:val="both"/>
      </w:pPr>
      <w:r>
        <w:rPr>
          <w:spacing w:val="-1"/>
        </w:rPr>
        <w:t>公司董事会应当综合考虑所处行业特点、发展阶段、自身经营模式、盈利水平以及是否有重大资金支</w:t>
      </w:r>
      <w:r>
        <w:rPr/>
        <w:t> 出安排等因素，区分下列情形，并按照本章程规定的程序，提出差异化的现金分红政策：</w:t>
      </w:r>
    </w:p>
    <w:p>
      <w:pPr>
        <w:pStyle w:val="BodyText"/>
        <w:spacing w:line="386" w:lineRule="auto"/>
        <w:ind w:left="153" w:right="235" w:firstLine="420"/>
        <w:jc w:val="both"/>
      </w:pPr>
      <w:r>
        <w:rPr>
          <w:rFonts w:ascii="Times New Roman" w:hAnsi="Times New Roman" w:cs="Times New Roman" w:eastAsia="Times New Roman" w:hint="default"/>
        </w:rPr>
        <w:t>1</w:t>
      </w:r>
      <w:r>
        <w:rPr/>
        <w:t>、公司发展阶段属成熟期且无重大资金支出安排的，进行利润分配时，现金分红在本次利润分配中 所占比例最低应达到</w:t>
      </w:r>
      <w:r>
        <w:rPr>
          <w:rFonts w:ascii="Times New Roman" w:hAnsi="Times New Roman" w:cs="Times New Roman" w:eastAsia="Times New Roman" w:hint="default"/>
        </w:rPr>
        <w:t>80%</w:t>
      </w:r>
      <w:r>
        <w:rPr/>
        <w:t>；</w:t>
      </w:r>
    </w:p>
    <w:p>
      <w:pPr>
        <w:pStyle w:val="BodyText"/>
        <w:spacing w:line="386" w:lineRule="auto" w:before="35"/>
        <w:ind w:left="153" w:right="235" w:firstLine="420"/>
        <w:jc w:val="both"/>
      </w:pPr>
      <w:r>
        <w:rPr>
          <w:rFonts w:ascii="Times New Roman" w:hAnsi="Times New Roman" w:cs="Times New Roman" w:eastAsia="Times New Roman" w:hint="default"/>
        </w:rPr>
        <w:t>2</w:t>
      </w:r>
      <w:r>
        <w:rPr/>
        <w:t>、公司发展阶段属成熟期且有重大资金支出安排的，进行利润分配时，现金分红在本次利润分配中 所占比例最低应达到</w:t>
      </w:r>
      <w:r>
        <w:rPr>
          <w:rFonts w:ascii="Times New Roman" w:hAnsi="Times New Roman" w:cs="Times New Roman" w:eastAsia="Times New Roman" w:hint="default"/>
        </w:rPr>
        <w:t>40%</w:t>
      </w:r>
      <w:r>
        <w:rPr/>
        <w:t>；</w:t>
      </w:r>
    </w:p>
    <w:p>
      <w:pPr>
        <w:spacing w:after="0" w:line="386" w:lineRule="auto"/>
        <w:jc w:val="both"/>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386" w:lineRule="auto" w:before="35"/>
        <w:ind w:right="215" w:firstLine="420"/>
        <w:jc w:val="left"/>
      </w:pPr>
      <w:r>
        <w:rPr>
          <w:rFonts w:ascii="Times New Roman" w:hAnsi="Times New Roman" w:cs="Times New Roman" w:eastAsia="Times New Roman" w:hint="default"/>
        </w:rPr>
        <w:t>3</w:t>
      </w:r>
      <w:r>
        <w:rPr/>
        <w:t>、公司发展阶段属成长期且有重大资金支出安排的，进行利润分配时，现金分红在本次利润分配中 所占比例最低应达到</w:t>
      </w:r>
      <w:r>
        <w:rPr>
          <w:rFonts w:ascii="Times New Roman" w:hAnsi="Times New Roman" w:cs="Times New Roman" w:eastAsia="Times New Roman" w:hint="default"/>
        </w:rPr>
        <w:t>20%</w:t>
      </w:r>
      <w:r>
        <w:rPr/>
        <w:t>；</w:t>
      </w:r>
    </w:p>
    <w:p>
      <w:pPr>
        <w:pStyle w:val="BodyText"/>
        <w:spacing w:line="408" w:lineRule="auto" w:before="35"/>
        <w:ind w:left="573" w:right="0"/>
        <w:jc w:val="left"/>
      </w:pPr>
      <w:r>
        <w:rPr/>
        <w:t>公司发展阶段不易区分但有重大资金支出安排的，可以按照前项规定处理。 </w:t>
      </w:r>
      <w:r>
        <w:rPr>
          <w:spacing w:val="-1"/>
        </w:rPr>
        <w:t>公司的利润分配政策经董事会审议、监事会审核后，报股东大会表决通过。公司制定各期利润分配的</w:t>
      </w:r>
    </w:p>
    <w:p>
      <w:pPr>
        <w:pStyle w:val="BodyText"/>
        <w:spacing w:line="408" w:lineRule="auto"/>
        <w:ind w:left="153" w:right="151"/>
        <w:jc w:val="both"/>
      </w:pPr>
      <w:r>
        <w:rPr>
          <w:spacing w:val="-1"/>
        </w:rPr>
        <w:t>具体规划和计划安排，以及调整规划或计划安排时，应按照有关法律、行政法规、部门规章及本章程的规</w:t>
      </w:r>
      <w:r>
        <w:rPr>
          <w:spacing w:val="-82"/>
        </w:rPr>
        <w:t> </w:t>
      </w:r>
      <w:r>
        <w:rPr>
          <w:spacing w:val="-82"/>
        </w:rPr>
      </w:r>
      <w:r>
        <w:rPr>
          <w:spacing w:val="-1"/>
        </w:rPr>
        <w:t>定，并充分听取独立董事、外部监事和公众股东的意见；公司在制定现金分红具体方案时，董事会应当认</w:t>
      </w:r>
      <w:r>
        <w:rPr>
          <w:spacing w:val="-82"/>
        </w:rPr>
        <w:t> </w:t>
      </w:r>
      <w:r>
        <w:rPr>
          <w:spacing w:val="-82"/>
        </w:rPr>
      </w:r>
      <w:r>
        <w:rPr>
          <w:spacing w:val="-1"/>
        </w:rPr>
        <w:t>真研究和论证公司现金分红的时机、条件和最低比例、调整的条件及其决策程序要求等事宜，独立董事应</w:t>
      </w:r>
      <w:r>
        <w:rPr>
          <w:spacing w:val="-83"/>
        </w:rPr>
        <w:t> </w:t>
      </w:r>
      <w:r>
        <w:rPr>
          <w:spacing w:val="-83"/>
        </w:rPr>
      </w:r>
      <w:r>
        <w:rPr>
          <w:spacing w:val="-1"/>
        </w:rPr>
        <w:t>当发表明确意见。独立董事可以征集中小股东的意见，提出分红提案，并直接提交董事会审议。股东大会</w:t>
      </w:r>
      <w:r>
        <w:rPr>
          <w:spacing w:val="-82"/>
        </w:rPr>
        <w:t> </w:t>
      </w:r>
      <w:r>
        <w:rPr>
          <w:spacing w:val="-82"/>
        </w:rPr>
      </w:r>
      <w:r>
        <w:rPr>
          <w:spacing w:val="-1"/>
        </w:rPr>
        <w:t>对现金分红具体方案进行审议前，公司应当通过多种渠道主动与股东特别是中小股东进行沟通和交流，充</w:t>
      </w:r>
      <w:r>
        <w:rPr>
          <w:spacing w:val="-81"/>
        </w:rPr>
        <w:t> </w:t>
      </w:r>
      <w:r>
        <w:rPr>
          <w:spacing w:val="-81"/>
        </w:rPr>
      </w:r>
      <w:r>
        <w:rPr/>
        <w:t>分听取中小股东的意见和诉求，及时答复中小股东关心的问题。</w:t>
      </w:r>
    </w:p>
    <w:p>
      <w:pPr>
        <w:pStyle w:val="BodyText"/>
        <w:spacing w:line="405" w:lineRule="auto"/>
        <w:ind w:left="153" w:right="0" w:firstLine="420"/>
        <w:jc w:val="left"/>
      </w:pPr>
      <w:r>
        <w:rPr>
          <w:spacing w:val="-1"/>
        </w:rPr>
        <w:t>公司应当严格执行公司章程确定的现金分红政策以及股东大会审议批准的现金分红具体方案。确有必</w:t>
      </w:r>
      <w:r>
        <w:rPr/>
        <w:t> 要对公司章程确定的利润分配政策特别是现金分红政策进行调整或者变更的，应以股东权益保护为出发 </w:t>
      </w:r>
      <w:r>
        <w:rPr>
          <w:spacing w:val="-1"/>
        </w:rPr>
        <w:t>点，由公司董事会、监事会进行研究论证并在股东大会提案中详细论证和说明原因，经调整的利润分配政</w:t>
      </w:r>
      <w:r>
        <w:rPr>
          <w:spacing w:val="-83"/>
        </w:rPr>
        <w:t> </w:t>
      </w:r>
      <w:r>
        <w:rPr>
          <w:spacing w:val="-83"/>
        </w:rPr>
      </w:r>
      <w:r>
        <w:rPr>
          <w:spacing w:val="-1"/>
        </w:rPr>
        <w:t>策应当符合有关法律、行政法规、部门规章及本章程的规定并须经董事会审议、监事会审核后提交股东大</w:t>
      </w:r>
      <w:r>
        <w:rPr>
          <w:spacing w:val="-83"/>
        </w:rPr>
        <w:t> </w:t>
      </w:r>
      <w:r>
        <w:rPr>
          <w:spacing w:val="-83"/>
        </w:rPr>
      </w:r>
      <w:r>
        <w:rPr>
          <w:spacing w:val="-2"/>
        </w:rPr>
        <w:t>会审议，并经出席股东大会的股东所持表决权的</w:t>
      </w:r>
      <w:r>
        <w:rPr>
          <w:rFonts w:ascii="Times New Roman" w:hAnsi="Times New Roman" w:cs="Times New Roman" w:eastAsia="Times New Roman" w:hint="default"/>
          <w:spacing w:val="-2"/>
        </w:rPr>
        <w:t>2/3</w:t>
      </w:r>
      <w:r>
        <w:rPr>
          <w:spacing w:val="-2"/>
        </w:rPr>
        <w:t>以上通过。股东大会审议该等议案时，公司应当提供网</w:t>
      </w:r>
      <w:r>
        <w:rPr>
          <w:spacing w:val="-92"/>
        </w:rPr>
        <w:t> </w:t>
      </w:r>
      <w:r>
        <w:rPr>
          <w:spacing w:val="-92"/>
        </w:rPr>
      </w:r>
      <w:r>
        <w:rPr>
          <w:spacing w:val="-1"/>
        </w:rPr>
        <w:t>络投票表决方式为公众股东参加股东大会提供便利。对于公司利润分配政策的调整或者变更事项，独立董</w:t>
      </w:r>
      <w:r>
        <w:rPr>
          <w:spacing w:val="-81"/>
        </w:rPr>
        <w:t> </w:t>
      </w:r>
      <w:r>
        <w:rPr>
          <w:spacing w:val="-81"/>
        </w:rPr>
      </w:r>
      <w:r>
        <w:rPr/>
        <w:t>事应当发表独立意见。</w:t>
      </w:r>
    </w:p>
    <w:p>
      <w:pPr>
        <w:pStyle w:val="BodyText"/>
        <w:spacing w:line="408" w:lineRule="auto" w:before="48"/>
        <w:ind w:left="153" w:right="0" w:firstLine="420"/>
        <w:jc w:val="left"/>
        <w:rPr>
          <w:rFonts w:ascii="Times New Roman" w:hAnsi="Times New Roman" w:cs="Times New Roman" w:eastAsia="Times New Roman" w:hint="default"/>
        </w:rPr>
      </w:pPr>
      <w:r>
        <w:rPr>
          <w:spacing w:val="-1"/>
        </w:rPr>
        <w:t>公司制定分红回报规划应当着眼于公司的长远和可持续发展，在综合分析企业经营发展实际、股东要</w:t>
      </w:r>
      <w:r>
        <w:rPr/>
        <w:t> </w:t>
      </w:r>
      <w:r>
        <w:rPr>
          <w:spacing w:val="-3"/>
        </w:rPr>
        <w:t>求和意愿、社会资金成本、外部融资环境等因素的基础上，建立对投资者持续、稳定、科学的回报机制。</w:t>
      </w:r>
      <w:r>
        <w:rPr>
          <w:rFonts w:ascii="Times New Roman" w:hAnsi="Times New Roman" w:cs="Times New Roman" w:eastAsia="Times New Roman" w:hint="default"/>
          <w:spacing w:val="-3"/>
        </w:rPr>
        <w:t>”</w:t>
      </w:r>
    </w:p>
    <w:p>
      <w:pPr>
        <w:pStyle w:val="BodyText"/>
        <w:spacing w:line="408" w:lineRule="auto" w:before="14"/>
        <w:ind w:left="573" w:right="531"/>
        <w:jc w:val="left"/>
      </w:pPr>
      <w:r>
        <w:rPr/>
        <w:t>（二）报告期内公司分红派息执行情况 经立信会计师事务所（特殊普通合伙）审计：公司</w:t>
      </w:r>
      <w:r>
        <w:rPr>
          <w:rFonts w:ascii="Times New Roman" w:hAnsi="Times New Roman" w:cs="Times New Roman" w:eastAsia="Times New Roman" w:hint="default"/>
        </w:rPr>
        <w:t>2014</w:t>
      </w:r>
      <w:r>
        <w:rPr/>
        <w:t>年度实现归属于上市公司股东的净利润为</w:t>
      </w:r>
    </w:p>
    <w:p>
      <w:pPr>
        <w:pStyle w:val="BodyText"/>
        <w:spacing w:line="386" w:lineRule="auto" w:before="14"/>
        <w:ind w:left="574" w:right="144" w:hanging="421"/>
        <w:jc w:val="left"/>
      </w:pPr>
      <w:r>
        <w:rPr>
          <w:rFonts w:ascii="Times New Roman" w:hAnsi="Times New Roman" w:cs="Times New Roman" w:eastAsia="Times New Roman" w:hint="default"/>
        </w:rPr>
        <w:t>37,756,702.33</w:t>
      </w:r>
      <w:r>
        <w:rPr/>
        <w:t>元，母公司实现的净利润为</w:t>
      </w:r>
      <w:r>
        <w:rPr>
          <w:rFonts w:ascii="Times New Roman" w:hAnsi="Times New Roman" w:cs="Times New Roman" w:eastAsia="Times New Roman" w:hint="default"/>
        </w:rPr>
        <w:t>42,411,384.37</w:t>
      </w:r>
      <w:r>
        <w:rPr/>
        <w:t>元。 </w:t>
      </w:r>
      <w:r>
        <w:rPr>
          <w:spacing w:val="-1"/>
        </w:rPr>
        <w:t>根据《公司章程》的有关规定，母公司应当提取利润的</w:t>
      </w:r>
      <w:r>
        <w:rPr>
          <w:rFonts w:ascii="Times New Roman" w:hAnsi="Times New Roman" w:cs="Times New Roman" w:eastAsia="Times New Roman" w:hint="default"/>
          <w:spacing w:val="-1"/>
        </w:rPr>
        <w:t>10%</w:t>
      </w:r>
      <w:r>
        <w:rPr>
          <w:spacing w:val="-1"/>
        </w:rPr>
        <w:t>，即</w:t>
      </w:r>
      <w:r>
        <w:rPr>
          <w:rFonts w:ascii="Times New Roman" w:hAnsi="Times New Roman" w:cs="Times New Roman" w:eastAsia="Times New Roman" w:hint="default"/>
          <w:spacing w:val="-1"/>
        </w:rPr>
        <w:t>4,241,138.44</w:t>
      </w:r>
      <w:r>
        <w:rPr>
          <w:spacing w:val="-1"/>
        </w:rPr>
        <w:t>元作为法定公积金。截至</w:t>
      </w:r>
    </w:p>
    <w:p>
      <w:pPr>
        <w:pStyle w:val="BodyText"/>
        <w:spacing w:line="386" w:lineRule="auto" w:before="35"/>
        <w:ind w:left="574" w:right="110" w:hanging="42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日，母公司可供分配的利润为</w:t>
      </w:r>
      <w:r>
        <w:rPr>
          <w:rFonts w:ascii="Times New Roman" w:hAnsi="Times New Roman" w:cs="Times New Roman" w:eastAsia="Times New Roman" w:hint="default"/>
        </w:rPr>
        <w:t>166,286,905.79</w:t>
      </w:r>
      <w:r>
        <w:rPr/>
        <w:t>元，资本公积余额为</w:t>
      </w:r>
      <w:r>
        <w:rPr>
          <w:rFonts w:ascii="Times New Roman" w:hAnsi="Times New Roman" w:cs="Times New Roman" w:eastAsia="Times New Roman" w:hint="default"/>
        </w:rPr>
        <w:t>206,469,044.44</w:t>
      </w:r>
      <w:r>
        <w:rPr/>
        <w:t>元。 考虑到公司未来业务发展需要，为使公司股本规模和经营规模相匹配，使公司的价值能够更加公允、</w:t>
      </w:r>
    </w:p>
    <w:p>
      <w:pPr>
        <w:pStyle w:val="BodyText"/>
        <w:spacing w:line="391" w:lineRule="auto" w:before="65"/>
        <w:ind w:right="0"/>
        <w:jc w:val="left"/>
      </w:pPr>
      <w:r>
        <w:rPr>
          <w:spacing w:val="-1"/>
        </w:rPr>
        <w:t>客观的体现，同时能为投资者提供更多的保障，从长远角度回报投资者，保护中小投资者的利益，使全体</w:t>
      </w:r>
      <w:r>
        <w:rPr>
          <w:spacing w:val="-82"/>
        </w:rPr>
        <w:t> </w:t>
      </w:r>
      <w:r>
        <w:rPr>
          <w:spacing w:val="-82"/>
        </w:rPr>
      </w:r>
      <w:r>
        <w:rPr/>
        <w:t>股东分享公司成长的经营成果，</w:t>
      </w:r>
      <w:r>
        <w:rPr>
          <w:rFonts w:ascii="Times New Roman" w:hAnsi="Times New Roman" w:cs="Times New Roman" w:eastAsia="Times New Roman" w:hint="default"/>
        </w:rPr>
        <w:t>2014</w:t>
      </w:r>
      <w:r>
        <w:rPr/>
        <w:t>年度公司利润分配预案如下：以截止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 </w:t>
      </w:r>
      <w:r>
        <w:rPr>
          <w:rFonts w:ascii="Times New Roman" w:hAnsi="Times New Roman" w:cs="Times New Roman" w:eastAsia="Times New Roman" w:hint="default"/>
        </w:rPr>
        <w:t>142,720,000</w:t>
      </w:r>
      <w:r>
        <w:rPr/>
        <w:t>股为基数，向全体股东每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1</w:t>
      </w:r>
      <w:r>
        <w:rPr/>
        <w:t>元人民币（含税）；同时进行资本公积金转增股本， </w:t>
      </w:r>
      <w:r>
        <w:rPr>
          <w:spacing w:val="-1"/>
        </w:rPr>
        <w:t>以公司总股本</w:t>
      </w:r>
      <w:r>
        <w:rPr>
          <w:rFonts w:ascii="Times New Roman" w:hAnsi="Times New Roman" w:cs="Times New Roman" w:eastAsia="Times New Roman" w:hint="default"/>
          <w:spacing w:val="-1"/>
        </w:rPr>
        <w:t>142,720,000</w:t>
      </w:r>
      <w:r>
        <w:rPr>
          <w:spacing w:val="-1"/>
        </w:rPr>
        <w:t>股为基数，向全体股东每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10</w:t>
      </w:r>
      <w:r>
        <w:rPr>
          <w:spacing w:val="-1"/>
        </w:rPr>
        <w:t>股，转增后公司总股本将增加至</w:t>
      </w:r>
      <w:r>
        <w:rPr>
          <w:rFonts w:ascii="Times New Roman" w:hAnsi="Times New Roman" w:cs="Times New Roman" w:eastAsia="Times New Roman" w:hint="default"/>
          <w:spacing w:val="-1"/>
        </w:rPr>
        <w:t>285,440,000</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t>股。</w:t>
      </w:r>
    </w:p>
    <w:p>
      <w:pPr>
        <w:spacing w:after="0" w:line="391" w:lineRule="auto"/>
        <w:jc w:val="left"/>
        <w:sectPr>
          <w:footerReference w:type="default" r:id="rId32"/>
          <w:pgSz w:w="11910" w:h="16840"/>
          <w:pgMar w:footer="982" w:header="877" w:top="1100" w:bottom="1180" w:left="980" w:right="980"/>
          <w:pgNumType w:start="56"/>
        </w:sectPr>
      </w:pPr>
    </w:p>
    <w:p>
      <w:pPr>
        <w:spacing w:line="240" w:lineRule="auto" w:before="8"/>
        <w:rPr>
          <w:rFonts w:ascii="宋体" w:hAnsi="宋体" w:cs="宋体" w:eastAsia="宋体" w:hint="default"/>
          <w:sz w:val="26"/>
          <w:szCs w:val="26"/>
        </w:rPr>
      </w:pPr>
    </w:p>
    <w:p>
      <w:pPr>
        <w:pStyle w:val="BodyText"/>
        <w:spacing w:line="400" w:lineRule="auto" w:before="35"/>
        <w:ind w:right="0" w:firstLine="420"/>
        <w:jc w:val="left"/>
      </w:pPr>
      <w:r>
        <w:rPr>
          <w:spacing w:val="-1"/>
        </w:rPr>
        <w:t>公司第三届董事会第八次会议及第三届监事会第七次会议审议通过上述预案，独立董事均发表了明确</w:t>
      </w:r>
      <w:r>
        <w:rPr/>
        <w:t> 的同意意见。公司</w:t>
      </w:r>
      <w:r>
        <w:rPr>
          <w:rFonts w:ascii="Times New Roman" w:hAnsi="Times New Roman" w:cs="Times New Roman" w:eastAsia="Times New Roman" w:hint="default"/>
        </w:rPr>
        <w:t>2014</w:t>
      </w:r>
      <w:r>
        <w:rPr/>
        <w:t>年度利润分配及资本公积金转增股本预案已经由</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日召开的公司</w:t>
      </w:r>
      <w:r>
        <w:rPr>
          <w:rFonts w:ascii="Times New Roman" w:hAnsi="Times New Roman" w:cs="Times New Roman" w:eastAsia="Times New Roman" w:hint="default"/>
        </w:rPr>
        <w:t>2014</w:t>
      </w:r>
      <w:r>
        <w:rPr/>
        <w:t>年 </w:t>
      </w:r>
      <w:r>
        <w:rPr>
          <w:spacing w:val="-1"/>
        </w:rPr>
        <w:t>年度股东大会审议通过。本次股东大会公司采用了现场投票与网络投票相结合的方式，为中小股东提供了</w:t>
      </w:r>
      <w:r>
        <w:rPr>
          <w:spacing w:val="-81"/>
        </w:rPr>
        <w:t> </w:t>
      </w:r>
      <w:r>
        <w:rPr>
          <w:spacing w:val="-81"/>
        </w:rPr>
      </w:r>
      <w:r>
        <w:rPr/>
        <w:t>充分表达意见和诉求的便利机会，维护了中小股东的合法权益。</w:t>
      </w:r>
    </w:p>
    <w:p>
      <w:pPr>
        <w:pStyle w:val="BodyText"/>
        <w:spacing w:line="240" w:lineRule="auto" w:before="52"/>
        <w:ind w:left="574"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日，公司在《巨潮资讯网》上刊登了《</w:t>
      </w:r>
      <w:r>
        <w:rPr>
          <w:rFonts w:ascii="Times New Roman" w:hAnsi="Times New Roman" w:cs="Times New Roman" w:eastAsia="Times New Roman" w:hint="default"/>
        </w:rPr>
        <w:t>2014</w:t>
      </w:r>
      <w:r>
        <w:rPr/>
        <w:t>年年度权益分派实施公告》，截至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p>
    <w:p>
      <w:pPr>
        <w:pStyle w:val="BodyText"/>
        <w:spacing w:line="240" w:lineRule="auto" w:before="177"/>
        <w:ind w:right="0"/>
        <w:jc w:val="left"/>
      </w:pPr>
      <w:r>
        <w:rPr>
          <w:rFonts w:ascii="Times New Roman" w:hAnsi="Times New Roman" w:cs="Times New Roman" w:eastAsia="Times New Roman" w:hint="default"/>
        </w:rPr>
        <w:t>25</w:t>
      </w:r>
      <w:r>
        <w:rPr/>
        <w:t>日，公司</w:t>
      </w:r>
      <w:r>
        <w:rPr>
          <w:rFonts w:ascii="Times New Roman" w:hAnsi="Times New Roman" w:cs="Times New Roman" w:eastAsia="Times New Roman" w:hint="default"/>
        </w:rPr>
        <w:t>2014</w:t>
      </w:r>
      <w:r>
        <w:rPr/>
        <w:t>年年度权益分派已实施完毕。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before="44"/>
        <w:ind w:left="0" w:right="158" w:firstLine="0"/>
        <w:jc w:val="right"/>
        <w:rPr>
          <w:rFonts w:ascii="宋体" w:hAnsi="宋体" w:cs="宋体" w:eastAsia="宋体" w:hint="default"/>
          <w:sz w:val="18"/>
          <w:szCs w:val="18"/>
        </w:rPr>
      </w:pPr>
      <w:r>
        <w:rPr/>
        <w:pict>
          <v:shape style="position:absolute;margin-left:56.459999pt;margin-top:-272.948029pt;width:479.1pt;height:375.2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4"/>
                    <w:gridCol w:w="4783"/>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317" w:hRule="exact"/>
                    </w:trPr>
                    <w:tc>
                      <w:tcPr>
                        <w:tcW w:w="4784" w:type="dxa"/>
                        <w:tcBorders>
                          <w:top w:val="single" w:sz="4" w:space="0" w:color="000000"/>
                          <w:left w:val="single" w:sz="4" w:space="0" w:color="000000"/>
                          <w:bottom w:val="nil" w:sz="6" w:space="0" w:color="auto"/>
                          <w:right w:val="single" w:sz="4" w:space="0" w:color="000000"/>
                        </w:tcBorders>
                        <w:shd w:val="clear" w:color="auto" w:fill="D3D3D3"/>
                      </w:tcPr>
                      <w:p>
                        <w:pPr/>
                      </w:p>
                    </w:tc>
                    <w:tc>
                      <w:tcPr>
                        <w:tcW w:w="4783"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报告期内，公司严格按照《公司章程》的相关利润分配政策 和审议程序实施</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年度利润分配及资本公积转增方案，并</w:t>
                        </w:r>
                        <w:r>
                          <w:rPr>
                            <w:rFonts w:ascii="宋体" w:hAnsi="宋体" w:cs="宋体" w:eastAsia="宋体" w:hint="default"/>
                            <w:sz w:val="18"/>
                            <w:szCs w:val="18"/>
                          </w:rPr>
                          <w:t> 在规定时间内实施了权益分派。</w:t>
                        </w:r>
                      </w:p>
                    </w:tc>
                  </w:tr>
                  <w:tr>
                    <w:trPr>
                      <w:trHeight w:val="39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3" w:type="dxa"/>
                        <w:vMerge/>
                        <w:tcBorders>
                          <w:left w:val="single" w:sz="4" w:space="0" w:color="000000"/>
                          <w:right w:val="single" w:sz="4" w:space="0" w:color="000000"/>
                        </w:tcBorders>
                      </w:tcPr>
                      <w:p>
                        <w:pPr/>
                      </w:p>
                    </w:tc>
                  </w:tr>
                  <w:tr>
                    <w:trPr>
                      <w:trHeight w:val="317" w:hRule="exact"/>
                    </w:trPr>
                    <w:tc>
                      <w:tcPr>
                        <w:tcW w:w="4784" w:type="dxa"/>
                        <w:tcBorders>
                          <w:top w:val="nil" w:sz="6" w:space="0" w:color="auto"/>
                          <w:left w:val="single" w:sz="4" w:space="0" w:color="000000"/>
                          <w:bottom w:val="single" w:sz="4" w:space="0" w:color="000000"/>
                          <w:right w:val="single" w:sz="4" w:space="0" w:color="000000"/>
                        </w:tcBorders>
                        <w:shd w:val="clear" w:color="auto" w:fill="D3D3D3"/>
                      </w:tcPr>
                      <w:p>
                        <w:pPr/>
                      </w:p>
                    </w:tc>
                    <w:tc>
                      <w:tcPr>
                        <w:tcW w:w="4783" w:type="dxa"/>
                        <w:vMerge/>
                        <w:tcBorders>
                          <w:left w:val="single" w:sz="4" w:space="0" w:color="000000"/>
                          <w:bottom w:val="single" w:sz="4" w:space="0" w:color="000000"/>
                          <w:right w:val="single" w:sz="4" w:space="0" w:color="000000"/>
                        </w:tcBorders>
                      </w:tcPr>
                      <w:p>
                        <w:pP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《公司章程》中规定的分红标准和分红比例明确清晰。</w:t>
                        </w:r>
                      </w:p>
                    </w:tc>
                  </w:tr>
                  <w:tr>
                    <w:trPr>
                      <w:trHeight w:val="317" w:hRule="exact"/>
                    </w:trPr>
                    <w:tc>
                      <w:tcPr>
                        <w:tcW w:w="4784" w:type="dxa"/>
                        <w:tcBorders>
                          <w:top w:val="single" w:sz="4" w:space="0" w:color="000000"/>
                          <w:left w:val="single" w:sz="4" w:space="0" w:color="000000"/>
                          <w:bottom w:val="nil" w:sz="6" w:space="0" w:color="auto"/>
                          <w:right w:val="single" w:sz="4" w:space="0" w:color="000000"/>
                        </w:tcBorders>
                        <w:shd w:val="clear" w:color="auto" w:fill="D3D3D3"/>
                      </w:tcPr>
                      <w:p>
                        <w:pPr/>
                      </w:p>
                    </w:tc>
                    <w:tc>
                      <w:tcPr>
                        <w:tcW w:w="4783"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年度利润分配及资本公积转增方案经由董事会、监 事会审议通过后提交股东大会审议，独立董事发表了独立意 见，相关决策程序和机制完备。</w:t>
                        </w:r>
                      </w:p>
                    </w:tc>
                  </w:tr>
                  <w:tr>
                    <w:trPr>
                      <w:trHeight w:val="39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3" w:type="dxa"/>
                        <w:vMerge/>
                        <w:tcBorders>
                          <w:left w:val="single" w:sz="4" w:space="0" w:color="000000"/>
                          <w:right w:val="single" w:sz="4" w:space="0" w:color="000000"/>
                        </w:tcBorders>
                      </w:tcPr>
                      <w:p>
                        <w:pPr/>
                      </w:p>
                    </w:tc>
                  </w:tr>
                  <w:tr>
                    <w:trPr>
                      <w:trHeight w:val="317" w:hRule="exact"/>
                    </w:trPr>
                    <w:tc>
                      <w:tcPr>
                        <w:tcW w:w="4784" w:type="dxa"/>
                        <w:tcBorders>
                          <w:top w:val="nil" w:sz="6" w:space="0" w:color="auto"/>
                          <w:left w:val="single" w:sz="4" w:space="0" w:color="000000"/>
                          <w:bottom w:val="single" w:sz="4" w:space="0" w:color="000000"/>
                          <w:right w:val="single" w:sz="4" w:space="0" w:color="000000"/>
                        </w:tcBorders>
                        <w:shd w:val="clear" w:color="auto" w:fill="D3D3D3"/>
                      </w:tcPr>
                      <w:p>
                        <w:pPr/>
                      </w:p>
                    </w:tc>
                    <w:tc>
                      <w:tcPr>
                        <w:tcW w:w="4783" w:type="dxa"/>
                        <w:vMerge/>
                        <w:tcBorders>
                          <w:left w:val="single" w:sz="4" w:space="0" w:color="000000"/>
                          <w:bottom w:val="single" w:sz="4" w:space="0" w:color="000000"/>
                          <w:right w:val="single" w:sz="4" w:space="0" w:color="000000"/>
                        </w:tcBorders>
                      </w:tcPr>
                      <w:p>
                        <w:pPr/>
                      </w:p>
                    </w:tc>
                  </w:tr>
                  <w:tr>
                    <w:trPr>
                      <w:trHeight w:val="941" w:hRule="exact"/>
                    </w:trPr>
                    <w:tc>
                      <w:tcPr>
                        <w:tcW w:w="4784" w:type="dxa"/>
                        <w:tcBorders>
                          <w:top w:val="single" w:sz="4" w:space="0" w:color="000000"/>
                          <w:left w:val="single" w:sz="4" w:space="0" w:color="000000"/>
                          <w:bottom w:val="nil" w:sz="6" w:space="0" w:color="auto"/>
                          <w:right w:val="single" w:sz="4" w:space="0" w:color="000000"/>
                        </w:tcBorders>
                        <w:shd w:val="clear" w:color="auto" w:fill="D3D3D3"/>
                      </w:tcPr>
                      <w:p>
                        <w:pPr/>
                      </w:p>
                    </w:tc>
                    <w:tc>
                      <w:tcPr>
                        <w:tcW w:w="4783" w:type="dxa"/>
                        <w:vMerge w:val="restart"/>
                        <w:tcBorders>
                          <w:top w:val="single" w:sz="4" w:space="0" w:color="000000"/>
                          <w:left w:val="single" w:sz="4" w:space="0" w:color="000000"/>
                          <w:right w:val="single" w:sz="4" w:space="0" w:color="000000"/>
                        </w:tcBorders>
                      </w:tcPr>
                      <w:p>
                        <w:pPr>
                          <w:pStyle w:val="TableParagraph"/>
                          <w:spacing w:line="314"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公司独立董事认为公司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年度利润分配及资本公积金转增 股本预案符合公司实际情况，符合公司实际开展业务和未来 发展的需要，没有违反《公司法》和《公司章程》的有关规 定，未损害公司股东尤其是中小股东的利益，有利于公司的 正常经营和健康发展，有利于公司的价值更加公允、客观地 体现，同时能为投资者提供更多的保障，从长远角度回报投 资者，具备合法性、合规性、合理性。</w:t>
                        </w:r>
                      </w:p>
                    </w:tc>
                  </w:tr>
                  <w:tr>
                    <w:trPr>
                      <w:trHeight w:val="39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3" w:type="dxa"/>
                        <w:vMerge/>
                        <w:tcBorders>
                          <w:left w:val="single" w:sz="4" w:space="0" w:color="000000"/>
                          <w:right w:val="single" w:sz="4" w:space="0" w:color="000000"/>
                        </w:tcBorders>
                      </w:tcPr>
                      <w:p>
                        <w:pPr/>
                      </w:p>
                    </w:tc>
                  </w:tr>
                  <w:tr>
                    <w:trPr>
                      <w:trHeight w:val="941" w:hRule="exact"/>
                    </w:trPr>
                    <w:tc>
                      <w:tcPr>
                        <w:tcW w:w="4784" w:type="dxa"/>
                        <w:tcBorders>
                          <w:top w:val="nil" w:sz="6" w:space="0" w:color="auto"/>
                          <w:left w:val="single" w:sz="4" w:space="0" w:color="000000"/>
                          <w:bottom w:val="single" w:sz="4" w:space="0" w:color="000000"/>
                          <w:right w:val="single" w:sz="4" w:space="0" w:color="000000"/>
                        </w:tcBorders>
                        <w:shd w:val="clear" w:color="auto" w:fill="D3D3D3"/>
                      </w:tcPr>
                      <w:p>
                        <w:pPr/>
                      </w:p>
                    </w:tc>
                    <w:tc>
                      <w:tcPr>
                        <w:tcW w:w="4783" w:type="dxa"/>
                        <w:vMerge/>
                        <w:tcBorders>
                          <w:left w:val="single" w:sz="4" w:space="0" w:color="000000"/>
                          <w:bottom w:val="single" w:sz="4" w:space="0" w:color="000000"/>
                          <w:right w:val="single" w:sz="4" w:space="0" w:color="000000"/>
                        </w:tcBorders>
                      </w:tcPr>
                      <w:p>
                        <w:pPr/>
                      </w:p>
                    </w:tc>
                  </w:tr>
                  <w:tr>
                    <w:trPr>
                      <w:trHeight w:val="473" w:hRule="exact"/>
                    </w:trPr>
                    <w:tc>
                      <w:tcPr>
                        <w:tcW w:w="4784" w:type="dxa"/>
                        <w:tcBorders>
                          <w:top w:val="single" w:sz="4" w:space="0" w:color="000000"/>
                          <w:left w:val="single" w:sz="4" w:space="0" w:color="000000"/>
                          <w:bottom w:val="nil" w:sz="6" w:space="0" w:color="auto"/>
                          <w:right w:val="single" w:sz="4" w:space="0" w:color="000000"/>
                        </w:tcBorders>
                        <w:shd w:val="clear" w:color="auto" w:fill="D3D3D3"/>
                      </w:tcPr>
                      <w:p>
                        <w:pPr/>
                      </w:p>
                    </w:tc>
                    <w:tc>
                      <w:tcPr>
                        <w:tcW w:w="4783" w:type="dxa"/>
                        <w:vMerge w:val="restart"/>
                        <w:tcBorders>
                          <w:top w:val="single" w:sz="4" w:space="0" w:color="000000"/>
                          <w:left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公司在召开修订利润分配政策及审议</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年度利润分配方案 的股东大会时，采取现场投票与网络投票相结合的表决方式 为中小投资者参与本次决策提供了充分的便利。公司利润分 配决策程序和机制完备，充分考虑了广大投资者的合理诉求 其合法权益得到了充分保护。</w:t>
                        </w:r>
                      </w:p>
                    </w:tc>
                  </w:tr>
                  <w:tr>
                    <w:trPr>
                      <w:trHeight w:val="704"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3" w:type="dxa"/>
                        <w:vMerge/>
                        <w:tcBorders>
                          <w:left w:val="single" w:sz="4" w:space="0" w:color="000000"/>
                          <w:right w:val="single" w:sz="4" w:space="0" w:color="000000"/>
                        </w:tcBorders>
                      </w:tcPr>
                      <w:p>
                        <w:pPr/>
                      </w:p>
                    </w:tc>
                  </w:tr>
                  <w:tr>
                    <w:trPr>
                      <w:trHeight w:val="473" w:hRule="exact"/>
                    </w:trPr>
                    <w:tc>
                      <w:tcPr>
                        <w:tcW w:w="4784" w:type="dxa"/>
                        <w:tcBorders>
                          <w:top w:val="nil" w:sz="6" w:space="0" w:color="auto"/>
                          <w:left w:val="single" w:sz="4" w:space="0" w:color="000000"/>
                          <w:bottom w:val="single" w:sz="4" w:space="0" w:color="000000"/>
                          <w:right w:val="single" w:sz="4" w:space="0" w:color="000000"/>
                        </w:tcBorders>
                        <w:shd w:val="clear" w:color="auto" w:fill="D3D3D3"/>
                      </w:tcPr>
                      <w:p>
                        <w:pPr/>
                      </w:p>
                    </w:tc>
                    <w:tc>
                      <w:tcPr>
                        <w:tcW w:w="4783" w:type="dxa"/>
                        <w:vMerge/>
                        <w:tcBorders>
                          <w:left w:val="single" w:sz="4" w:space="0" w:color="000000"/>
                          <w:bottom w:val="single" w:sz="4" w:space="0" w:color="000000"/>
                          <w:right w:val="single" w:sz="4" w:space="0" w:color="000000"/>
                        </w:tcBorders>
                      </w:tcPr>
                      <w:p>
                        <w:pP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48" w:lineRule="auto" w:before="117"/>
        <w:ind w:left="154" w:right="32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本年度利润分配及资本公积金转增股本预案</w:t>
      </w:r>
    </w:p>
    <w:tbl>
      <w:tblPr>
        <w:tblW w:w="0" w:type="auto"/>
        <w:jc w:val="left"/>
        <w:tblInd w:w="149" w:type="dxa"/>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302,094,901</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15,104,745.05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spacing w:before="44"/>
        <w:ind w:left="0" w:right="159" w:firstLine="0"/>
        <w:jc w:val="right"/>
        <w:rPr>
          <w:rFonts w:ascii="宋体" w:hAnsi="宋体" w:cs="宋体" w:eastAsia="宋体" w:hint="default"/>
          <w:sz w:val="18"/>
          <w:szCs w:val="18"/>
        </w:rPr>
      </w:pPr>
      <w:r>
        <w:rPr/>
        <w:pict>
          <v:shape style="position:absolute;margin-left:56.459999pt;margin-top:-179.348007pt;width:479.1pt;height:214.7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18"/>
                    <w:gridCol w:w="5850"/>
                  </w:tblGrid>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183,366,723.30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27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经立信会计师事务所（特殊普通合伙）审计：公司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年度实现归属于上市公司股东的净利润为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60,401,993.08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元，母公</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司实现的净利润为</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34,835,352.79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元。根据《公司章程》的有关规定，母公司应当提取利润的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，即</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3,483,535.28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元作为</w:t>
                        </w:r>
                      </w:p>
                      <w:p>
                        <w:pPr>
                          <w:pStyle w:val="TableParagraph"/>
                          <w:spacing w:line="312" w:lineRule="auto" w:before="63"/>
                          <w:ind w:left="22" w:right="-5"/>
                          <w:jc w:val="both"/>
                          <w:rPr>
                            <w:rFonts w:ascii="宋体" w:hAnsi="宋体" w:cs="宋体" w:eastAsia="宋体" w:hint="default"/>
                            <w:sz w:val="18"/>
                            <w:szCs w:val="18"/>
                          </w:rPr>
                        </w:pPr>
                        <w:r>
                          <w:rPr>
                            <w:rFonts w:ascii="宋体" w:hAnsi="宋体" w:cs="宋体" w:eastAsia="宋体" w:hint="default"/>
                            <w:sz w:val="18"/>
                            <w:szCs w:val="18"/>
                          </w:rPr>
                          <w:t>法定公积金。截至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日，母公司可供分配的利润为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183,366,723.30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元，资本公积余额为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274,048,192.18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1"/>
                            <w:sz w:val="18"/>
                            <w:szCs w:val="18"/>
                          </w:rPr>
                          <w:t> </w:t>
                        </w:r>
                        <w:r>
                          <w:rPr>
                            <w:rFonts w:ascii="宋体" w:hAnsi="宋体" w:cs="宋体" w:eastAsia="宋体" w:hint="default"/>
                            <w:spacing w:val="-1"/>
                            <w:sz w:val="18"/>
                            <w:szCs w:val="18"/>
                          </w:rPr>
                          <w:t>考虑到公司业务持续发展，且经营现金流同步增长，在符合利润分配原则、保证公司正常经营和长远发展的前提下，为了</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
                            <w:sz w:val="18"/>
                            <w:szCs w:val="18"/>
                          </w:rPr>
                          <w:t>更好的兼顾股东的即期利益和长远利益，使公司的价值能够更加公允、客观的体现，从长远角度回报投资者，使全体股东</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6"/>
                            <w:sz w:val="18"/>
                            <w:szCs w:val="18"/>
                          </w:rPr>
                          <w:t>分享公司成长的经营成果，</w:t>
                        </w:r>
                        <w:r>
                          <w:rPr>
                            <w:rFonts w:ascii="Times New Roman" w:hAnsi="Times New Roman" w:cs="Times New Roman" w:eastAsia="Times New Roman" w:hint="default"/>
                            <w:spacing w:val="-6"/>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年度公司利润分配预案如下：以截止</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日公司总股本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302,094,901</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股为基数</w:t>
                        </w:r>
                      </w:p>
                      <w:p>
                        <w:pPr>
                          <w:pStyle w:val="TableParagraph"/>
                          <w:spacing w:line="240" w:lineRule="auto" w:before="4"/>
                          <w:ind w:left="22" w:right="0"/>
                          <w:jc w:val="both"/>
                          <w:rPr>
                            <w:rFonts w:ascii="宋体" w:hAnsi="宋体" w:cs="宋体" w:eastAsia="宋体" w:hint="default"/>
                            <w:sz w:val="18"/>
                            <w:szCs w:val="18"/>
                          </w:rPr>
                        </w:pPr>
                        <w:r>
                          <w:rPr>
                            <w:rFonts w:ascii="宋体" w:hAnsi="宋体" w:cs="宋体" w:eastAsia="宋体" w:hint="default"/>
                            <w:sz w:val="18"/>
                            <w:szCs w:val="18"/>
                          </w:rPr>
                          <w:t>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元人民币（含税</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line="388" w:lineRule="auto" w:before="0"/>
        <w:ind w:left="574" w:right="530" w:hanging="420"/>
        <w:jc w:val="left"/>
        <w:rPr>
          <w:rFonts w:ascii="宋体" w:hAnsi="宋体" w:cs="宋体" w:eastAsia="宋体" w:hint="default"/>
          <w:sz w:val="21"/>
          <w:szCs w:val="21"/>
        </w:rPr>
      </w:pPr>
      <w:r>
        <w:rPr>
          <w:rFonts w:ascii="宋体" w:hAnsi="宋体" w:cs="宋体" w:eastAsia="宋体" w:hint="default"/>
          <w:sz w:val="18"/>
          <w:szCs w:val="18"/>
        </w:rPr>
        <w:t>公司近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pacing w:val="-3"/>
          <w:sz w:val="18"/>
          <w:szCs w:val="18"/>
        </w:rPr>
        <w:t>年（包括本报告期）的普通股股利分配方案（预案）、资本公积金转增股本方案（预案）情况</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2013</w:t>
      </w:r>
      <w:r>
        <w:rPr>
          <w:rFonts w:ascii="宋体" w:hAnsi="宋体" w:cs="宋体" w:eastAsia="宋体" w:hint="default"/>
          <w:sz w:val="21"/>
          <w:szCs w:val="21"/>
        </w:rPr>
        <w:t>年度利润分配方案 经立信会计师事务所（特殊普通合伙）审计：公司</w:t>
      </w:r>
      <w:r>
        <w:rPr>
          <w:rFonts w:ascii="Times New Roman" w:hAnsi="Times New Roman" w:cs="Times New Roman" w:eastAsia="Times New Roman" w:hint="default"/>
          <w:sz w:val="21"/>
          <w:szCs w:val="21"/>
        </w:rPr>
        <w:t>2013</w:t>
      </w:r>
      <w:r>
        <w:rPr>
          <w:rFonts w:ascii="宋体" w:hAnsi="宋体" w:cs="宋体" w:eastAsia="宋体" w:hint="default"/>
          <w:sz w:val="21"/>
          <w:szCs w:val="21"/>
        </w:rPr>
        <w:t>年度实现归属于上市公司股东的净利润为</w:t>
      </w:r>
    </w:p>
    <w:p>
      <w:pPr>
        <w:pStyle w:val="BodyText"/>
        <w:spacing w:line="386" w:lineRule="auto" w:before="33"/>
        <w:ind w:left="574" w:right="144" w:hanging="421"/>
        <w:jc w:val="left"/>
      </w:pPr>
      <w:r>
        <w:rPr>
          <w:rFonts w:ascii="Times New Roman" w:hAnsi="Times New Roman" w:cs="Times New Roman" w:eastAsia="Times New Roman" w:hint="default"/>
        </w:rPr>
        <w:t>24,696,036.39</w:t>
      </w:r>
      <w:r>
        <w:rPr/>
        <w:t>元，母公司实现的净利润为</w:t>
      </w:r>
      <w:r>
        <w:rPr>
          <w:rFonts w:ascii="Times New Roman" w:hAnsi="Times New Roman" w:cs="Times New Roman" w:eastAsia="Times New Roman" w:hint="default"/>
        </w:rPr>
        <w:t>26,895,407.84</w:t>
      </w:r>
      <w:r>
        <w:rPr/>
        <w:t>元。 </w:t>
      </w:r>
      <w:r>
        <w:rPr>
          <w:spacing w:val="-1"/>
        </w:rPr>
        <w:t>根据《公司章程》的有关规定，母公司应当提取利润的</w:t>
      </w:r>
      <w:r>
        <w:rPr>
          <w:rFonts w:ascii="Times New Roman" w:hAnsi="Times New Roman" w:cs="Times New Roman" w:eastAsia="Times New Roman" w:hint="default"/>
          <w:spacing w:val="-1"/>
        </w:rPr>
        <w:t>10%</w:t>
      </w:r>
      <w:r>
        <w:rPr>
          <w:spacing w:val="-1"/>
        </w:rPr>
        <w:t>，即</w:t>
      </w:r>
      <w:r>
        <w:rPr>
          <w:rFonts w:ascii="Times New Roman" w:hAnsi="Times New Roman" w:cs="Times New Roman" w:eastAsia="Times New Roman" w:hint="default"/>
          <w:spacing w:val="-1"/>
        </w:rPr>
        <w:t>2,689,540.78</w:t>
      </w:r>
      <w:r>
        <w:rPr>
          <w:spacing w:val="-1"/>
        </w:rPr>
        <w:t>元作为法定公积金。截至</w:t>
      </w:r>
    </w:p>
    <w:p>
      <w:pPr>
        <w:pStyle w:val="BodyText"/>
        <w:spacing w:line="386" w:lineRule="auto" w:before="35"/>
        <w:ind w:left="574" w:right="110" w:hanging="42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日，母公司可供分配的利润为</w:t>
      </w:r>
      <w:r>
        <w:rPr>
          <w:rFonts w:ascii="Times New Roman" w:hAnsi="Times New Roman" w:cs="Times New Roman" w:eastAsia="Times New Roman" w:hint="default"/>
        </w:rPr>
        <w:t>137,036,659.86</w:t>
      </w:r>
      <w:r>
        <w:rPr/>
        <w:t>元，资本公积余额为</w:t>
      </w:r>
      <w:r>
        <w:rPr>
          <w:rFonts w:ascii="Times New Roman" w:hAnsi="Times New Roman" w:cs="Times New Roman" w:eastAsia="Times New Roman" w:hint="default"/>
        </w:rPr>
        <w:t>259,989,044.44</w:t>
      </w:r>
      <w:r>
        <w:rPr/>
        <w:t>元。 考虑到公司未来业务发展需要，为使公司股本规模和经营规模相匹配，使公司的价值能够更加公允、</w:t>
      </w:r>
    </w:p>
    <w:p>
      <w:pPr>
        <w:pStyle w:val="BodyText"/>
        <w:spacing w:line="391" w:lineRule="auto" w:before="65"/>
        <w:ind w:right="0"/>
        <w:jc w:val="left"/>
      </w:pPr>
      <w:r>
        <w:rPr>
          <w:spacing w:val="-1"/>
        </w:rPr>
        <w:t>客观的体现，同时能为投资者提供更多的保障，从长远角度回报投资者，保护中小投资者的利益，使全体</w:t>
      </w:r>
      <w:r>
        <w:rPr>
          <w:spacing w:val="-82"/>
        </w:rPr>
        <w:t> </w:t>
      </w:r>
      <w:r>
        <w:rPr>
          <w:spacing w:val="-82"/>
        </w:rPr>
      </w:r>
      <w:r>
        <w:rPr/>
        <w:t>股东分享公司成长的经营成果，公司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日召开的第三届董事会第二次会议及第三届监事会第二 </w:t>
      </w:r>
      <w:r>
        <w:rPr>
          <w:spacing w:val="-1"/>
        </w:rPr>
        <w:t>次会议分别审议通过了《关于审议郑州新开普电子股份有限公司</w:t>
      </w:r>
      <w:r>
        <w:rPr>
          <w:rFonts w:ascii="Times New Roman" w:hAnsi="Times New Roman" w:cs="Times New Roman" w:eastAsia="Times New Roman" w:hint="default"/>
          <w:spacing w:val="-1"/>
        </w:rPr>
        <w:t>2013</w:t>
      </w:r>
      <w:r>
        <w:rPr>
          <w:spacing w:val="-1"/>
        </w:rPr>
        <w:t>年度利润分配及资本公积金转增股本</w:t>
      </w:r>
      <w:r>
        <w:rPr>
          <w:spacing w:val="-81"/>
        </w:rPr>
        <w:t> </w:t>
      </w:r>
      <w:r>
        <w:rPr>
          <w:spacing w:val="-1"/>
        </w:rPr>
        <w:t>预案的议案》，拟定以截止</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日公司总股本</w:t>
      </w:r>
      <w:r>
        <w:rPr>
          <w:rFonts w:ascii="Times New Roman" w:hAnsi="Times New Roman" w:cs="Times New Roman" w:eastAsia="Times New Roman" w:hint="default"/>
          <w:spacing w:val="-1"/>
        </w:rPr>
        <w:t>89,200,000</w:t>
      </w:r>
      <w:r>
        <w:rPr>
          <w:spacing w:val="-1"/>
        </w:rPr>
        <w:t>股为基数，向全体股东每</w:t>
      </w:r>
      <w:r>
        <w:rPr>
          <w:rFonts w:ascii="Times New Roman" w:hAnsi="Times New Roman" w:cs="Times New Roman" w:eastAsia="Times New Roman" w:hint="default"/>
          <w:spacing w:val="-1"/>
        </w:rPr>
        <w:t>10</w:t>
      </w:r>
      <w:r>
        <w:rPr>
          <w:spacing w:val="-1"/>
        </w:rPr>
        <w:t>股派发现金</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34"/>
        </w:rPr>
        <w:t> </w:t>
      </w:r>
      <w:r>
        <w:rPr/>
        <w:t>元人民币（含税）；同时进行资本公积金转增股本，以公司总股本</w:t>
      </w:r>
      <w:r>
        <w:rPr>
          <w:rFonts w:ascii="Times New Roman" w:hAnsi="Times New Roman" w:cs="Times New Roman" w:eastAsia="Times New Roman" w:hint="default"/>
        </w:rPr>
        <w:t>89,200,000</w:t>
      </w:r>
      <w:r>
        <w:rPr/>
        <w:t>股为基数，向全体股东每</w:t>
      </w:r>
      <w:r>
        <w:rPr>
          <w:rFonts w:ascii="Times New Roman" w:hAnsi="Times New Roman" w:cs="Times New Roman" w:eastAsia="Times New Roman" w:hint="default"/>
        </w:rPr>
        <w:t>10 </w:t>
      </w:r>
      <w:r>
        <w:rPr/>
        <w:t>股转增</w:t>
      </w:r>
      <w:r>
        <w:rPr>
          <w:rFonts w:ascii="Times New Roman" w:hAnsi="Times New Roman" w:cs="Times New Roman" w:eastAsia="Times New Roman" w:hint="default"/>
        </w:rPr>
        <w:t>6</w:t>
      </w:r>
      <w:r>
        <w:rPr/>
        <w:t>股，转增后公司总股本将增加至</w:t>
      </w:r>
      <w:r>
        <w:rPr>
          <w:rFonts w:ascii="Times New Roman" w:hAnsi="Times New Roman" w:cs="Times New Roman" w:eastAsia="Times New Roman" w:hint="default"/>
        </w:rPr>
        <w:t>142,720,000</w:t>
      </w:r>
      <w:r>
        <w:rPr/>
        <w:t>股。</w:t>
      </w:r>
    </w:p>
    <w:p>
      <w:pPr>
        <w:pStyle w:val="BodyText"/>
        <w:spacing w:line="400" w:lineRule="auto" w:before="30"/>
        <w:ind w:right="149" w:firstLine="420"/>
        <w:jc w:val="both"/>
      </w:pPr>
      <w:r>
        <w:rPr>
          <w:spacing w:val="-1"/>
        </w:rPr>
        <w:t>公司独立董事认为公司</w:t>
      </w:r>
      <w:r>
        <w:rPr>
          <w:rFonts w:ascii="Times New Roman" w:hAnsi="Times New Roman" w:cs="Times New Roman" w:eastAsia="Times New Roman" w:hint="default"/>
          <w:spacing w:val="-1"/>
        </w:rPr>
        <w:t>2013</w:t>
      </w:r>
      <w:r>
        <w:rPr>
          <w:spacing w:val="-1"/>
        </w:rPr>
        <w:t>年度利润分配及资本公积金转增股本预案符合公司实际情况，符合公司实</w:t>
      </w:r>
      <w:r>
        <w:rPr/>
        <w:t> </w:t>
      </w:r>
      <w:r>
        <w:rPr>
          <w:spacing w:val="-1"/>
        </w:rPr>
        <w:t>际开展业务和未来发展的需要，没有违反《公司法》和《公司章程》的有关规定，未损害公司股东尤其是</w:t>
      </w:r>
      <w:r>
        <w:rPr>
          <w:spacing w:val="-83"/>
        </w:rPr>
        <w:t> </w:t>
      </w:r>
      <w:r>
        <w:rPr>
          <w:spacing w:val="-83"/>
        </w:rPr>
      </w:r>
      <w:r>
        <w:rPr>
          <w:spacing w:val="-1"/>
        </w:rPr>
        <w:t>中小股东的利益，有利于公司的正常经营和健康发展，有利于公司的价值更加公允、客观地体现，同时能</w:t>
      </w:r>
      <w:r>
        <w:rPr>
          <w:spacing w:val="-82"/>
        </w:rPr>
        <w:t> </w:t>
      </w:r>
      <w:r>
        <w:rPr>
          <w:spacing w:val="-82"/>
        </w:rPr>
      </w:r>
      <w:r>
        <w:rPr/>
        <w:t>为投资者提供更多的保障，从长远角度回报投资者，具备合法性、合规性、合理性。</w:t>
      </w:r>
    </w:p>
    <w:p>
      <w:pPr>
        <w:pStyle w:val="BodyText"/>
        <w:spacing w:line="393" w:lineRule="auto" w:before="52"/>
        <w:ind w:right="0" w:firstLine="42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日召开的公司</w:t>
      </w:r>
      <w:r>
        <w:rPr>
          <w:rFonts w:ascii="Times New Roman" w:hAnsi="Times New Roman" w:cs="Times New Roman" w:eastAsia="Times New Roman" w:hint="default"/>
        </w:rPr>
        <w:t>2013</w:t>
      </w:r>
      <w:r>
        <w:rPr/>
        <w:t>年年度股东大会审议通过了上述</w:t>
      </w:r>
      <w:r>
        <w:rPr>
          <w:rFonts w:ascii="Times New Roman" w:hAnsi="Times New Roman" w:cs="Times New Roman" w:eastAsia="Times New Roman" w:hint="default"/>
        </w:rPr>
        <w:t>2013</w:t>
      </w:r>
      <w:r>
        <w:rPr/>
        <w:t>年度利润分配及资本公积转增方 </w:t>
      </w:r>
      <w:r>
        <w:rPr>
          <w:spacing w:val="-1"/>
        </w:rPr>
        <w:t>案。本次股东大会公司采取现场投票与网络投票相结合的表决方式，为中小投资者参与本次决策提供了充</w:t>
      </w:r>
      <w:r>
        <w:rPr>
          <w:spacing w:val="-81"/>
        </w:rPr>
        <w:t> </w:t>
      </w:r>
      <w:r>
        <w:rPr>
          <w:spacing w:val="-81"/>
        </w:rPr>
      </w:r>
      <w:r>
        <w:rPr>
          <w:spacing w:val="-3"/>
        </w:rPr>
        <w:t>分的便利。</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12</w:t>
      </w:r>
      <w:r>
        <w:rPr>
          <w:spacing w:val="-3"/>
        </w:rPr>
        <w:t>日，公司在《巨潮资讯网》上刊登了《</w:t>
      </w:r>
      <w:r>
        <w:rPr>
          <w:rFonts w:ascii="Times New Roman" w:hAnsi="Times New Roman" w:cs="Times New Roman" w:eastAsia="Times New Roman" w:hint="default"/>
          <w:spacing w:val="-3"/>
        </w:rPr>
        <w:t>2013</w:t>
      </w:r>
      <w:r>
        <w:rPr>
          <w:spacing w:val="-3"/>
        </w:rPr>
        <w:t>年年度权益分派实施公告》，截至</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日，公司</w:t>
      </w:r>
      <w:r>
        <w:rPr>
          <w:rFonts w:ascii="Times New Roman" w:hAnsi="Times New Roman" w:cs="Times New Roman" w:eastAsia="Times New Roman" w:hint="default"/>
        </w:rPr>
        <w:t>2013</w:t>
      </w:r>
      <w:r>
        <w:rPr/>
        <w:t>年年度权益分派已实施完毕。</w:t>
      </w:r>
    </w:p>
    <w:p>
      <w:pPr>
        <w:spacing w:after="0" w:line="393"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386" w:lineRule="auto" w:before="35"/>
        <w:ind w:left="574" w:right="530" w:hanging="1"/>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年度利润分配方案 经立信会计师事务所（特殊普通合伙）审计：公司</w:t>
      </w:r>
      <w:r>
        <w:rPr>
          <w:rFonts w:ascii="Times New Roman" w:hAnsi="Times New Roman" w:cs="Times New Roman" w:eastAsia="Times New Roman" w:hint="default"/>
        </w:rPr>
        <w:t>2014</w:t>
      </w:r>
      <w:r>
        <w:rPr/>
        <w:t>年度实现归属于上市公司股东的净利润为</w:t>
      </w:r>
    </w:p>
    <w:p>
      <w:pPr>
        <w:pStyle w:val="BodyText"/>
        <w:spacing w:line="386" w:lineRule="auto" w:before="35"/>
        <w:ind w:left="574" w:right="144" w:hanging="421"/>
        <w:jc w:val="left"/>
      </w:pPr>
      <w:r>
        <w:rPr>
          <w:rFonts w:ascii="Times New Roman" w:hAnsi="Times New Roman" w:cs="Times New Roman" w:eastAsia="Times New Roman" w:hint="default"/>
        </w:rPr>
        <w:t>37,756,702.33</w:t>
      </w:r>
      <w:r>
        <w:rPr/>
        <w:t>元，母公司实现的净利润为</w:t>
      </w:r>
      <w:r>
        <w:rPr>
          <w:rFonts w:ascii="Times New Roman" w:hAnsi="Times New Roman" w:cs="Times New Roman" w:eastAsia="Times New Roman" w:hint="default"/>
        </w:rPr>
        <w:t>42,411,384.37</w:t>
      </w:r>
      <w:r>
        <w:rPr/>
        <w:t>元。 </w:t>
      </w:r>
      <w:r>
        <w:rPr>
          <w:spacing w:val="-1"/>
        </w:rPr>
        <w:t>根据《公司章程》的有关规定，母公司应当提取利润的</w:t>
      </w:r>
      <w:r>
        <w:rPr>
          <w:rFonts w:ascii="Times New Roman" w:hAnsi="Times New Roman" w:cs="Times New Roman" w:eastAsia="Times New Roman" w:hint="default"/>
          <w:spacing w:val="-1"/>
        </w:rPr>
        <w:t>10%</w:t>
      </w:r>
      <w:r>
        <w:rPr>
          <w:spacing w:val="-1"/>
        </w:rPr>
        <w:t>，即</w:t>
      </w:r>
      <w:r>
        <w:rPr>
          <w:rFonts w:ascii="Times New Roman" w:hAnsi="Times New Roman" w:cs="Times New Roman" w:eastAsia="Times New Roman" w:hint="default"/>
          <w:spacing w:val="-1"/>
        </w:rPr>
        <w:t>4,241,138.44</w:t>
      </w:r>
      <w:r>
        <w:rPr>
          <w:spacing w:val="-1"/>
        </w:rPr>
        <w:t>元作为法定公积金。截至</w:t>
      </w:r>
    </w:p>
    <w:p>
      <w:pPr>
        <w:pStyle w:val="BodyText"/>
        <w:spacing w:line="386" w:lineRule="auto" w:before="35"/>
        <w:ind w:left="574" w:right="110" w:hanging="42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日，母公司可供分配的利润为</w:t>
      </w:r>
      <w:r>
        <w:rPr>
          <w:rFonts w:ascii="Times New Roman" w:hAnsi="Times New Roman" w:cs="Times New Roman" w:eastAsia="Times New Roman" w:hint="default"/>
        </w:rPr>
        <w:t>166,286,905.79</w:t>
      </w:r>
      <w:r>
        <w:rPr/>
        <w:t>元，资本公积余额为</w:t>
      </w:r>
      <w:r>
        <w:rPr>
          <w:rFonts w:ascii="Times New Roman" w:hAnsi="Times New Roman" w:cs="Times New Roman" w:eastAsia="Times New Roman" w:hint="default"/>
        </w:rPr>
        <w:t>206,469,044.44</w:t>
      </w:r>
      <w:r>
        <w:rPr/>
        <w:t>元。 考虑到公司未来业务发展需要，为使公司股本规模和经营规模相匹配，使公司的价值能够更加公允、</w:t>
      </w:r>
    </w:p>
    <w:p>
      <w:pPr>
        <w:pStyle w:val="BodyText"/>
        <w:spacing w:line="391" w:lineRule="auto" w:before="65"/>
        <w:ind w:right="0"/>
        <w:jc w:val="left"/>
      </w:pPr>
      <w:r>
        <w:rPr>
          <w:spacing w:val="-1"/>
        </w:rPr>
        <w:t>客观的体现，同时能为投资者提供更多的保障，从长远角度回报投资者，保护中小投资者的利益，使全体</w:t>
      </w:r>
      <w:r>
        <w:rPr>
          <w:spacing w:val="-82"/>
        </w:rPr>
        <w:t> </w:t>
      </w:r>
      <w:r>
        <w:rPr>
          <w:spacing w:val="-82"/>
        </w:rPr>
      </w:r>
      <w:r>
        <w:rPr/>
        <w:t>股东分享公司成长的经营成果，</w:t>
      </w:r>
      <w:r>
        <w:rPr>
          <w:rFonts w:ascii="Times New Roman" w:hAnsi="Times New Roman" w:cs="Times New Roman" w:eastAsia="Times New Roman" w:hint="default"/>
        </w:rPr>
        <w:t>2014</w:t>
      </w:r>
      <w:r>
        <w:rPr/>
        <w:t>年度公司利润分配预案如下：以截止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 </w:t>
      </w:r>
      <w:r>
        <w:rPr>
          <w:rFonts w:ascii="Times New Roman" w:hAnsi="Times New Roman" w:cs="Times New Roman" w:eastAsia="Times New Roman" w:hint="default"/>
        </w:rPr>
        <w:t>142,720,000</w:t>
      </w:r>
      <w:r>
        <w:rPr/>
        <w:t>股为基数，向全体股东每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1</w:t>
      </w:r>
      <w:r>
        <w:rPr/>
        <w:t>元人民币（含税）；同时进行资本公积金转增股本， </w:t>
      </w:r>
      <w:r>
        <w:rPr>
          <w:spacing w:val="-1"/>
        </w:rPr>
        <w:t>以公司总股本</w:t>
      </w:r>
      <w:r>
        <w:rPr>
          <w:rFonts w:ascii="Times New Roman" w:hAnsi="Times New Roman" w:cs="Times New Roman" w:eastAsia="Times New Roman" w:hint="default"/>
          <w:spacing w:val="-1"/>
        </w:rPr>
        <w:t>142,720,000</w:t>
      </w:r>
      <w:r>
        <w:rPr>
          <w:spacing w:val="-1"/>
        </w:rPr>
        <w:t>股为基数，向全体股东每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10</w:t>
      </w:r>
      <w:r>
        <w:rPr>
          <w:spacing w:val="-1"/>
        </w:rPr>
        <w:t>股，转增后公司总股本将增加至</w:t>
      </w:r>
      <w:r>
        <w:rPr>
          <w:rFonts w:ascii="Times New Roman" w:hAnsi="Times New Roman" w:cs="Times New Roman" w:eastAsia="Times New Roman" w:hint="default"/>
          <w:spacing w:val="-1"/>
        </w:rPr>
        <w:t>285,440,000</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t>股。</w:t>
      </w:r>
    </w:p>
    <w:p>
      <w:pPr>
        <w:pStyle w:val="BodyText"/>
        <w:spacing w:line="400" w:lineRule="auto" w:before="61"/>
        <w:ind w:right="0" w:firstLine="420"/>
        <w:jc w:val="left"/>
      </w:pPr>
      <w:r>
        <w:rPr>
          <w:spacing w:val="-1"/>
        </w:rPr>
        <w:t>公司第三届董事会第八次会议及第三届监事会第七次会议审议通过上述预案，独立董事均发表了明确</w:t>
      </w:r>
      <w:r>
        <w:rPr/>
        <w:t> 的同意意见。公司</w:t>
      </w:r>
      <w:r>
        <w:rPr>
          <w:rFonts w:ascii="Times New Roman" w:hAnsi="Times New Roman" w:cs="Times New Roman" w:eastAsia="Times New Roman" w:hint="default"/>
        </w:rPr>
        <w:t>2014</w:t>
      </w:r>
      <w:r>
        <w:rPr/>
        <w:t>年度利润分配及资本公积金转增股本预案已经由</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日召开的公司</w:t>
      </w:r>
      <w:r>
        <w:rPr>
          <w:rFonts w:ascii="Times New Roman" w:hAnsi="Times New Roman" w:cs="Times New Roman" w:eastAsia="Times New Roman" w:hint="default"/>
        </w:rPr>
        <w:t>2014</w:t>
      </w:r>
      <w:r>
        <w:rPr/>
        <w:t>年 </w:t>
      </w:r>
      <w:r>
        <w:rPr>
          <w:spacing w:val="-1"/>
        </w:rPr>
        <w:t>年度股东大会审议通过。本次股东大会公司采用了现场投票与网络投票相结合的方式，为中小股东提供了</w:t>
      </w:r>
      <w:r>
        <w:rPr>
          <w:spacing w:val="-81"/>
        </w:rPr>
        <w:t> </w:t>
      </w:r>
      <w:r>
        <w:rPr>
          <w:spacing w:val="-81"/>
        </w:rPr>
      </w:r>
      <w:r>
        <w:rPr/>
        <w:t>充分表达意见和诉求的便利机会，维护了中小股东的合法权益。</w:t>
      </w:r>
    </w:p>
    <w:p>
      <w:pPr>
        <w:pStyle w:val="BodyText"/>
        <w:spacing w:line="240" w:lineRule="auto" w:before="52"/>
        <w:ind w:left="574"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日，公司在《巨潮资讯网》上刊登了《</w:t>
      </w:r>
      <w:r>
        <w:rPr>
          <w:rFonts w:ascii="Times New Roman" w:hAnsi="Times New Roman" w:cs="Times New Roman" w:eastAsia="Times New Roman" w:hint="default"/>
        </w:rPr>
        <w:t>2014</w:t>
      </w:r>
      <w:r>
        <w:rPr/>
        <w:t>年年度权益分派实施公告》，截至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p>
    <w:p>
      <w:pPr>
        <w:pStyle w:val="BodyText"/>
        <w:spacing w:line="240" w:lineRule="auto" w:before="177"/>
        <w:ind w:right="0"/>
        <w:jc w:val="left"/>
      </w:pPr>
      <w:r>
        <w:rPr>
          <w:rFonts w:ascii="Times New Roman" w:hAnsi="Times New Roman" w:cs="Times New Roman" w:eastAsia="Times New Roman" w:hint="default"/>
        </w:rPr>
        <w:t>25</w:t>
      </w:r>
      <w:r>
        <w:rPr/>
        <w:t>日，公司</w:t>
      </w:r>
      <w:r>
        <w:rPr>
          <w:rFonts w:ascii="Times New Roman" w:hAnsi="Times New Roman" w:cs="Times New Roman" w:eastAsia="Times New Roman" w:hint="default"/>
        </w:rPr>
        <w:t>2014</w:t>
      </w:r>
      <w:r>
        <w:rPr/>
        <w:t>年年度权益分派已实施完毕。</w:t>
      </w:r>
    </w:p>
    <w:p>
      <w:pPr>
        <w:pStyle w:val="BodyText"/>
        <w:spacing w:line="386" w:lineRule="auto" w:before="177"/>
        <w:ind w:left="574" w:right="530" w:hanging="1"/>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年度利润分配预案 经立信会计师事务所（特殊普通合伙）审计：公司</w:t>
      </w:r>
      <w:r>
        <w:rPr>
          <w:rFonts w:ascii="Times New Roman" w:hAnsi="Times New Roman" w:cs="Times New Roman" w:eastAsia="Times New Roman" w:hint="default"/>
        </w:rPr>
        <w:t>2015</w:t>
      </w:r>
      <w:r>
        <w:rPr/>
        <w:t>年度实现归属于上市公司股东的净利润为</w:t>
      </w:r>
    </w:p>
    <w:p>
      <w:pPr>
        <w:pStyle w:val="BodyText"/>
        <w:spacing w:line="386" w:lineRule="auto" w:before="35"/>
        <w:ind w:left="574" w:right="144" w:hanging="421"/>
        <w:jc w:val="left"/>
      </w:pPr>
      <w:r>
        <w:rPr>
          <w:rFonts w:ascii="Times New Roman" w:hAnsi="Times New Roman" w:cs="Times New Roman" w:eastAsia="Times New Roman" w:hint="default"/>
        </w:rPr>
        <w:t>60,401,993.08</w:t>
      </w:r>
      <w:r>
        <w:rPr/>
        <w:t>元，母公司实现的净利润为</w:t>
      </w:r>
      <w:r>
        <w:rPr>
          <w:rFonts w:ascii="Times New Roman" w:hAnsi="Times New Roman" w:cs="Times New Roman" w:eastAsia="Times New Roman" w:hint="default"/>
        </w:rPr>
        <w:t>34,835,352.79</w:t>
      </w:r>
      <w:r>
        <w:rPr/>
        <w:t>元。 </w:t>
      </w:r>
      <w:r>
        <w:rPr>
          <w:spacing w:val="-1"/>
        </w:rPr>
        <w:t>根据《公司章程》的有关规定，母公司应当提取利润的</w:t>
      </w:r>
      <w:r>
        <w:rPr>
          <w:rFonts w:ascii="Times New Roman" w:hAnsi="Times New Roman" w:cs="Times New Roman" w:eastAsia="Times New Roman" w:hint="default"/>
          <w:spacing w:val="-1"/>
        </w:rPr>
        <w:t>10%</w:t>
      </w:r>
      <w:r>
        <w:rPr>
          <w:spacing w:val="-1"/>
        </w:rPr>
        <w:t>，即</w:t>
      </w:r>
      <w:r>
        <w:rPr>
          <w:rFonts w:ascii="Times New Roman" w:hAnsi="Times New Roman" w:cs="Times New Roman" w:eastAsia="Times New Roman" w:hint="default"/>
          <w:spacing w:val="-1"/>
        </w:rPr>
        <w:t>3,483,535.28</w:t>
      </w:r>
      <w:r>
        <w:rPr>
          <w:spacing w:val="-1"/>
        </w:rPr>
        <w:t>元作为法定公积金。截至</w:t>
      </w:r>
    </w:p>
    <w:p>
      <w:pPr>
        <w:pStyle w:val="BodyText"/>
        <w:spacing w:line="386" w:lineRule="auto" w:before="35"/>
        <w:ind w:left="573" w:right="0" w:hanging="42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日，母公司可供分配的利润为</w:t>
      </w:r>
      <w:r>
        <w:rPr>
          <w:rFonts w:ascii="Times New Roman" w:hAnsi="Times New Roman" w:cs="Times New Roman" w:eastAsia="Times New Roman" w:hint="default"/>
        </w:rPr>
        <w:t>183,366,723.30</w:t>
      </w:r>
      <w:r>
        <w:rPr/>
        <w:t>元，资本公积余额为</w:t>
      </w:r>
      <w:r>
        <w:rPr>
          <w:rFonts w:ascii="Times New Roman" w:hAnsi="Times New Roman" w:cs="Times New Roman" w:eastAsia="Times New Roman" w:hint="default"/>
        </w:rPr>
        <w:t>274,048,192.18</w:t>
      </w:r>
      <w:r>
        <w:rPr/>
        <w:t>元。 </w:t>
      </w:r>
      <w:r>
        <w:rPr>
          <w:spacing w:val="-1"/>
        </w:rPr>
        <w:t>考虑到公司业务持续发展，且经营现金流同步增长，在符合利润分配原则、保证公司正常经营和长远</w:t>
      </w:r>
    </w:p>
    <w:p>
      <w:pPr>
        <w:pStyle w:val="BodyText"/>
        <w:spacing w:line="398" w:lineRule="auto" w:before="65"/>
        <w:ind w:left="153" w:right="128"/>
        <w:jc w:val="both"/>
      </w:pPr>
      <w:r>
        <w:rPr/>
        <w:t>发展的前提下，为了更好的兼顾股东的即期利益和长远利益，使公司的价值能够更加公允、客观的体现， </w:t>
      </w:r>
      <w:r>
        <w:rPr>
          <w:spacing w:val="-1"/>
        </w:rPr>
        <w:t>从长远角度回报投资者，使全体股东分享公司成长的经营成果，</w:t>
      </w:r>
      <w:r>
        <w:rPr>
          <w:rFonts w:ascii="Times New Roman" w:hAnsi="Times New Roman" w:cs="Times New Roman" w:eastAsia="Times New Roman" w:hint="default"/>
          <w:spacing w:val="-1"/>
        </w:rPr>
        <w:t>2015</w:t>
      </w:r>
      <w:r>
        <w:rPr>
          <w:spacing w:val="-1"/>
        </w:rPr>
        <w:t>年度公司利润分配预案如下：以截止</w:t>
      </w:r>
      <w:r>
        <w:rPr>
          <w:spacing w:val="-83"/>
        </w:rPr>
        <w:t> </w:t>
      </w:r>
      <w:r>
        <w:rPr>
          <w:spacing w:val="-83"/>
        </w:rPr>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302,094,901</w:t>
      </w:r>
      <w:r>
        <w:rPr/>
        <w:t>股为基数，向全体股东每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0.5</w:t>
      </w:r>
      <w:r>
        <w:rPr/>
        <w:t>元人民币（含税）。</w:t>
      </w:r>
    </w:p>
    <w:p>
      <w:pPr>
        <w:pStyle w:val="BodyText"/>
        <w:spacing w:line="408" w:lineRule="auto" w:before="24"/>
        <w:ind w:left="153" w:right="0" w:firstLine="420"/>
        <w:jc w:val="left"/>
      </w:pPr>
      <w:r>
        <w:rPr>
          <w:spacing w:val="-1"/>
        </w:rPr>
        <w:t>公司第三届董事会第二十四次会议及第三届监事会第十六次会议审议通过上述预案，独立董事均发表</w:t>
      </w:r>
      <w:r>
        <w:rPr/>
        <w:t> 了明确的同意意见。</w:t>
      </w:r>
    </w:p>
    <w:p>
      <w:pPr>
        <w:spacing w:before="34"/>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58"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71"/>
              <w:jc w:val="right"/>
              <w:rPr>
                <w:rFonts w:ascii="宋体" w:hAnsi="宋体" w:cs="宋体" w:eastAsia="宋体" w:hint="default"/>
                <w:sz w:val="18"/>
                <w:szCs w:val="18"/>
              </w:rPr>
            </w:pPr>
            <w:r>
              <w:rPr>
                <w:rFonts w:ascii="宋体" w:hAnsi="宋体" w:cs="宋体" w:eastAsia="宋体" w:hint="default"/>
                <w:sz w:val="18"/>
                <w:szCs w:val="18"/>
              </w:rPr>
              <w:t>分红年度合并报表</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71" w:right="0"/>
              <w:jc w:val="left"/>
              <w:rPr>
                <w:rFonts w:ascii="宋体" w:hAnsi="宋体" w:cs="宋体" w:eastAsia="宋体" w:hint="default"/>
                <w:sz w:val="18"/>
                <w:szCs w:val="18"/>
              </w:rPr>
            </w:pPr>
            <w:r>
              <w:rPr>
                <w:rFonts w:ascii="宋体" w:hAnsi="宋体" w:cs="宋体" w:eastAsia="宋体" w:hint="default"/>
                <w:sz w:val="18"/>
                <w:szCs w:val="18"/>
              </w:rPr>
              <w:t>占合并报表中归属</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625"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0"/>
              <w:ind w:left="611"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73" w:right="71"/>
              <w:jc w:val="left"/>
              <w:rPr>
                <w:rFonts w:ascii="宋体" w:hAnsi="宋体" w:cs="宋体" w:eastAsia="宋体" w:hint="default"/>
                <w:sz w:val="18"/>
                <w:szCs w:val="18"/>
              </w:rPr>
            </w:pPr>
            <w:r>
              <w:rPr>
                <w:rFonts w:ascii="宋体" w:hAnsi="宋体" w:cs="宋体" w:eastAsia="宋体" w:hint="default"/>
                <w:sz w:val="18"/>
                <w:szCs w:val="18"/>
              </w:rPr>
              <w:t>中归属于上市公司 普通股股东的净利</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71" w:right="71"/>
              <w:jc w:val="left"/>
              <w:rPr>
                <w:rFonts w:ascii="宋体" w:hAnsi="宋体" w:cs="宋体" w:eastAsia="宋体" w:hint="default"/>
                <w:sz w:val="18"/>
                <w:szCs w:val="18"/>
              </w:rPr>
            </w:pPr>
            <w:r>
              <w:rPr>
                <w:rFonts w:ascii="宋体" w:hAnsi="宋体" w:cs="宋体" w:eastAsia="宋体" w:hint="default"/>
                <w:sz w:val="18"/>
                <w:szCs w:val="18"/>
              </w:rPr>
              <w:t>于上市公司普通股 股东的净利润的比</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0"/>
              <w:ind w:left="432"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0"/>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55"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润</w:t>
            </w: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率</w:t>
            </w: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15,104,745.05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60,401,993.08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25.01%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14,272,000.00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37,756,702.33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37.80%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24,696,036.39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36.12%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2"/>
        <w:rPr>
          <w:rFonts w:ascii="宋体" w:hAnsi="宋体" w:cs="宋体" w:eastAsia="宋体" w:hint="default"/>
          <w:sz w:val="2"/>
          <w:szCs w:val="2"/>
        </w:rPr>
      </w:pPr>
      <w:r>
        <w:rPr/>
        <w:pict>
          <v:shape style="position:absolute;margin-left:243.290497pt;margin-top:351.839996pt;width:62.35pt;height:113.2pt;mso-position-horizontal-relative:page;mso-position-vertical-relative:page;z-index:-116872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37.111084pt;margin-top:351.839996pt;width:80.4pt;height:113.2pt;mso-position-horizontal-relative:page;mso-position-vertical-relative:page;z-index:-116869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法规、</w:t>
                  </w:r>
                </w:p>
              </w:txbxContent>
            </v:textbox>
            <w10:wrap type="none"/>
          </v:shape>
        </w:pict>
      </w:r>
      <w:r>
        <w:rPr/>
        <w:pict>
          <v:group style="position:absolute;margin-left:249.410995pt;margin-top:351.839996pt;width:56.25pt;height:113.2pt;mso-position-horizontal-relative:page;mso-position-vertical-relative:page;z-index:-1168672" coordorigin="4988,7037" coordsize="1125,2264">
            <v:group style="position:absolute;left:4988;top:7037;width:1125;height:2264" coordorigin="4988,7037" coordsize="1125,2264">
              <v:shape style="position:absolute;left:4988;top:7037;width:1125;height:2264" coordorigin="4988,7037" coordsize="1125,2264" path="m4988,7037l4988,9300,6113,9300,6113,7037,4988,7037xe" filled="true" fillcolor="#ffffff" stroked="false">
                <v:path arrowok="t"/>
                <v:fill type="solid"/>
              </v:shape>
            </v:group>
            <v:group style="position:absolute;left:5012;top:7817;width:1078;height:352" coordorigin="5012,7817" coordsize="1078,352">
              <v:shape style="position:absolute;left:5012;top:7817;width:1078;height:352" coordorigin="5012,7817" coordsize="1078,352" path="m5012,7817l5012,8168,6090,8168,6090,7817,5012,7817xe" filled="true" fillcolor="#ffffff" stroked="false">
                <v:path arrowok="t"/>
                <v:fill type="solid"/>
              </v:shape>
            </v:group>
            <v:group style="position:absolute;left:5012;top:8168;width:1078;height:352" coordorigin="5012,8168" coordsize="1078,352">
              <v:shape style="position:absolute;left:5012;top:8168;width:1078;height:352" coordorigin="5012,8168" coordsize="1078,352" path="m5012,8168l5012,8520,6090,8520,6090,8168,5012,8168xe" filled="true" fillcolor="#ffffff" stroked="false">
                <v:path arrowok="t"/>
                <v:fill type="solid"/>
              </v:shape>
            </v:group>
            <w10:wrap type="none"/>
          </v:group>
        </w:pict>
      </w:r>
      <w:r>
        <w:rPr/>
        <w:pict>
          <v:group style="position:absolute;margin-left:561.291016pt;margin-top:351.839996pt;width:56.25pt;height:113.2pt;mso-position-horizontal-relative:page;mso-position-vertical-relative:page;z-index:-1168648" coordorigin="11226,7037" coordsize="1125,2264">
            <v:group style="position:absolute;left:11226;top:7037;width:1125;height:2264" coordorigin="11226,7037" coordsize="1125,2264">
              <v:shape style="position:absolute;left:11226;top:7037;width:1125;height:2264" coordorigin="11226,7037" coordsize="1125,2264" path="m11226,7037l11226,9300,12350,9300,12350,7037,11226,7037xe" filled="true" fillcolor="#ffffff" stroked="false">
                <v:path arrowok="t"/>
                <v:fill type="solid"/>
              </v:shape>
            </v:group>
            <v:group style="position:absolute;left:11249;top:7817;width:1078;height:352" coordorigin="11249,7817" coordsize="1078,352">
              <v:shape style="position:absolute;left:11249;top:7817;width:1078;height:352" coordorigin="11249,7817" coordsize="1078,352" path="m11249,7817l11249,8168,12326,8168,12326,7817,11249,7817xe" filled="true" fillcolor="#ffffff" stroked="false">
                <v:path arrowok="t"/>
                <v:fill type="solid"/>
              </v:shape>
            </v:group>
            <v:group style="position:absolute;left:11249;top:8168;width:1078;height:352" coordorigin="11249,8168" coordsize="1078,352">
              <v:shape style="position:absolute;left:11249;top:8168;width:1078;height:352" coordorigin="11249,8168" coordsize="1078,352" path="m11249,8168l11249,8520,12326,8520,12326,8168,11249,8168xe" filled="true" fillcolor="#ffffff" stroked="false">
                <v:path arrowok="t"/>
                <v:fill type="solid"/>
              </v:shape>
            </v:group>
            <w10:wrap type="none"/>
          </v:group>
        </w:pict>
      </w: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2"/>
        <w:spacing w:line="240" w:lineRule="auto" w:before="26"/>
        <w:ind w:left="139" w:right="0"/>
        <w:jc w:val="left"/>
        <w:rPr>
          <w:b w:val="0"/>
          <w:bCs w:val="0"/>
        </w:rPr>
      </w:pP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39" w:right="0"/>
        <w:jc w:val="left"/>
        <w:rPr>
          <w:b w:val="0"/>
          <w:bCs w:val="0"/>
        </w:rPr>
      </w:pPr>
      <w:r>
        <w:rPr>
          <w:rFonts w:ascii="Times New Roman" w:hAnsi="Times New Roman" w:cs="Times New Roman" w:eastAsia="Times New Roman" w:hint="default"/>
        </w:rPr>
        <w:t>1</w:t>
      </w:r>
      <w:r>
        <w:rPr/>
        <w:t>、公司、股东、实际控制人、收购人、董事、监事、高级管理人员或其他关联方在报告期内履行完毕及截至报告期末尚未履行完毕的承诺事项</w:t>
      </w:r>
      <w:r>
        <w:rPr>
          <w:b w:val="0"/>
          <w:bCs w:val="0"/>
        </w:rPr>
      </w:r>
    </w:p>
    <w:p>
      <w:pPr>
        <w:spacing w:line="240" w:lineRule="auto" w:before="8"/>
        <w:rPr>
          <w:rFonts w:ascii="宋体" w:hAnsi="宋体" w:cs="宋体" w:eastAsia="宋体" w:hint="default"/>
          <w:b/>
          <w:bCs/>
          <w:sz w:val="26"/>
          <w:szCs w:val="26"/>
        </w:rPr>
      </w:pPr>
    </w:p>
    <w:p>
      <w:pPr>
        <w:spacing w:before="0"/>
        <w:ind w:left="139"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35" w:type="dxa"/>
        <w:tblLayout w:type="fixed"/>
        <w:tblCellMar>
          <w:top w:w="0" w:type="dxa"/>
          <w:left w:w="0" w:type="dxa"/>
          <w:bottom w:w="0" w:type="dxa"/>
          <w:right w:w="0" w:type="dxa"/>
        </w:tblCellMar>
        <w:tblLook w:val="01E0"/>
      </w:tblPr>
      <w:tblGrid>
        <w:gridCol w:w="2127"/>
        <w:gridCol w:w="1417"/>
        <w:gridCol w:w="1134"/>
        <w:gridCol w:w="5104"/>
        <w:gridCol w:w="1134"/>
        <w:gridCol w:w="1418"/>
        <w:gridCol w:w="1559"/>
      </w:tblGrid>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5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413"/>
              <w:jc w:val="righ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12"/>
              <w:jc w:val="left"/>
              <w:rPr>
                <w:rFonts w:ascii="宋体" w:hAnsi="宋体" w:cs="宋体" w:eastAsia="宋体" w:hint="default"/>
                <w:sz w:val="18"/>
                <w:szCs w:val="18"/>
              </w:rPr>
            </w:pPr>
            <w:r>
              <w:rPr>
                <w:rFonts w:ascii="宋体" w:hAnsi="宋体" w:cs="宋体" w:eastAsia="宋体" w:hint="default"/>
                <w:sz w:val="18"/>
                <w:szCs w:val="18"/>
              </w:rPr>
              <w:t>收购报告书或权益变动报 告书中所作承诺</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10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21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3" w:right="20"/>
              <w:jc w:val="left"/>
              <w:rPr>
                <w:rFonts w:ascii="宋体" w:hAnsi="宋体" w:cs="宋体" w:eastAsia="宋体" w:hint="default"/>
                <w:sz w:val="18"/>
                <w:szCs w:val="18"/>
              </w:rPr>
            </w:pPr>
            <w:r>
              <w:rPr>
                <w:rFonts w:ascii="宋体" w:hAnsi="宋体" w:cs="宋体" w:eastAsia="宋体" w:hint="default"/>
                <w:sz w:val="18"/>
                <w:szCs w:val="18"/>
              </w:rPr>
              <w:t>公司发行股份及 支付现金购买资 产的交易对方刘 </w:t>
            </w:r>
            <w:r>
              <w:rPr>
                <w:rFonts w:ascii="宋体" w:hAnsi="宋体" w:cs="宋体" w:eastAsia="宋体" w:hint="default"/>
                <w:spacing w:val="-10"/>
                <w:sz w:val="18"/>
                <w:szCs w:val="18"/>
              </w:rPr>
              <w:t>永春、丛伟滋、李</w:t>
            </w:r>
            <w:r>
              <w:rPr>
                <w:rFonts w:ascii="宋体" w:hAnsi="宋体" w:cs="宋体" w:eastAsia="宋体" w:hint="default"/>
                <w:sz w:val="18"/>
                <w:szCs w:val="18"/>
              </w:rPr>
              <w:t> </w:t>
            </w:r>
            <w:r>
              <w:rPr>
                <w:rFonts w:ascii="宋体" w:hAnsi="宋体" w:cs="宋体" w:eastAsia="宋体" w:hint="default"/>
                <w:spacing w:val="-10"/>
                <w:sz w:val="18"/>
                <w:szCs w:val="18"/>
              </w:rPr>
              <w:t>洪、熊小洪、白海</w:t>
            </w:r>
            <w:r>
              <w:rPr>
                <w:rFonts w:ascii="宋体" w:hAnsi="宋体" w:cs="宋体" w:eastAsia="宋体" w:hint="default"/>
                <w:sz w:val="18"/>
                <w:szCs w:val="18"/>
              </w:rPr>
              <w:t> 清、黄暂度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98"/>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3" w:right="20"/>
              <w:jc w:val="both"/>
              <w:rPr>
                <w:rFonts w:ascii="宋体" w:hAnsi="宋体" w:cs="宋体" w:eastAsia="宋体" w:hint="default"/>
                <w:sz w:val="18"/>
                <w:szCs w:val="18"/>
              </w:rPr>
            </w:pPr>
            <w:r>
              <w:rPr>
                <w:rFonts w:ascii="宋体" w:hAnsi="宋体" w:cs="宋体" w:eastAsia="宋体" w:hint="default"/>
                <w:sz w:val="18"/>
                <w:szCs w:val="18"/>
              </w:rPr>
              <w:t>根据本公司与发行股份及支付现金购买资产的交易对方（以下简 称</w:t>
            </w:r>
            <w:r>
              <w:rPr>
                <w:rFonts w:ascii="Times New Roman" w:hAnsi="Times New Roman" w:cs="Times New Roman" w:eastAsia="Times New Roman" w:hint="default"/>
                <w:sz w:val="18"/>
                <w:szCs w:val="18"/>
              </w:rPr>
              <w:t>"</w:t>
            </w:r>
            <w:r>
              <w:rPr>
                <w:rFonts w:ascii="宋体" w:hAnsi="宋体" w:cs="宋体" w:eastAsia="宋体" w:hint="default"/>
                <w:sz w:val="18"/>
                <w:szCs w:val="18"/>
              </w:rPr>
              <w:t>交易对方</w:t>
            </w:r>
            <w:r>
              <w:rPr>
                <w:rFonts w:ascii="Times New Roman" w:hAnsi="Times New Roman" w:cs="Times New Roman" w:eastAsia="Times New Roman" w:hint="default"/>
                <w:sz w:val="18"/>
                <w:szCs w:val="18"/>
              </w:rPr>
              <w:t>"</w:t>
            </w:r>
            <w:r>
              <w:rPr>
                <w:rFonts w:ascii="宋体" w:hAnsi="宋体" w:cs="宋体" w:eastAsia="宋体" w:hint="default"/>
                <w:sz w:val="18"/>
                <w:szCs w:val="18"/>
              </w:rPr>
              <w:t>）刘永春、丛伟滋、李洪、熊小洪、白海清、黄暂 </w:t>
            </w:r>
            <w:r>
              <w:rPr>
                <w:rFonts w:ascii="宋体" w:hAnsi="宋体" w:cs="宋体" w:eastAsia="宋体" w:hint="default"/>
                <w:spacing w:val="-6"/>
                <w:sz w:val="18"/>
                <w:szCs w:val="18"/>
              </w:rPr>
              <w:t>度签订的《购买资产协议》，交易对方通过本次交易获得的新开普</w:t>
            </w:r>
            <w:r>
              <w:rPr>
                <w:rFonts w:ascii="宋体" w:hAnsi="宋体" w:cs="宋体" w:eastAsia="宋体" w:hint="default"/>
                <w:sz w:val="18"/>
                <w:szCs w:val="18"/>
              </w:rPr>
              <w:t> 新增股份自本次发行结束之日起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个月内，不得进行转让或上市</w:t>
            </w:r>
          </w:p>
          <w:p>
            <w:pPr>
              <w:pStyle w:val="TableParagraph"/>
              <w:spacing w:line="312" w:lineRule="auto" w:before="3"/>
              <w:ind w:left="23" w:right="29"/>
              <w:jc w:val="both"/>
              <w:rPr>
                <w:rFonts w:ascii="宋体" w:hAnsi="宋体" w:cs="宋体" w:eastAsia="宋体" w:hint="default"/>
                <w:sz w:val="18"/>
                <w:szCs w:val="18"/>
              </w:rPr>
            </w:pPr>
            <w:r>
              <w:rPr>
                <w:rFonts w:ascii="宋体" w:hAnsi="宋体" w:cs="宋体" w:eastAsia="宋体" w:hint="default"/>
                <w:sz w:val="18"/>
                <w:szCs w:val="18"/>
              </w:rPr>
              <w:t>交易；自本次发行完成届满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个月之日起，在迪科远望</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年度审计报告和关于业绩承诺实现情况的专项审核报告、减值测 试报告出具后且交易对方已履行完毕全部补偿义务（如有）后方 可进行转让或上市交易。</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84"/>
              <w:jc w:val="both"/>
              <w:rPr>
                <w:rFonts w:ascii="宋体" w:hAnsi="宋体" w:cs="宋体" w:eastAsia="宋体" w:hint="default"/>
                <w:sz w:val="18"/>
                <w:szCs w:val="18"/>
              </w:rPr>
            </w:pPr>
            <w:r>
              <w:rPr>
                <w:rFonts w:ascii="宋体" w:hAnsi="宋体" w:cs="宋体" w:eastAsia="宋体" w:hint="default"/>
                <w:sz w:val="18"/>
                <w:szCs w:val="18"/>
              </w:rPr>
              <w:t>截至报告期末，上 述承诺人严格信守 承诺，未发生违反 承诺的情况。</w:t>
            </w:r>
          </w:p>
        </w:tc>
      </w:tr>
      <w:tr>
        <w:trPr>
          <w:trHeight w:val="2274" w:hRule="exact"/>
        </w:trPr>
        <w:tc>
          <w:tcPr>
            <w:tcW w:w="2127" w:type="dxa"/>
            <w:vMerge/>
            <w:tcBorders>
              <w:left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公司配套融资的 认购对象郑州佳 辰企业管理咨询 </w:t>
            </w:r>
            <w:r>
              <w:rPr>
                <w:rFonts w:ascii="宋体" w:hAnsi="宋体" w:cs="宋体" w:eastAsia="宋体" w:hint="default"/>
                <w:spacing w:val="-10"/>
                <w:sz w:val="18"/>
                <w:szCs w:val="18"/>
              </w:rPr>
              <w:t>中心（有限合伙）</w:t>
            </w:r>
            <w:r>
              <w:rPr>
                <w:rFonts w:ascii="宋体" w:hAnsi="宋体" w:cs="宋体" w:eastAsia="宋体" w:hint="default"/>
                <w:sz w:val="18"/>
                <w:szCs w:val="18"/>
              </w:rPr>
              <w:t> </w:t>
            </w:r>
            <w:r>
              <w:rPr>
                <w:rFonts w:ascii="宋体" w:hAnsi="宋体" w:cs="宋体" w:eastAsia="宋体" w:hint="default"/>
                <w:spacing w:val="-10"/>
                <w:sz w:val="18"/>
                <w:szCs w:val="18"/>
              </w:rPr>
              <w:t>罗会军、柳楠、吴</w:t>
            </w:r>
            <w:r>
              <w:rPr>
                <w:rFonts w:ascii="宋体" w:hAnsi="宋体" w:cs="宋体" w:eastAsia="宋体" w:hint="default"/>
                <w:sz w:val="18"/>
                <w:szCs w:val="18"/>
              </w:rPr>
              <w:t> 凤辉</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98"/>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21"/>
              <w:jc w:val="left"/>
              <w:rPr>
                <w:rFonts w:ascii="宋体" w:hAnsi="宋体" w:cs="宋体" w:eastAsia="宋体" w:hint="default"/>
                <w:sz w:val="18"/>
                <w:szCs w:val="18"/>
              </w:rPr>
            </w:pPr>
            <w:r>
              <w:rPr>
                <w:rFonts w:ascii="宋体" w:hAnsi="宋体" w:cs="宋体" w:eastAsia="宋体" w:hint="default"/>
                <w:sz w:val="18"/>
                <w:szCs w:val="18"/>
              </w:rPr>
              <w:t>根据本公司与配套融资的认购对象（以下简称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认购对象</w:t>
            </w:r>
            <w:r>
              <w:rPr>
                <w:rFonts w:ascii="Times New Roman" w:hAnsi="Times New Roman" w:cs="Times New Roman" w:eastAsia="Times New Roman" w:hint="default"/>
                <w:sz w:val="18"/>
                <w:szCs w:val="18"/>
              </w:rPr>
              <w:t>"</w:t>
            </w:r>
            <w:r>
              <w:rPr>
                <w:rFonts w:ascii="宋体" w:hAnsi="宋体" w:cs="宋体" w:eastAsia="宋体" w:hint="default"/>
                <w:sz w:val="18"/>
                <w:szCs w:val="18"/>
              </w:rPr>
              <w:t>）郑州 </w:t>
            </w:r>
            <w:r>
              <w:rPr>
                <w:rFonts w:ascii="宋体" w:hAnsi="宋体" w:cs="宋体" w:eastAsia="宋体" w:hint="default"/>
                <w:spacing w:val="-7"/>
                <w:sz w:val="18"/>
                <w:szCs w:val="18"/>
              </w:rPr>
              <w:t>佳辰、罗会军、柳楠、吴凤辉签订的《股份认购协议》，向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名认</w:t>
            </w:r>
          </w:p>
          <w:p>
            <w:pPr>
              <w:pStyle w:val="TableParagraph"/>
              <w:spacing w:line="314" w:lineRule="auto" w:before="13"/>
              <w:ind w:left="23" w:right="29"/>
              <w:jc w:val="left"/>
              <w:rPr>
                <w:rFonts w:ascii="宋体" w:hAnsi="宋体" w:cs="宋体" w:eastAsia="宋体" w:hint="default"/>
                <w:sz w:val="18"/>
                <w:szCs w:val="18"/>
              </w:rPr>
            </w:pPr>
            <w:r>
              <w:rPr>
                <w:rFonts w:ascii="宋体" w:hAnsi="宋体" w:cs="宋体" w:eastAsia="宋体" w:hint="default"/>
                <w:sz w:val="18"/>
                <w:szCs w:val="18"/>
              </w:rPr>
              <w:t>购对象发行的股份自股份发行结束之日起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个月内不得以任何 方式进行转让或上市交易；若该限售期与当时有效的法律、 规章、相关证券监管部门及证券交易所的有关规定不相符，可根 据当时有效的法律、法规、规章、相关证券监管部门及证券交易 所的有关规定进行相应调整。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84"/>
              <w:jc w:val="both"/>
              <w:rPr>
                <w:rFonts w:ascii="宋体" w:hAnsi="宋体" w:cs="宋体" w:eastAsia="宋体" w:hint="default"/>
                <w:sz w:val="18"/>
                <w:szCs w:val="18"/>
              </w:rPr>
            </w:pPr>
            <w:r>
              <w:rPr>
                <w:rFonts w:ascii="宋体" w:hAnsi="宋体" w:cs="宋体" w:eastAsia="宋体" w:hint="default"/>
                <w:sz w:val="18"/>
                <w:szCs w:val="18"/>
              </w:rPr>
              <w:t>截至报告期末，上 述承诺人严格信守 承诺，未发生违反 承诺的情况。</w:t>
            </w:r>
          </w:p>
        </w:tc>
      </w:tr>
      <w:tr>
        <w:trPr>
          <w:trHeight w:val="1298" w:hRule="exact"/>
        </w:trPr>
        <w:tc>
          <w:tcPr>
            <w:tcW w:w="2127" w:type="dxa"/>
            <w:vMerge/>
            <w:tcBorders>
              <w:left w:val="single" w:sz="4" w:space="0" w:color="000000"/>
              <w:bottom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both"/>
              <w:rPr>
                <w:rFonts w:ascii="宋体" w:hAnsi="宋体" w:cs="宋体" w:eastAsia="宋体" w:hint="default"/>
                <w:sz w:val="18"/>
                <w:szCs w:val="18"/>
              </w:rPr>
            </w:pPr>
            <w:r>
              <w:rPr>
                <w:rFonts w:ascii="宋体" w:hAnsi="宋体" w:cs="宋体" w:eastAsia="宋体" w:hint="default"/>
                <w:sz w:val="18"/>
                <w:szCs w:val="18"/>
              </w:rPr>
              <w:t>公司发行股份及 支付现金购买资 产的交易对方刘 </w:t>
            </w:r>
            <w:r>
              <w:rPr>
                <w:rFonts w:ascii="宋体" w:hAnsi="宋体" w:cs="宋体" w:eastAsia="宋体" w:hint="default"/>
                <w:spacing w:val="-10"/>
                <w:sz w:val="18"/>
                <w:szCs w:val="18"/>
              </w:rPr>
              <w:t>永春、丛伟滋、李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23" w:right="198"/>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both"/>
              <w:rPr>
                <w:rFonts w:ascii="宋体" w:hAnsi="宋体" w:cs="宋体" w:eastAsia="宋体" w:hint="default"/>
                <w:sz w:val="18"/>
                <w:szCs w:val="18"/>
              </w:rPr>
            </w:pPr>
            <w:r>
              <w:rPr>
                <w:rFonts w:ascii="宋体" w:hAnsi="宋体" w:cs="宋体" w:eastAsia="宋体" w:hint="default"/>
                <w:sz w:val="18"/>
                <w:szCs w:val="18"/>
              </w:rPr>
              <w:t>迪科远望</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年度实现的净利</w:t>
            </w:r>
            <w:r>
              <w:rPr>
                <w:rFonts w:ascii="宋体" w:hAnsi="宋体" w:cs="宋体" w:eastAsia="宋体" w:hint="default"/>
                <w:spacing w:val="-83"/>
                <w:sz w:val="18"/>
                <w:szCs w:val="18"/>
              </w:rPr>
              <w:t>润</w:t>
            </w:r>
            <w:r>
              <w:rPr>
                <w:rFonts w:ascii="宋体" w:hAnsi="宋体" w:cs="宋体" w:eastAsia="宋体" w:hint="default"/>
                <w:sz w:val="18"/>
                <w:szCs w:val="18"/>
              </w:rPr>
              <w:t>（以当年经审计的扣除非经常性</w:t>
            </w:r>
          </w:p>
          <w:p>
            <w:pPr>
              <w:pStyle w:val="TableParagraph"/>
              <w:spacing w:line="300" w:lineRule="auto" w:before="61"/>
              <w:ind w:left="23" w:right="20"/>
              <w:jc w:val="both"/>
              <w:rPr>
                <w:rFonts w:ascii="宋体" w:hAnsi="宋体" w:cs="宋体" w:eastAsia="宋体" w:hint="default"/>
                <w:sz w:val="18"/>
                <w:szCs w:val="18"/>
              </w:rPr>
            </w:pPr>
            <w:r>
              <w:rPr>
                <w:rFonts w:ascii="宋体" w:hAnsi="宋体" w:cs="宋体" w:eastAsia="宋体" w:hint="default"/>
                <w:spacing w:val="-4"/>
                <w:sz w:val="18"/>
                <w:szCs w:val="18"/>
              </w:rPr>
              <w:t>损益后归属于母公司股东的净利润为准）不低于</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0"/>
                <w:sz w:val="18"/>
                <w:szCs w:val="18"/>
              </w:rPr>
              <w:t> </w:t>
            </w:r>
            <w:r>
              <w:rPr>
                <w:rFonts w:ascii="宋体" w:hAnsi="宋体" w:cs="宋体" w:eastAsia="宋体" w:hint="default"/>
                <w:spacing w:val="-10"/>
                <w:sz w:val="18"/>
                <w:szCs w:val="18"/>
              </w:rPr>
              <w:t>万元，</w:t>
            </w:r>
            <w:r>
              <w:rPr>
                <w:rFonts w:ascii="Times New Roman" w:hAnsi="Times New Roman" w:cs="Times New Roman" w:eastAsia="Times New Roman" w:hint="default"/>
                <w:spacing w:val="-10"/>
                <w:sz w:val="18"/>
                <w:szCs w:val="18"/>
              </w:rPr>
              <w:t>2015</w:t>
            </w:r>
            <w:r>
              <w:rPr>
                <w:rFonts w:ascii="Times New Roman" w:hAnsi="Times New Roman" w:cs="Times New Roman" w:eastAsia="Times New Roman" w:hint="default"/>
                <w:spacing w:val="-42"/>
                <w:sz w:val="18"/>
                <w:szCs w:val="18"/>
              </w:rPr>
              <w:t> </w:t>
            </w:r>
            <w:r>
              <w:rPr>
                <w:rFonts w:ascii="宋体" w:hAnsi="宋体" w:cs="宋体" w:eastAsia="宋体" w:hint="default"/>
                <w:spacing w:val="-3"/>
                <w:sz w:val="18"/>
                <w:szCs w:val="18"/>
              </w:rPr>
              <w:t>年度、</w:t>
            </w:r>
            <w:r>
              <w:rPr>
                <w:rFonts w:ascii="Times New Roman" w:hAnsi="Times New Roman" w:cs="Times New Roman" w:eastAsia="Times New Roman" w:hint="default"/>
                <w:spacing w:val="-3"/>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年度累计实现的净利润（以当年经审计的扣除非经常 性损益后归属于母公司股东的净利润为准）不低于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444"/>
              <w:jc w:val="righ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right"/>
        <w:rPr>
          <w:rFonts w:ascii="宋体" w:hAnsi="宋体" w:cs="宋体" w:eastAsia="宋体" w:hint="default"/>
          <w:sz w:val="18"/>
          <w:szCs w:val="18"/>
        </w:rPr>
        <w:sectPr>
          <w:headerReference w:type="default" r:id="rId33"/>
          <w:footerReference w:type="default" r:id="rId34"/>
          <w:pgSz w:w="16840" w:h="11910" w:orient="landscape"/>
          <w:pgMar w:header="867" w:footer="978" w:top="1060" w:bottom="1160" w:left="1300" w:right="1300"/>
          <w:pgNumType w:start="61"/>
        </w:sectPr>
      </w:pPr>
    </w:p>
    <w:p>
      <w:pPr>
        <w:spacing w:line="240" w:lineRule="auto" w:before="4"/>
        <w:rPr>
          <w:rFonts w:ascii="Times New Roman" w:hAnsi="Times New Roman" w:cs="Times New Roman" w:eastAsia="Times New Roman" w:hint="default"/>
          <w:sz w:val="3"/>
          <w:szCs w:val="3"/>
        </w:rPr>
      </w:pPr>
      <w:r>
        <w:rPr/>
        <w:pict>
          <v:shape style="position:absolute;margin-left:537.170471pt;margin-top:90.900002pt;width:80.350pt;height:160.050pt;mso-position-horizontal-relative:page;mso-position-vertical-relative:page;z-index:-11686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扣押、</w:t>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spacing w:before="0"/>
                    <w:ind w:left="36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28.171387pt;margin-top:251.399994pt;width:89.35pt;height:191.25pt;mso-position-horizontal-relative:page;mso-position-vertical-relative:page;z-index:-11686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地协助、</w:t>
                  </w:r>
                </w:p>
              </w:txbxContent>
            </v:textbox>
            <w10:wrap type="none"/>
          </v:shape>
        </w:pict>
      </w:r>
      <w:r>
        <w:rPr/>
        <w:pict>
          <v:shape style="position:absolute;margin-left:429.170502pt;margin-top:443.100006pt;width:188.35pt;height:80pt;mso-position-horizontal-relative:page;mso-position-vertical-relative:page;z-index:-11685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316" w:lineRule="auto" w:before="155"/>
                    <w:ind w:left="180" w:right="1064" w:hanging="180"/>
                    <w:jc w:val="left"/>
                    <w:rPr>
                      <w:rFonts w:ascii="宋体" w:hAnsi="宋体" w:cs="宋体" w:eastAsia="宋体" w:hint="default"/>
                      <w:sz w:val="18"/>
                      <w:szCs w:val="18"/>
                    </w:rPr>
                  </w:pPr>
                  <w:r>
                    <w:rPr>
                      <w:rFonts w:ascii="宋体" w:hAnsi="宋体" w:cs="宋体" w:eastAsia="宋体" w:hint="default"/>
                      <w:sz w:val="18"/>
                      <w:szCs w:val="18"/>
                    </w:rPr>
                    <w:t>截至本承诺函出具日的经营期间， 不存在任何违反所适用的法律、</w:t>
                  </w:r>
                </w:p>
              </w:txbxContent>
            </v:textbox>
            <w10:wrap type="none"/>
          </v:shape>
        </w:pict>
      </w:r>
      <w:r>
        <w:rPr/>
        <w:pict>
          <v:group style="position:absolute;margin-left:561.291016pt;margin-top:90.900002pt;width:56.25pt;height:432.2pt;mso-position-horizontal-relative:page;mso-position-vertical-relative:page;z-index:-1168552" coordorigin="11226,1818" coordsize="1125,8644">
            <v:group style="position:absolute;left:11226;top:1818;width:1125;height:3201" coordorigin="11226,1818" coordsize="1125,3201">
              <v:shape style="position:absolute;left:11226;top:1818;width:1125;height:3201" coordorigin="11226,1818" coordsize="1125,3201" path="m11226,1818l11226,5018,12350,5018,12350,1818,11226,1818xe" filled="true" fillcolor="#ffffff" stroked="false">
                <v:path arrowok="t"/>
                <v:fill type="solid"/>
              </v:shape>
            </v:group>
            <v:group style="position:absolute;left:11249;top:3066;width:1078;height:352" coordorigin="11249,3066" coordsize="1078,352">
              <v:shape style="position:absolute;left:11249;top:3066;width:1078;height:352" coordorigin="11249,3066" coordsize="1078,352" path="m11249,3066l11249,3418,12326,3418,12326,3066,11249,3066xe" filled="true" fillcolor="#ffffff" stroked="false">
                <v:path arrowok="t"/>
                <v:fill type="solid"/>
              </v:shape>
            </v:group>
            <v:group style="position:absolute;left:11249;top:3418;width:1078;height:353" coordorigin="11249,3418" coordsize="1078,353">
              <v:shape style="position:absolute;left:11249;top:3418;width:1078;height:353" coordorigin="11249,3418" coordsize="1078,353" path="m11249,3418l11249,3770,12326,3770,12326,3418,11249,3418xe" filled="true" fillcolor="#ffffff" stroked="false">
                <v:path arrowok="t"/>
                <v:fill type="solid"/>
              </v:shape>
            </v:group>
            <v:group style="position:absolute;left:11226;top:5028;width:1125;height:3825" coordorigin="11226,5028" coordsize="1125,3825">
              <v:shape style="position:absolute;left:11226;top:5028;width:1125;height:3825" coordorigin="11226,5028" coordsize="1125,3825" path="m11226,5028l11226,8852,12350,8852,12350,5028,11226,5028xe" filled="true" fillcolor="#ffffff" stroked="false">
                <v:path arrowok="t"/>
                <v:fill type="solid"/>
              </v:shape>
            </v:group>
            <v:group style="position:absolute;left:11249;top:6588;width:1078;height:352" coordorigin="11249,6588" coordsize="1078,352">
              <v:shape style="position:absolute;left:11249;top:6588;width:1078;height:352" coordorigin="11249,6588" coordsize="1078,352" path="m11249,6588l11249,6940,12326,6940,12326,6588,11249,6588xe" filled="true" fillcolor="#ffffff" stroked="false">
                <v:path arrowok="t"/>
                <v:fill type="solid"/>
              </v:shape>
            </v:group>
            <v:group style="position:absolute;left:11249;top:6940;width:1078;height:353" coordorigin="11249,6940" coordsize="1078,353">
              <v:shape style="position:absolute;left:11249;top:6940;width:1078;height:353" coordorigin="11249,6940" coordsize="1078,353" path="m11249,6940l11249,7292,12326,7292,12326,6940,11249,6940xe" filled="true" fillcolor="#ffffff" stroked="false">
                <v:path arrowok="t"/>
                <v:fill type="solid"/>
              </v:shape>
            </v:group>
            <v:group style="position:absolute;left:11226;top:8862;width:1125;height:1600" coordorigin="11226,8862" coordsize="1125,1600">
              <v:shape style="position:absolute;left:11226;top:8862;width:1125;height:1600" coordorigin="11226,8862" coordsize="1125,1600" path="m11226,8862l11226,10462,12350,10462,12350,8862,11226,8862xe" filled="true" fillcolor="#ffffff" stroked="false">
                <v:path arrowok="t"/>
                <v:fill type="solid"/>
              </v:shape>
            </v:group>
            <v:group style="position:absolute;left:11249;top:9310;width:1078;height:353" coordorigin="11249,9310" coordsize="1078,353">
              <v:shape style="position:absolute;left:11249;top:9310;width:1078;height:353" coordorigin="11249,9310" coordsize="1078,353" path="m11249,9310l11249,9662,12326,9662,12326,9310,11249,9310xe" filled="true" fillcolor="#ffffff" stroked="false">
                <v:path arrowok="t"/>
                <v:fill type="solid"/>
              </v:shape>
            </v:group>
            <v:group style="position:absolute;left:11249;top:9662;width:1078;height:352" coordorigin="11249,9662" coordsize="1078,352">
              <v:shape style="position:absolute;left:11249;top:9662;width:1078;height:352" coordorigin="11249,9662" coordsize="1078,352" path="m11249,9662l11249,10014,12326,10014,12326,9662,11249,9662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2127"/>
        <w:gridCol w:w="1417"/>
        <w:gridCol w:w="1134"/>
        <w:gridCol w:w="5104"/>
        <w:gridCol w:w="1134"/>
        <w:gridCol w:w="1418"/>
        <w:gridCol w:w="1559"/>
      </w:tblGrid>
      <w:tr>
        <w:trPr>
          <w:trHeight w:val="332" w:hRule="exact"/>
        </w:trPr>
        <w:tc>
          <w:tcPr>
            <w:tcW w:w="2127" w:type="dxa"/>
            <w:vMerge w:val="restart"/>
            <w:tcBorders>
              <w:top w:val="single" w:sz="15" w:space="0" w:color="000000"/>
              <w:left w:val="single" w:sz="4" w:space="0" w:color="000000"/>
              <w:right w:val="single" w:sz="4" w:space="0" w:color="000000"/>
            </w:tcBorders>
            <w:shd w:val="clear" w:color="auto" w:fill="D3D3D3"/>
          </w:tcPr>
          <w:p>
            <w:pPr/>
          </w:p>
        </w:tc>
        <w:tc>
          <w:tcPr>
            <w:tcW w:w="1417"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0"/>
                <w:sz w:val="18"/>
                <w:szCs w:val="18"/>
              </w:rPr>
              <w:t>洪、熊小洪、白海</w:t>
            </w:r>
          </w:p>
        </w:tc>
        <w:tc>
          <w:tcPr>
            <w:tcW w:w="1134" w:type="dxa"/>
            <w:vMerge w:val="restart"/>
            <w:tcBorders>
              <w:top w:val="single" w:sz="15" w:space="0" w:color="000000"/>
              <w:left w:val="single" w:sz="4" w:space="0" w:color="000000"/>
              <w:right w:val="single" w:sz="4" w:space="0" w:color="000000"/>
            </w:tcBorders>
          </w:tcPr>
          <w:p>
            <w:pPr/>
          </w:p>
        </w:tc>
        <w:tc>
          <w:tcPr>
            <w:tcW w:w="5104"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如果实际利润低于上述承诺利润，交易对方将按照签署的《业绩</w:t>
            </w:r>
          </w:p>
        </w:tc>
        <w:tc>
          <w:tcPr>
            <w:tcW w:w="1134" w:type="dxa"/>
            <w:vMerge w:val="restart"/>
            <w:tcBorders>
              <w:top w:val="single" w:sz="15" w:space="0" w:color="000000"/>
              <w:left w:val="single" w:sz="4" w:space="0" w:color="000000"/>
              <w:right w:val="single" w:sz="4" w:space="0" w:color="000000"/>
            </w:tcBorders>
          </w:tcPr>
          <w:p>
            <w:pPr/>
          </w:p>
        </w:tc>
        <w:tc>
          <w:tcPr>
            <w:tcW w:w="1418" w:type="dxa"/>
            <w:vMerge w:val="restart"/>
            <w:tcBorders>
              <w:top w:val="single" w:sz="15" w:space="0" w:color="000000"/>
              <w:left w:val="single" w:sz="4" w:space="0" w:color="000000"/>
              <w:right w:val="single" w:sz="4" w:space="0" w:color="000000"/>
            </w:tcBorders>
          </w:tcPr>
          <w:p>
            <w:pPr/>
          </w:p>
        </w:tc>
        <w:tc>
          <w:tcPr>
            <w:tcW w:w="1559" w:type="dxa"/>
            <w:vMerge w:val="restart"/>
            <w:tcBorders>
              <w:top w:val="single" w:sz="15" w:space="0" w:color="000000"/>
              <w:left w:val="single" w:sz="4" w:space="0" w:color="000000"/>
              <w:right w:val="single" w:sz="4" w:space="0" w:color="000000"/>
            </w:tcBorders>
          </w:tcPr>
          <w:p>
            <w:pPr/>
          </w:p>
        </w:tc>
      </w:tr>
      <w:tr>
        <w:trPr>
          <w:trHeight w:val="357"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清、黄暂度</w:t>
            </w:r>
          </w:p>
        </w:tc>
        <w:tc>
          <w:tcPr>
            <w:tcW w:w="1134" w:type="dxa"/>
            <w:vMerge/>
            <w:tcBorders>
              <w:left w:val="single" w:sz="4" w:space="0" w:color="000000"/>
              <w:bottom w:val="single" w:sz="4" w:space="0" w:color="000000"/>
              <w:right w:val="single" w:sz="4" w:space="0" w:color="000000"/>
            </w:tcBorders>
          </w:tcPr>
          <w:p>
            <w:pPr/>
          </w:p>
        </w:tc>
        <w:tc>
          <w:tcPr>
            <w:tcW w:w="51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补偿协议》的相关规定进行补偿。</w:t>
            </w:r>
          </w:p>
        </w:tc>
        <w:tc>
          <w:tcPr>
            <w:tcW w:w="1134"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r>
      <w:tr>
        <w:trPr>
          <w:trHeight w:val="357" w:hRule="exact"/>
        </w:trPr>
        <w:tc>
          <w:tcPr>
            <w:tcW w:w="2127" w:type="dxa"/>
            <w:vMerge/>
            <w:tcBorders>
              <w:left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51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本次交易的交易对方就其持有标的公司股权无代持、无纠纷、无</w:t>
            </w:r>
          </w:p>
        </w:tc>
        <w:tc>
          <w:tcPr>
            <w:tcW w:w="1134"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转让限制等情况的承诺如下：</w:t>
            </w:r>
            <w:r>
              <w:rPr>
                <w:rFonts w:ascii="Times New Roman" w:hAnsi="Times New Roman" w:cs="Times New Roman" w:eastAsia="Times New Roman" w:hint="default"/>
                <w:sz w:val="18"/>
                <w:szCs w:val="18"/>
              </w:rPr>
              <w:t>1</w:t>
            </w:r>
            <w:r>
              <w:rPr>
                <w:rFonts w:ascii="宋体" w:hAnsi="宋体" w:cs="宋体" w:eastAsia="宋体" w:hint="default"/>
                <w:sz w:val="18"/>
                <w:szCs w:val="18"/>
              </w:rPr>
              <w:t>、本人合法持有迪科远望的股份</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公司发行股份及</w:t>
            </w: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并及时、足额缴纳出资，本人获得迪科远望股份的资金来源真实</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支付现金购买资</w:t>
            </w: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合法、不存在违反法律法规的情形、不存在被有关部门收缴、追</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截至报告期末，上</w:t>
            </w:r>
          </w:p>
        </w:tc>
      </w:tr>
      <w:tr>
        <w:trPr>
          <w:trHeight w:val="629"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产的交易对方刘 </w:t>
            </w:r>
            <w:r>
              <w:rPr>
                <w:rFonts w:ascii="宋体" w:hAnsi="宋体" w:cs="宋体" w:eastAsia="宋体" w:hint="default"/>
                <w:spacing w:val="-10"/>
                <w:sz w:val="18"/>
                <w:szCs w:val="18"/>
              </w:rPr>
              <w:t>永春、丛伟滋、李</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3" w:right="29"/>
              <w:jc w:val="left"/>
              <w:rPr>
                <w:rFonts w:ascii="宋体" w:hAnsi="宋体" w:cs="宋体" w:eastAsia="宋体" w:hint="default"/>
                <w:sz w:val="18"/>
                <w:szCs w:val="18"/>
              </w:rPr>
            </w:pPr>
            <w:r>
              <w:rPr>
                <w:rFonts w:ascii="宋体" w:hAnsi="宋体" w:cs="宋体" w:eastAsia="宋体" w:hint="default"/>
                <w:spacing w:val="-5"/>
                <w:sz w:val="18"/>
                <w:szCs w:val="18"/>
              </w:rPr>
              <w:t>索等法律风险；</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、本人持有的迪科远望股份不存在被质押、</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冻结、司法查封或拍卖、托管、设定信托、被依法限制表决权，</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长期有效</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84"/>
              <w:jc w:val="left"/>
              <w:rPr>
                <w:rFonts w:ascii="宋体" w:hAnsi="宋体" w:cs="宋体" w:eastAsia="宋体" w:hint="default"/>
                <w:sz w:val="18"/>
                <w:szCs w:val="18"/>
              </w:rPr>
            </w:pPr>
            <w:r>
              <w:rPr>
                <w:rFonts w:ascii="宋体" w:hAnsi="宋体" w:cs="宋体" w:eastAsia="宋体" w:hint="default"/>
                <w:sz w:val="18"/>
                <w:szCs w:val="18"/>
              </w:rPr>
              <w:t>述承诺人严格信守 承诺，未发生违反</w:t>
            </w:r>
          </w:p>
        </w:tc>
      </w:tr>
      <w:tr>
        <w:trPr>
          <w:trHeight w:val="311"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10"/>
                <w:sz w:val="18"/>
                <w:szCs w:val="18"/>
              </w:rPr>
              <w:t>洪、熊小洪、白海</w:t>
            </w: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或其他使该等股份权利行使和</w:t>
            </w:r>
            <w:r>
              <w:rPr>
                <w:rFonts w:ascii="Times New Roman" w:hAnsi="Times New Roman" w:cs="Times New Roman" w:eastAsia="Times New Roman" w:hint="default"/>
                <w:sz w:val="18"/>
                <w:szCs w:val="18"/>
              </w:rPr>
              <w:t>/</w:t>
            </w:r>
            <w:r>
              <w:rPr>
                <w:rFonts w:ascii="宋体" w:hAnsi="宋体" w:cs="宋体" w:eastAsia="宋体" w:hint="default"/>
                <w:sz w:val="18"/>
                <w:szCs w:val="18"/>
              </w:rPr>
              <w:t>或转让受到限制或禁止的情形；</w:t>
            </w:r>
            <w:r>
              <w:rPr>
                <w:rFonts w:ascii="Times New Roman" w:hAnsi="Times New Roman" w:cs="Times New Roman" w:eastAsia="Times New Roman" w:hint="default"/>
                <w:sz w:val="18"/>
                <w:szCs w:val="18"/>
              </w:rPr>
              <w:t>3</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承诺的情况。</w:t>
            </w:r>
          </w:p>
        </w:tc>
      </w:tr>
      <w:tr>
        <w:trPr>
          <w:trHeight w:val="308"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清、黄暂度</w:t>
            </w: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本人持有的迪科远望股份不存在委托持股情形，不存在利益输送</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或其他权益安排，本人基于该等股份依法行使股东权利没有任何</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1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法律障碍，该等股份不存在纠纷或潜在纠纷。</w:t>
            </w:r>
          </w:p>
        </w:tc>
        <w:tc>
          <w:tcPr>
            <w:tcW w:w="1134"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2127" w:type="dxa"/>
            <w:vMerge/>
            <w:tcBorders>
              <w:left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51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公司发行股份及支付现金购买资产的交易对方刘永春、丛伟滋、</w:t>
            </w:r>
          </w:p>
        </w:tc>
        <w:tc>
          <w:tcPr>
            <w:tcW w:w="1134"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李洪、熊小洪、白海清、黄暂度本次交易的交易对方承诺：在获</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得中国证券监督管理委员会的核准后，迪科远望将由股份有限公</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公司发行股份及</w:t>
            </w: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司变更为有限责任公司，迪科远望注册资本及各股东持股比例保</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1247"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支付现金购买资 产的交易对方刘 </w:t>
            </w:r>
            <w:r>
              <w:rPr>
                <w:rFonts w:ascii="宋体" w:hAnsi="宋体" w:cs="宋体" w:eastAsia="宋体" w:hint="default"/>
                <w:spacing w:val="-10"/>
                <w:sz w:val="18"/>
                <w:szCs w:val="18"/>
              </w:rPr>
              <w:t>永春、丛伟滋、李</w:t>
            </w:r>
            <w:r>
              <w:rPr>
                <w:rFonts w:ascii="宋体" w:hAnsi="宋体" w:cs="宋体" w:eastAsia="宋体" w:hint="default"/>
                <w:sz w:val="18"/>
                <w:szCs w:val="18"/>
              </w:rPr>
              <w:t> </w:t>
            </w:r>
            <w:r>
              <w:rPr>
                <w:rFonts w:ascii="宋体" w:hAnsi="宋体" w:cs="宋体" w:eastAsia="宋体" w:hint="default"/>
                <w:spacing w:val="-10"/>
                <w:sz w:val="18"/>
                <w:szCs w:val="18"/>
              </w:rPr>
              <w:t>洪、熊小洪、白海</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9"/>
              <w:jc w:val="both"/>
              <w:rPr>
                <w:rFonts w:ascii="宋体" w:hAnsi="宋体" w:cs="宋体" w:eastAsia="宋体" w:hint="default"/>
                <w:sz w:val="18"/>
                <w:szCs w:val="18"/>
              </w:rPr>
            </w:pPr>
            <w:r>
              <w:rPr>
                <w:rFonts w:ascii="宋体" w:hAnsi="宋体" w:cs="宋体" w:eastAsia="宋体" w:hint="default"/>
                <w:sz w:val="18"/>
                <w:szCs w:val="18"/>
              </w:rPr>
              <w:t>持不变，在迪科远望召开的有关公司组织形式变更为有限责任公 司、转让有限责任公司股权的股东（大）会上对有关各项议案投 赞成票，同意其他股东将其所持变更后有限责任公司股权转让给 </w:t>
            </w:r>
            <w:r>
              <w:rPr>
                <w:rFonts w:ascii="宋体" w:hAnsi="宋体" w:cs="宋体" w:eastAsia="宋体" w:hint="default"/>
                <w:spacing w:val="-4"/>
                <w:sz w:val="18"/>
                <w:szCs w:val="18"/>
              </w:rPr>
              <w:t>新开普，并自愿放弃优先购买权，保证积极、全面、及时</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313"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清、黄暂度</w:t>
            </w: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配合迪科远望及新开普完成前述变更所需的工商登记等法律手</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续。在迪科远望组织形式变更同时及之后，本人将仍然按照各方</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于签署之《发行股份及支付现金购买资产协议》中的约定履行股</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1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权转让等义务。</w:t>
            </w:r>
          </w:p>
        </w:tc>
        <w:tc>
          <w:tcPr>
            <w:tcW w:w="1134"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r>
      <w:tr>
        <w:trPr>
          <w:trHeight w:val="1610" w:hRule="exact"/>
        </w:trPr>
        <w:tc>
          <w:tcPr>
            <w:tcW w:w="2127" w:type="dxa"/>
            <w:vMerge/>
            <w:tcBorders>
              <w:left w:val="single" w:sz="4" w:space="0" w:color="000000"/>
              <w:bottom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公司发行股份及 支付现金购买资 产的交易对方刘 </w:t>
            </w:r>
            <w:r>
              <w:rPr>
                <w:rFonts w:ascii="宋体" w:hAnsi="宋体" w:cs="宋体" w:eastAsia="宋体" w:hint="default"/>
                <w:spacing w:val="-10"/>
                <w:sz w:val="18"/>
                <w:szCs w:val="18"/>
              </w:rPr>
              <w:t>永春、丛伟滋、李</w:t>
            </w:r>
            <w:r>
              <w:rPr>
                <w:rFonts w:ascii="宋体" w:hAnsi="宋体" w:cs="宋体" w:eastAsia="宋体" w:hint="default"/>
                <w:sz w:val="18"/>
                <w:szCs w:val="18"/>
              </w:rPr>
              <w:t> </w:t>
            </w:r>
            <w:r>
              <w:rPr>
                <w:rFonts w:ascii="宋体" w:hAnsi="宋体" w:cs="宋体" w:eastAsia="宋体" w:hint="default"/>
                <w:spacing w:val="-10"/>
                <w:sz w:val="18"/>
                <w:szCs w:val="18"/>
              </w:rPr>
              <w:t>洪、熊小洪、白海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1"/>
              <w:jc w:val="left"/>
              <w:rPr>
                <w:rFonts w:ascii="宋体" w:hAnsi="宋体" w:cs="宋体" w:eastAsia="宋体" w:hint="default"/>
                <w:sz w:val="18"/>
                <w:szCs w:val="18"/>
              </w:rPr>
            </w:pPr>
            <w:r>
              <w:rPr>
                <w:rFonts w:ascii="宋体" w:hAnsi="宋体" w:cs="宋体" w:eastAsia="宋体" w:hint="default"/>
                <w:spacing w:val="-3"/>
                <w:sz w:val="18"/>
                <w:szCs w:val="18"/>
              </w:rPr>
              <w:t>本次交易的交易对方承诺：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、迪科远望及其下属公司的生产经营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活动符合相关法律法规的要求， 除已向新开普书面披露的情况外， 法规的行为，不存在任何违反工商、税收、土地、环保、海关以 及其他法律、行政法规，受到行政处罚且情节严重的情形；迪科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长期有效</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84"/>
              <w:jc w:val="both"/>
              <w:rPr>
                <w:rFonts w:ascii="宋体" w:hAnsi="宋体" w:cs="宋体" w:eastAsia="宋体" w:hint="default"/>
                <w:sz w:val="18"/>
                <w:szCs w:val="18"/>
              </w:rPr>
            </w:pPr>
            <w:r>
              <w:rPr>
                <w:rFonts w:ascii="宋体" w:hAnsi="宋体" w:cs="宋体" w:eastAsia="宋体" w:hint="default"/>
                <w:sz w:val="18"/>
                <w:szCs w:val="18"/>
              </w:rPr>
              <w:t>截至报告期末，上 述承诺人严格信守 承诺，未发生违反 承诺的情况。</w:t>
            </w:r>
          </w:p>
        </w:tc>
      </w:tr>
    </w:tbl>
    <w:p>
      <w:pPr>
        <w:spacing w:after="0" w:line="319" w:lineRule="auto"/>
        <w:jc w:val="both"/>
        <w:rPr>
          <w:rFonts w:ascii="宋体" w:hAnsi="宋体" w:cs="宋体" w:eastAsia="宋体" w:hint="default"/>
          <w:sz w:val="18"/>
          <w:szCs w:val="18"/>
        </w:rPr>
        <w:sectPr>
          <w:pgSz w:w="16840" w:h="11910" w:orient="landscape"/>
          <w:pgMar w:header="867" w:footer="978" w:top="1060" w:bottom="1160" w:left="1320" w:right="1340"/>
        </w:sectPr>
      </w:pPr>
    </w:p>
    <w:p>
      <w:pPr>
        <w:tabs>
          <w:tab w:pos="4846" w:val="left" w:leader="none"/>
        </w:tabs>
        <w:spacing w:line="312" w:lineRule="auto" w:before="88"/>
        <w:ind w:left="4846" w:right="4261" w:hanging="2552"/>
        <w:jc w:val="left"/>
        <w:rPr>
          <w:rFonts w:ascii="宋体" w:hAnsi="宋体" w:cs="宋体" w:eastAsia="宋体" w:hint="default"/>
          <w:sz w:val="18"/>
          <w:szCs w:val="18"/>
        </w:rPr>
      </w:pPr>
      <w:r>
        <w:rPr/>
        <w:pict>
          <v:shape style="position:absolute;margin-left:474.170502pt;margin-top:57.18pt;width:143.35pt;height:468pt;mso-position-horizontal-relative:page;mso-position-vertical-relative:page;z-index:-116852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不存在重大偿债风险，</w:t>
                  </w:r>
                </w:p>
              </w:txbxContent>
            </v:textbox>
            <w10:wrap type="none"/>
          </v:shape>
        </w:pict>
      </w:r>
      <w:r>
        <w:rPr/>
        <w:pict>
          <v:group style="position:absolute;margin-left:70.130997pt;margin-top:55.259998pt;width:701.65pt;height:470.7pt;mso-position-horizontal-relative:page;mso-position-vertical-relative:page;z-index:-1168504" coordorigin="1403,1105" coordsize="14033,9414">
            <v:group style="position:absolute;left:1410;top:1112;width:14019;height:2" coordorigin="1410,1112" coordsize="14019,2">
              <v:shape style="position:absolute;left:1410;top:1112;width:14019;height:2" coordorigin="1410,1112" coordsize="14019,0" path="m1410,1112l15428,1112e" filled="false" stroked="true" strokeweight=".72pt" strokecolor="#000000">
                <v:path arrowok="t"/>
              </v:shape>
            </v:group>
            <v:group style="position:absolute;left:1445;top:1144;width:2117;height:9360" coordorigin="1445,1144" coordsize="2117,9360">
              <v:shape style="position:absolute;left:1445;top:1144;width:2117;height:9360" coordorigin="1445,1144" coordsize="2117,9360" path="m1445,1144l1445,10504,3561,10504,3561,1144,1445,1144xe" filled="true" fillcolor="#d3d3d3" stroked="false">
                <v:path arrowok="t"/>
                <v:fill type="solid"/>
              </v:shape>
            </v:group>
            <v:group style="position:absolute;left:11226;top:1144;width:1125;height:9360" coordorigin="11226,1144" coordsize="1125,9360">
              <v:shape style="position:absolute;left:11226;top:1144;width:1125;height:9360" coordorigin="11226,1144" coordsize="1125,9360" path="m11226,1144l11226,10504,12350,10504,12350,1144,11226,1144xe" filled="true" fillcolor="#ffffff" stroked="false">
                <v:path arrowok="t"/>
                <v:fill type="solid"/>
              </v:shape>
            </v:group>
            <v:group style="position:absolute;left:1435;top:1139;width:2138;height:2" coordorigin="1435,1139" coordsize="2138,2">
              <v:shape style="position:absolute;left:1435;top:1139;width:2138;height:2" coordorigin="1435,1139" coordsize="2138,0" path="m1435,1139l3572,1139e" filled="false" stroked="true" strokeweight=".48pt" strokecolor="#000000">
                <v:path arrowok="t"/>
              </v:shape>
            </v:group>
            <v:group style="position:absolute;left:3572;top:1139;width:1407;height:2" coordorigin="3572,1139" coordsize="1407,2">
              <v:shape style="position:absolute;left:3572;top:1139;width:1407;height:2" coordorigin="3572,1139" coordsize="1407,0" path="m3572,1139l4979,1139e" filled="false" stroked="true" strokeweight=".48pt" strokecolor="#000000">
                <v:path arrowok="t"/>
              </v:shape>
            </v:group>
            <v:group style="position:absolute;left:4979;top:1139;width:10359;height:2" coordorigin="4979,1139" coordsize="10359,2">
              <v:shape style="position:absolute;left:4979;top:1139;width:10359;height:2" coordorigin="4979,1139" coordsize="10359,0" path="m4979,1139l15337,1139e" filled="false" stroked="true" strokeweight=".48pt" strokecolor="#000000">
                <v:path arrowok="t"/>
              </v:shape>
            </v:group>
            <v:group style="position:absolute;left:1440;top:1134;width:2;height:9381" coordorigin="1440,1134" coordsize="2,9381">
              <v:shape style="position:absolute;left:1440;top:1134;width:2;height:9381" coordorigin="1440,1134" coordsize="0,9381" path="m1440,1134l1440,10514e" filled="false" stroked="true" strokeweight=".47998pt" strokecolor="#000000">
                <v:path arrowok="t"/>
              </v:shape>
            </v:group>
            <v:group style="position:absolute;left:1435;top:10510;width:2128;height:2" coordorigin="1435,10510" coordsize="2128,2">
              <v:shape style="position:absolute;left:1435;top:10510;width:2128;height:2" coordorigin="1435,10510" coordsize="2128,0" path="m1435,10510l3563,10510e" filled="false" stroked="true" strokeweight=".47998pt" strokecolor="#000000">
                <v:path arrowok="t"/>
              </v:shape>
            </v:group>
            <v:group style="position:absolute;left:3567;top:1144;width:2;height:9371" coordorigin="3567,1144" coordsize="2,9371">
              <v:shape style="position:absolute;left:3567;top:1144;width:2;height:9371" coordorigin="3567,1144" coordsize="0,9371" path="m3567,1144l3567,10514e" filled="false" stroked="true" strokeweight=".48pt" strokecolor="#000000">
                <v:path arrowok="t"/>
              </v:shape>
            </v:group>
            <v:group style="position:absolute;left:3572;top:10510;width:1407;height:2" coordorigin="3572,10510" coordsize="1407,2">
              <v:shape style="position:absolute;left:3572;top:10510;width:1407;height:2" coordorigin="3572,10510" coordsize="1407,0" path="m3572,10510l4979,10510e" filled="false" stroked="true" strokeweight=".48pt" strokecolor="#000000">
                <v:path arrowok="t"/>
              </v:shape>
            </v:group>
            <v:group style="position:absolute;left:4983;top:1144;width:2;height:9371" coordorigin="4983,1144" coordsize="2,9371">
              <v:shape style="position:absolute;left:4983;top:1144;width:2;height:9371" coordorigin="4983,1144" coordsize="0,9371" path="m4983,1144l4983,10514e" filled="false" stroked="true" strokeweight=".48pt" strokecolor="#000000">
                <v:path arrowok="t"/>
              </v:shape>
            </v:group>
            <v:group style="position:absolute;left:4988;top:10510;width:1125;height:2" coordorigin="4988,10510" coordsize="1125,2">
              <v:shape style="position:absolute;left:4988;top:10510;width:1125;height:2" coordorigin="4988,10510" coordsize="1125,0" path="m4988,10510l6113,10510e" filled="false" stroked="true" strokeweight=".47998pt" strokecolor="#000000">
                <v:path arrowok="t"/>
              </v:shape>
            </v:group>
            <v:group style="position:absolute;left:6117;top:1144;width:2;height:9371" coordorigin="6117,1144" coordsize="2,9371">
              <v:shape style="position:absolute;left:6117;top:1144;width:2;height:9371" coordorigin="6117,1144" coordsize="0,9371" path="m6117,1144l6117,10514e" filled="false" stroked="true" strokeweight=".48001pt" strokecolor="#000000">
                <v:path arrowok="t"/>
              </v:shape>
            </v:group>
            <v:group style="position:absolute;left:6122;top:10510;width:5094;height:2" coordorigin="6122,10510" coordsize="5094,2">
              <v:shape style="position:absolute;left:6122;top:10510;width:5094;height:2" coordorigin="6122,10510" coordsize="5094,0" path="m6122,10510l11216,10510e" filled="false" stroked="true" strokeweight=".47998pt" strokecolor="#000000">
                <v:path arrowok="t"/>
              </v:shape>
            </v:group>
            <v:group style="position:absolute;left:11221;top:1144;width:2;height:9371" coordorigin="11221,1144" coordsize="2,9371">
              <v:shape style="position:absolute;left:11221;top:1144;width:2;height:9371" coordorigin="11221,1144" coordsize="0,9371" path="m11221,1144l11221,10514e" filled="false" stroked="true" strokeweight=".48004pt" strokecolor="#000000">
                <v:path arrowok="t"/>
              </v:shape>
            </v:group>
            <v:group style="position:absolute;left:11226;top:10510;width:1125;height:2" coordorigin="11226,10510" coordsize="1125,2">
              <v:shape style="position:absolute;left:11226;top:10510;width:1125;height:2" coordorigin="11226,10510" coordsize="1125,0" path="m11226,10510l12350,10510e" filled="false" stroked="true" strokeweight=".47998pt" strokecolor="#000000">
                <v:path arrowok="t"/>
              </v:shape>
            </v:group>
            <v:group style="position:absolute;left:12355;top:1144;width:2;height:9371" coordorigin="12355,1144" coordsize="2,9371">
              <v:shape style="position:absolute;left:12355;top:1144;width:2;height:9371" coordorigin="12355,1144" coordsize="0,9371" path="m12355,1144l12355,10514e" filled="false" stroked="true" strokeweight=".47998pt" strokecolor="#000000">
                <v:path arrowok="t"/>
              </v:shape>
            </v:group>
            <v:group style="position:absolute;left:12360;top:10510;width:1409;height:2" coordorigin="12360,10510" coordsize="1409,2">
              <v:shape style="position:absolute;left:12360;top:10510;width:1409;height:2" coordorigin="12360,10510" coordsize="1409,0" path="m12360,10510l13769,10510e" filled="false" stroked="true" strokeweight=".47998pt" strokecolor="#000000">
                <v:path arrowok="t"/>
              </v:shape>
            </v:group>
            <v:group style="position:absolute;left:13773;top:1144;width:2;height:9371" coordorigin="13773,1144" coordsize="2,9371">
              <v:shape style="position:absolute;left:13773;top:1144;width:2;height:9371" coordorigin="13773,1144" coordsize="0,9371" path="m13773,1144l13773,10514e" filled="false" stroked="true" strokeweight=".47998pt" strokecolor="#000000">
                <v:path arrowok="t"/>
              </v:shape>
            </v:group>
            <v:group style="position:absolute;left:13778;top:10510;width:1550;height:2" coordorigin="13778,10510" coordsize="1550,2">
              <v:shape style="position:absolute;left:13778;top:10510;width:1550;height:2" coordorigin="13778,10510" coordsize="1550,0" path="m13778,10510l15327,10510e" filled="false" stroked="true" strokeweight=".47998pt" strokecolor="#000000">
                <v:path arrowok="t"/>
              </v:shape>
            </v:group>
            <v:group style="position:absolute;left:15332;top:1134;width:2;height:9381" coordorigin="15332,1134" coordsize="2,9381">
              <v:shape style="position:absolute;left:15332;top:1134;width:2;height:9381" coordorigin="15332,1134" coordsize="0,9381" path="m15332,1134l15332,10514e" filled="false" stroked="true" strokeweight=".48004pt" strokecolor="#000000">
                <v:path arrowok="t"/>
              </v:shape>
            </v:group>
            <w10:wrap type="none"/>
          </v:group>
        </w:pict>
      </w:r>
      <w:r>
        <w:rPr>
          <w:rFonts w:ascii="宋体" w:hAnsi="宋体" w:cs="宋体" w:eastAsia="宋体" w:hint="default"/>
          <w:sz w:val="18"/>
          <w:szCs w:val="18"/>
        </w:rPr>
        <w:t>清、黄暂度</w:t>
        <w:tab/>
        <w:t>远望及其下属公司不存在正在进行或可预见的重大诉讼、仲裁或 行政处罚案件、刑事调查及刑事诉讼案件或处于任何与此相关的 其他法律程序，不存在因环境保护、知识产权、产品质量、劳动 安全、人身权等原因产生的侵权之债。</w:t>
      </w:r>
      <w:r>
        <w:rPr>
          <w:rFonts w:ascii="Times New Roman" w:hAnsi="Times New Roman" w:cs="Times New Roman" w:eastAsia="Times New Roman" w:hint="default"/>
          <w:sz w:val="18"/>
          <w:szCs w:val="18"/>
        </w:rPr>
        <w:t>2</w:t>
      </w:r>
      <w:r>
        <w:rPr>
          <w:rFonts w:ascii="宋体" w:hAnsi="宋体" w:cs="宋体" w:eastAsia="宋体" w:hint="default"/>
          <w:sz w:val="18"/>
          <w:szCs w:val="18"/>
        </w:rPr>
        <w:t>、截至本承诺函出具日， 迪科远望及其下属公司资产权属清晰，迪科远望及其下属公司合 法所有和</w:t>
      </w:r>
      <w:r>
        <w:rPr>
          <w:rFonts w:ascii="Times New Roman" w:hAnsi="Times New Roman" w:cs="Times New Roman" w:eastAsia="Times New Roman" w:hint="default"/>
          <w:sz w:val="18"/>
          <w:szCs w:val="18"/>
        </w:rPr>
        <w:t>/</w:t>
      </w:r>
      <w:r>
        <w:rPr>
          <w:rFonts w:ascii="宋体" w:hAnsi="宋体" w:cs="宋体" w:eastAsia="宋体" w:hint="default"/>
          <w:sz w:val="18"/>
          <w:szCs w:val="18"/>
        </w:rPr>
        <w:t>或使用的财产（包括固定资产、无形资产等）不存在产 权纠纷或潜在纠纷，亦不存在被设定抵押、其他担保或第三方权 益或被司法查封、扣押、冻结或其他使该等所有权和</w:t>
      </w:r>
      <w:r>
        <w:rPr>
          <w:rFonts w:ascii="Times New Roman" w:hAnsi="Times New Roman" w:cs="Times New Roman" w:eastAsia="Times New Roman" w:hint="default"/>
          <w:sz w:val="18"/>
          <w:szCs w:val="18"/>
        </w:rPr>
        <w:t>/</w:t>
      </w:r>
      <w:r>
        <w:rPr>
          <w:rFonts w:ascii="宋体" w:hAnsi="宋体" w:cs="宋体" w:eastAsia="宋体" w:hint="default"/>
          <w:sz w:val="18"/>
          <w:szCs w:val="18"/>
        </w:rPr>
        <w:t>或使用权的 权利行使、转让受到限制的情形；迪科远望及其下属公司目前不 存在拟进行的资产置换、资产剥离、资产出售或收购等重大资产 </w:t>
      </w:r>
      <w:r>
        <w:rPr>
          <w:rFonts w:ascii="宋体" w:hAnsi="宋体" w:cs="宋体" w:eastAsia="宋体" w:hint="default"/>
          <w:spacing w:val="-3"/>
          <w:sz w:val="18"/>
          <w:szCs w:val="18"/>
        </w:rPr>
        <w:t>变化情况。</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、迪科远望及其下属公司的董事、监事、高级管理人</w:t>
      </w:r>
      <w:r>
        <w:rPr>
          <w:rFonts w:ascii="宋体" w:hAnsi="宋体" w:cs="宋体" w:eastAsia="宋体" w:hint="default"/>
          <w:sz w:val="18"/>
          <w:szCs w:val="18"/>
        </w:rPr>
        <w:t> 员在最近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年内未受过行政处罚（与证券市场明显无关的除外）、</w:t>
      </w:r>
      <w:r>
        <w:rPr>
          <w:rFonts w:ascii="宋体" w:hAnsi="宋体" w:cs="宋体" w:eastAsia="宋体" w:hint="default"/>
          <w:sz w:val="18"/>
          <w:szCs w:val="18"/>
        </w:rPr>
        <w:t> 刑事处罚，未涉及与经济纠纷有关的重大民事诉讼或仲裁，不存 在尚未了结的或可预见的重大诉讼、仲裁或行政处罚案件，不存 在任何其他根据相关法律法规或公司章程不能担任公司董事、监 </w:t>
      </w:r>
      <w:r>
        <w:rPr>
          <w:rFonts w:ascii="宋体" w:hAnsi="宋体" w:cs="宋体" w:eastAsia="宋体" w:hint="default"/>
          <w:spacing w:val="-3"/>
          <w:sz w:val="18"/>
          <w:szCs w:val="18"/>
        </w:rPr>
        <w:t>事、高级管理人员的情形。</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、截至本承诺函出具日，迪科远望及</w:t>
      </w:r>
      <w:r>
        <w:rPr>
          <w:rFonts w:ascii="宋体" w:hAnsi="宋体" w:cs="宋体" w:eastAsia="宋体" w:hint="default"/>
          <w:sz w:val="18"/>
          <w:szCs w:val="18"/>
        </w:rPr>
        <w:t> 其下属公司不存在任何形式对外担保情形， 不存在影响持续经营的担保、诉讼以及仲裁等重大或有事项。</w:t>
      </w:r>
      <w:r>
        <w:rPr>
          <w:rFonts w:ascii="Times New Roman" w:hAnsi="Times New Roman" w:cs="Times New Roman" w:eastAsia="Times New Roman" w:hint="default"/>
          <w:sz w:val="18"/>
          <w:szCs w:val="18"/>
        </w:rPr>
        <w:t>5</w:t>
      </w:r>
      <w:r>
        <w:rPr>
          <w:rFonts w:ascii="宋体" w:hAnsi="宋体" w:cs="宋体" w:eastAsia="宋体" w:hint="default"/>
          <w:sz w:val="18"/>
          <w:szCs w:val="18"/>
        </w:rPr>
        <w:t>、 迪科远望及其下属公司的业务独立于控股股东、实际控制人及其 控制的其他企业，与控股股东、实际控制人及其控制的其他企业 间不存在同业竞争，以及严重影响迪科远望及下属公司独立性或 </w:t>
      </w:r>
      <w:r>
        <w:rPr>
          <w:rFonts w:ascii="宋体" w:hAnsi="宋体" w:cs="宋体" w:eastAsia="宋体" w:hint="default"/>
          <w:spacing w:val="-3"/>
          <w:sz w:val="18"/>
          <w:szCs w:val="18"/>
        </w:rPr>
        <w:t>显失公允的关联交易。</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、截至本承诺函出具日，迪科远望及下属</w:t>
      </w:r>
      <w:r>
        <w:rPr>
          <w:rFonts w:ascii="宋体" w:hAnsi="宋体" w:cs="宋体" w:eastAsia="宋体" w:hint="default"/>
          <w:sz w:val="18"/>
          <w:szCs w:val="18"/>
        </w:rPr>
        <w:t> 公司不存在为控股股东、实际控制人、其他股东、董事、监事、 高级管理人员及其控制的其他企业进行违规担保的情形，不存在 资金或资产被控股股东、实际控制人、其他股东、董事、监事、 高级管理人员及其控制的其他企业以借款、代偿债务、代垫款项 </w:t>
      </w:r>
      <w:r>
        <w:rPr>
          <w:rFonts w:ascii="宋体" w:hAnsi="宋体" w:cs="宋体" w:eastAsia="宋体" w:hint="default"/>
          <w:spacing w:val="-3"/>
          <w:sz w:val="18"/>
          <w:szCs w:val="18"/>
        </w:rPr>
        <w:t>或者其他方式占用的情形。</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、承诺人做出的上述承诺以及承诺人</w:t>
      </w:r>
      <w:r>
        <w:rPr>
          <w:rFonts w:ascii="宋体" w:hAnsi="宋体" w:cs="宋体" w:eastAsia="宋体" w:hint="default"/>
          <w:sz w:val="18"/>
          <w:szCs w:val="18"/>
        </w:rPr>
        <w:t> 在与迪科远望及其他股东、新开普共同签署的《新开普电子股份 有限公司发行股份及支付现金购买资产协议》中做出的关于迪科 远望及其下属公司的相关声明、承诺和保证真实、准确、完整，</w:t>
      </w:r>
    </w:p>
    <w:p>
      <w:pPr>
        <w:spacing w:after="0" w:line="312" w:lineRule="auto"/>
        <w:jc w:val="left"/>
        <w:rPr>
          <w:rFonts w:ascii="宋体" w:hAnsi="宋体" w:cs="宋体" w:eastAsia="宋体" w:hint="default"/>
          <w:sz w:val="18"/>
          <w:szCs w:val="18"/>
        </w:rPr>
        <w:sectPr>
          <w:pgSz w:w="16840" w:h="11910" w:orient="landscape"/>
          <w:pgMar w:header="867" w:footer="978" w:top="1060" w:bottom="1160" w:left="1300" w:right="1300"/>
        </w:sectPr>
      </w:pPr>
    </w:p>
    <w:p>
      <w:pPr>
        <w:spacing w:line="240" w:lineRule="auto" w:before="4"/>
        <w:rPr>
          <w:rFonts w:ascii="Times New Roman" w:hAnsi="Times New Roman" w:cs="Times New Roman" w:eastAsia="Times New Roman" w:hint="default"/>
          <w:sz w:val="3"/>
          <w:szCs w:val="3"/>
        </w:rPr>
      </w:pPr>
      <w:r>
        <w:rPr/>
        <w:pict>
          <v:shape style="position:absolute;margin-left:510.170502pt;margin-top:57.18pt;width:107.35pt;height:468pt;mso-position-horizontal-relative:page;mso-position-vertical-relative:page;z-index:-11684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40"/>
                    <w:ind w:left="0" w:right="0" w:firstLine="0"/>
                    <w:jc w:val="left"/>
                    <w:rPr>
                      <w:rFonts w:ascii="宋体" w:hAnsi="宋体" w:cs="宋体" w:eastAsia="宋体" w:hint="default"/>
                      <w:sz w:val="18"/>
                      <w:szCs w:val="18"/>
                    </w:rPr>
                  </w:pPr>
                  <w:r>
                    <w:rPr>
                      <w:rFonts w:ascii="宋体" w:hAnsi="宋体" w:cs="宋体" w:eastAsia="宋体" w:hint="default"/>
                      <w:sz w:val="18"/>
                      <w:szCs w:val="18"/>
                    </w:rPr>
                    <w:t>承诺人承诺，</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承诺人承诺，</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2127"/>
        <w:gridCol w:w="1417"/>
        <w:gridCol w:w="1134"/>
        <w:gridCol w:w="5104"/>
        <w:gridCol w:w="1134"/>
        <w:gridCol w:w="1418"/>
        <w:gridCol w:w="1559"/>
      </w:tblGrid>
      <w:tr>
        <w:trPr>
          <w:trHeight w:val="331" w:hRule="exact"/>
        </w:trPr>
        <w:tc>
          <w:tcPr>
            <w:tcW w:w="2127" w:type="dxa"/>
            <w:vMerge w:val="restart"/>
            <w:tcBorders>
              <w:top w:val="single" w:sz="15" w:space="0" w:color="000000"/>
              <w:left w:val="single" w:sz="4" w:space="0" w:color="000000"/>
              <w:right w:val="single" w:sz="4" w:space="0" w:color="000000"/>
            </w:tcBorders>
            <w:shd w:val="clear" w:color="auto" w:fill="D3D3D3"/>
          </w:tcPr>
          <w:p>
            <w:pPr/>
          </w:p>
        </w:tc>
        <w:tc>
          <w:tcPr>
            <w:tcW w:w="1417" w:type="dxa"/>
            <w:vMerge w:val="restart"/>
            <w:tcBorders>
              <w:top w:val="single" w:sz="15" w:space="0" w:color="000000"/>
              <w:left w:val="single" w:sz="4" w:space="0" w:color="000000"/>
              <w:right w:val="single" w:sz="4" w:space="0" w:color="000000"/>
            </w:tcBorders>
          </w:tcPr>
          <w:p>
            <w:pPr/>
          </w:p>
        </w:tc>
        <w:tc>
          <w:tcPr>
            <w:tcW w:w="1134" w:type="dxa"/>
            <w:vMerge w:val="restart"/>
            <w:tcBorders>
              <w:top w:val="single" w:sz="15" w:space="0" w:color="000000"/>
              <w:left w:val="single" w:sz="4" w:space="0" w:color="000000"/>
              <w:right w:val="single" w:sz="4" w:space="0" w:color="000000"/>
            </w:tcBorders>
          </w:tcPr>
          <w:p>
            <w:pPr/>
          </w:p>
        </w:tc>
        <w:tc>
          <w:tcPr>
            <w:tcW w:w="5104"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不存在重大遗漏或误导性陈述；如前述承诺事项与实际情况不相</w:t>
            </w:r>
          </w:p>
        </w:tc>
        <w:tc>
          <w:tcPr>
            <w:tcW w:w="1134" w:type="dxa"/>
            <w:vMerge w:val="restart"/>
            <w:tcBorders>
              <w:top w:val="single" w:sz="15" w:space="0" w:color="000000"/>
              <w:left w:val="single" w:sz="4" w:space="0" w:color="000000"/>
              <w:right w:val="single" w:sz="4" w:space="0" w:color="000000"/>
            </w:tcBorders>
          </w:tcPr>
          <w:p>
            <w:pPr>
              <w:pStyle w:val="TableParagraph"/>
              <w:spacing w:line="936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6"/>
                <w:sz w:val="20"/>
                <w:szCs w:val="20"/>
              </w:rPr>
              <w:pict>
                <v:group style="width:56.25pt;height:468pt;mso-position-horizontal-relative:char;mso-position-vertical-relative:line" coordorigin="0,0" coordsize="1125,9360">
                  <v:group style="position:absolute;left:0;top:0;width:1125;height:9360" coordorigin="0,0" coordsize="1125,9360">
                    <v:shape style="position:absolute;left:0;top:0;width:1125;height:9360" coordorigin="0,0" coordsize="1125,9360" path="m0,0l0,9360,1124,9360,1124,0,0,0xe" filled="true" fillcolor="#ffffff" stroked="false">
                      <v:path arrowok="t"/>
                      <v:fill type="solid"/>
                    </v:shape>
                  </v:group>
                </v:group>
              </w:pict>
            </w:r>
            <w:r>
              <w:rPr>
                <w:rFonts w:ascii="Times New Roman" w:hAnsi="Times New Roman" w:cs="Times New Roman" w:eastAsia="Times New Roman" w:hint="default"/>
                <w:position w:val="-186"/>
                <w:sz w:val="20"/>
                <w:szCs w:val="20"/>
              </w:rPr>
            </w:r>
          </w:p>
        </w:tc>
        <w:tc>
          <w:tcPr>
            <w:tcW w:w="1418" w:type="dxa"/>
            <w:vMerge w:val="restart"/>
            <w:tcBorders>
              <w:top w:val="single" w:sz="15" w:space="0" w:color="000000"/>
              <w:left w:val="single" w:sz="4" w:space="0" w:color="000000"/>
              <w:right w:val="single" w:sz="4" w:space="0" w:color="000000"/>
            </w:tcBorders>
          </w:tcPr>
          <w:p>
            <w:pPr/>
          </w:p>
        </w:tc>
        <w:tc>
          <w:tcPr>
            <w:tcW w:w="1559" w:type="dxa"/>
            <w:vMerge w:val="restart"/>
            <w:tcBorders>
              <w:top w:val="single" w:sz="15" w:space="0" w:color="000000"/>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符对新开普造成损失的，本人将以除持有的迪科远望股份以外的</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其他合法财产对新开普承担赔偿责任；如该等损失由迪科远望先</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行承担</w:t>
            </w:r>
            <w:r>
              <w:rPr>
                <w:rFonts w:ascii="宋体" w:hAnsi="宋体" w:cs="宋体" w:eastAsia="宋体" w:hint="default"/>
                <w:spacing w:val="-83"/>
                <w:sz w:val="18"/>
                <w:szCs w:val="18"/>
              </w:rPr>
              <w:t>，</w:t>
            </w:r>
            <w:r>
              <w:rPr>
                <w:rFonts w:ascii="宋体" w:hAnsi="宋体" w:cs="宋体" w:eastAsia="宋体" w:hint="default"/>
                <w:sz w:val="18"/>
                <w:szCs w:val="18"/>
              </w:rPr>
              <w:t>承诺人应在迪科远望承担该等损失之日起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内</w:t>
            </w:r>
            <w:r>
              <w:rPr>
                <w:rFonts w:ascii="宋体" w:hAnsi="宋体" w:cs="宋体" w:eastAsia="宋体" w:hint="default"/>
                <w:sz w:val="18"/>
                <w:szCs w:val="18"/>
              </w:rPr>
              <w:t>以除迪</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科远望股份以外的其他合法财产，按照本承诺函签署日承诺人各</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自持有的迪科远望股份比例对迪科远望承担全部补偿责任。</w:t>
            </w:r>
            <w:r>
              <w:rPr>
                <w:rFonts w:ascii="Times New Roman" w:hAnsi="Times New Roman" w:cs="Times New Roman" w:eastAsia="Times New Roman" w:hint="default"/>
                <w:spacing w:val="-5"/>
                <w:sz w:val="18"/>
                <w:szCs w:val="18"/>
              </w:rPr>
              <w:t>8</w:t>
            </w:r>
            <w:r>
              <w:rPr>
                <w:rFonts w:ascii="宋体" w:hAnsi="宋体" w:cs="宋体" w:eastAsia="宋体" w:hint="default"/>
                <w:spacing w:val="-5"/>
                <w:sz w:val="18"/>
                <w:szCs w:val="18"/>
              </w:rPr>
              <w:t>、迪</w:t>
            </w:r>
            <w:r>
              <w:rPr>
                <w:rFonts w:ascii="宋体" w:hAnsi="宋体" w:cs="宋体" w:eastAsia="宋体" w:hint="default"/>
                <w:sz w:val="18"/>
                <w:szCs w:val="18"/>
              </w:rPr>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科远望在整体变更设立股份有限公司时，暂未代扣代缴相关所得</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税税款。如果今后国家有关税务主管部门就上述事项要求纳税义</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务人补缴税款及相关滞纳金或承担法律责任，承诺人愿意按照有</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关部门的要求以自有资金先行补缴并承担相应的法律责任；如有</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关部门要求迪科远望先行承担法律责任，承诺人应在迪科远望承</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担该等损失之日起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日内以除迪科远望股份以外的其他合法财</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产，按照本承诺函签署日承诺人各自持有的迪科远望股份比例对</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迪科远望承担全部补偿责任。</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、截至本承诺函出具日，迪科远望</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及其下属公司租赁的部分房屋存在瑕疵，包括所租赁房屋未取得</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所有权证，未向有关房地产管理部门办理房屋租赁登记备案手续</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等情形。根据相关法律规定，迪科远望及其下属公司的上述房屋</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租赁行为存在被相关政府主管部门予以处罚的风险。</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如因前述不规范租赁行为造成罚款、产生搬迁费用以及给迪科远</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望及其下属公司造成其他损失，承诺人应在迪科远望及其下属公</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司承担该等损失之日起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日内以除迪科远望股份以外的其他合</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法财产，按照本承诺函签署日承诺人各自持有的迪科远望股份比</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例对迪科远望承担全部补偿责任。</w:t>
            </w:r>
            <w:r>
              <w:rPr>
                <w:rFonts w:ascii="Times New Roman" w:hAnsi="Times New Roman" w:cs="Times New Roman" w:eastAsia="Times New Roman" w:hint="default"/>
                <w:sz w:val="18"/>
                <w:szCs w:val="18"/>
              </w:rPr>
              <w:t>10</w:t>
            </w:r>
            <w:r>
              <w:rPr>
                <w:rFonts w:ascii="宋体" w:hAnsi="宋体" w:cs="宋体" w:eastAsia="宋体" w:hint="default"/>
                <w:sz w:val="18"/>
                <w:szCs w:val="18"/>
              </w:rPr>
              <w:t>、截至本承诺函出具日，迪</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科远望及其下属公司不存在未依法缴纳税款的情形。</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如因交割日（交割日为迪科远望的股东变更为新开普，且办理完</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毕各项股东变更登记手续之日，下同）前迪科远望及其下属公司</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未按规定缴纳任何税款而于交割日后被要求补缴和</w:t>
            </w:r>
            <w:r>
              <w:rPr>
                <w:rFonts w:ascii="Times New Roman" w:hAnsi="Times New Roman" w:cs="Times New Roman" w:eastAsia="Times New Roman" w:hint="default"/>
                <w:sz w:val="18"/>
                <w:szCs w:val="18"/>
              </w:rPr>
              <w:t>/</w:t>
            </w:r>
            <w:r>
              <w:rPr>
                <w:rFonts w:ascii="宋体" w:hAnsi="宋体" w:cs="宋体" w:eastAsia="宋体" w:hint="default"/>
                <w:sz w:val="18"/>
                <w:szCs w:val="18"/>
              </w:rPr>
              <w:t>或承担其他</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法律责任，承诺人应就迪科远望及其下属公司的该等损失承担赔</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偿责任；如该等损失由迪科远望及其下属公司先行承担，承诺人</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8" w:hRule="exact"/>
        </w:trPr>
        <w:tc>
          <w:tcPr>
            <w:tcW w:w="2127" w:type="dxa"/>
            <w:vMerge/>
            <w:tcBorders>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51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应在迪科远望及其下属公司承担该等损失之日起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日内以除迪</w:t>
            </w:r>
          </w:p>
        </w:tc>
        <w:tc>
          <w:tcPr>
            <w:tcW w:w="1134"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20" w:right="134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127"/>
        <w:gridCol w:w="1417"/>
        <w:gridCol w:w="1134"/>
        <w:gridCol w:w="5104"/>
        <w:gridCol w:w="1134"/>
        <w:gridCol w:w="1418"/>
        <w:gridCol w:w="1559"/>
      </w:tblGrid>
      <w:tr>
        <w:trPr>
          <w:trHeight w:val="331" w:hRule="exact"/>
        </w:trPr>
        <w:tc>
          <w:tcPr>
            <w:tcW w:w="2127" w:type="dxa"/>
            <w:vMerge w:val="restart"/>
            <w:tcBorders>
              <w:top w:val="single" w:sz="15" w:space="0" w:color="000000"/>
              <w:left w:val="single" w:sz="4" w:space="0" w:color="000000"/>
              <w:right w:val="single" w:sz="4" w:space="0" w:color="000000"/>
            </w:tcBorders>
            <w:shd w:val="clear" w:color="auto" w:fill="D3D3D3"/>
          </w:tcPr>
          <w:p>
            <w:pPr/>
          </w:p>
        </w:tc>
        <w:tc>
          <w:tcPr>
            <w:tcW w:w="1417" w:type="dxa"/>
            <w:vMerge w:val="restart"/>
            <w:tcBorders>
              <w:top w:val="single" w:sz="15" w:space="0" w:color="000000"/>
              <w:left w:val="single" w:sz="4" w:space="0" w:color="000000"/>
              <w:right w:val="single" w:sz="4" w:space="0" w:color="000000"/>
            </w:tcBorders>
          </w:tcPr>
          <w:p>
            <w:pPr/>
          </w:p>
        </w:tc>
        <w:tc>
          <w:tcPr>
            <w:tcW w:w="1134" w:type="dxa"/>
            <w:vMerge w:val="restart"/>
            <w:tcBorders>
              <w:top w:val="single" w:sz="15" w:space="0" w:color="000000"/>
              <w:left w:val="single" w:sz="4" w:space="0" w:color="000000"/>
              <w:right w:val="single" w:sz="4" w:space="0" w:color="000000"/>
            </w:tcBorders>
          </w:tcPr>
          <w:p>
            <w:pPr/>
          </w:p>
        </w:tc>
        <w:tc>
          <w:tcPr>
            <w:tcW w:w="5104"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科远望股份以外的其他合法财产，按照本承诺函签署日承诺人各</w:t>
            </w:r>
          </w:p>
        </w:tc>
        <w:tc>
          <w:tcPr>
            <w:tcW w:w="1134" w:type="dxa"/>
            <w:vMerge w:val="restart"/>
            <w:tcBorders>
              <w:top w:val="single" w:sz="15" w:space="0" w:color="000000"/>
              <w:left w:val="single" w:sz="4" w:space="0" w:color="000000"/>
              <w:right w:val="single" w:sz="4" w:space="0" w:color="000000"/>
            </w:tcBorders>
          </w:tcPr>
          <w:p>
            <w:pPr/>
          </w:p>
        </w:tc>
        <w:tc>
          <w:tcPr>
            <w:tcW w:w="1418" w:type="dxa"/>
            <w:vMerge w:val="restart"/>
            <w:tcBorders>
              <w:top w:val="single" w:sz="15" w:space="0" w:color="000000"/>
              <w:left w:val="single" w:sz="4" w:space="0" w:color="000000"/>
              <w:right w:val="single" w:sz="4" w:space="0" w:color="000000"/>
            </w:tcBorders>
          </w:tcPr>
          <w:p>
            <w:pPr/>
          </w:p>
        </w:tc>
        <w:tc>
          <w:tcPr>
            <w:tcW w:w="1559" w:type="dxa"/>
            <w:vMerge w:val="restart"/>
            <w:tcBorders>
              <w:top w:val="single" w:sz="15" w:space="0" w:color="000000"/>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
              <w:jc w:val="center"/>
              <w:rPr>
                <w:rFonts w:ascii="宋体" w:hAnsi="宋体" w:cs="宋体" w:eastAsia="宋体" w:hint="default"/>
                <w:sz w:val="18"/>
                <w:szCs w:val="18"/>
              </w:rPr>
            </w:pPr>
            <w:r>
              <w:rPr>
                <w:rFonts w:ascii="宋体" w:hAnsi="宋体" w:cs="宋体" w:eastAsia="宋体" w:hint="default"/>
                <w:sz w:val="18"/>
                <w:szCs w:val="18"/>
              </w:rPr>
              <w:t>自持有的迪科远望股份比例对迪科远望承担全部补偿责任。</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5"/>
              <w:jc w:val="center"/>
              <w:rPr>
                <w:rFonts w:ascii="宋体" w:hAnsi="宋体" w:cs="宋体" w:eastAsia="宋体" w:hint="default"/>
                <w:sz w:val="18"/>
                <w:szCs w:val="18"/>
              </w:rPr>
            </w:pPr>
            <w:r>
              <w:rPr>
                <w:rFonts w:ascii="宋体" w:hAnsi="宋体" w:cs="宋体" w:eastAsia="宋体" w:hint="default"/>
                <w:sz w:val="18"/>
                <w:szCs w:val="18"/>
              </w:rPr>
              <w:t>截至本承诺函出具日，迪科远望及其下属公司不存在未依法缴纳</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的社会保险费，如迪科远望及其下属公司因在交割日前未依法为</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员工缴纳社会保险费而在交割日后受到任何处罚、追索、索赔或</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受到任何损失（包括但不限于依法需为员工补缴的社会保险费及</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43"/>
              <w:jc w:val="center"/>
              <w:rPr>
                <w:rFonts w:ascii="宋体" w:hAnsi="宋体" w:cs="宋体" w:eastAsia="宋体" w:hint="default"/>
                <w:sz w:val="18"/>
                <w:szCs w:val="18"/>
              </w:rPr>
            </w:pPr>
            <w:r>
              <w:rPr>
                <w:rFonts w:ascii="宋体" w:hAnsi="宋体" w:cs="宋体" w:eastAsia="宋体" w:hint="default"/>
                <w:sz w:val="18"/>
                <w:szCs w:val="18"/>
              </w:rPr>
              <w:t>任何滞纳金、罚款、损害赔偿金和</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或承担其他法律责任等</w:t>
            </w:r>
            <w:r>
              <w:rPr>
                <w:rFonts w:ascii="宋体" w:hAnsi="宋体" w:cs="宋体" w:eastAsia="宋体" w:hint="default"/>
                <w:spacing w:val="-90"/>
                <w:sz w:val="18"/>
                <w:szCs w:val="18"/>
              </w:rPr>
              <w:t>）</w:t>
            </w:r>
            <w:r>
              <w:rPr>
                <w:rFonts w:ascii="宋体" w:hAnsi="宋体" w:cs="宋体" w:eastAsia="宋体" w:hint="default"/>
                <w:sz w:val="18"/>
                <w:szCs w:val="18"/>
              </w:rPr>
              <w:t>，承</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5"/>
              <w:jc w:val="center"/>
              <w:rPr>
                <w:rFonts w:ascii="宋体" w:hAnsi="宋体" w:cs="宋体" w:eastAsia="宋体" w:hint="default"/>
                <w:sz w:val="18"/>
                <w:szCs w:val="18"/>
              </w:rPr>
            </w:pPr>
            <w:r>
              <w:rPr>
                <w:rFonts w:ascii="宋体" w:hAnsi="宋体" w:cs="宋体" w:eastAsia="宋体" w:hint="default"/>
                <w:sz w:val="18"/>
                <w:szCs w:val="18"/>
              </w:rPr>
              <w:t>诺人应就迪科远望及其下属公司的该等损失承担赔偿责任；如该</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等损失由迪科远望及其下属公司先行承担，承诺人应在迪科远望</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5"/>
              <w:jc w:val="center"/>
              <w:rPr>
                <w:rFonts w:ascii="宋体" w:hAnsi="宋体" w:cs="宋体" w:eastAsia="宋体" w:hint="default"/>
                <w:sz w:val="18"/>
                <w:szCs w:val="18"/>
              </w:rPr>
            </w:pPr>
            <w:r>
              <w:rPr>
                <w:rFonts w:ascii="宋体" w:hAnsi="宋体" w:cs="宋体" w:eastAsia="宋体" w:hint="default"/>
                <w:sz w:val="18"/>
                <w:szCs w:val="18"/>
              </w:rPr>
              <w:t>及其下属公司承担该等损失之日起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日内以除迪科远望股份以</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5"/>
              <w:jc w:val="center"/>
              <w:rPr>
                <w:rFonts w:ascii="宋体" w:hAnsi="宋体" w:cs="宋体" w:eastAsia="宋体" w:hint="default"/>
                <w:sz w:val="18"/>
                <w:szCs w:val="18"/>
              </w:rPr>
            </w:pPr>
            <w:r>
              <w:rPr>
                <w:rFonts w:ascii="宋体" w:hAnsi="宋体" w:cs="宋体" w:eastAsia="宋体" w:hint="default"/>
                <w:sz w:val="18"/>
                <w:szCs w:val="18"/>
              </w:rPr>
              <w:t>外的其他合法财产，按照本承诺函签署日承诺人各自持有的迪科</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远望股份比例对迪科远望及其下属公司承担全部补偿责任。</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自迪科远望及其下属公司设立至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83"/>
                <w:sz w:val="18"/>
                <w:szCs w:val="18"/>
              </w:rPr>
              <w:t>，</w:t>
            </w:r>
            <w:r>
              <w:rPr>
                <w:rFonts w:ascii="宋体" w:hAnsi="宋体" w:cs="宋体" w:eastAsia="宋体" w:hint="default"/>
                <w:sz w:val="18"/>
                <w:szCs w:val="18"/>
              </w:rPr>
              <w:t>迪</w:t>
            </w:r>
            <w:r>
              <w:rPr>
                <w:rFonts w:ascii="宋体" w:hAnsi="宋体" w:cs="宋体" w:eastAsia="宋体" w:hint="default"/>
                <w:spacing w:val="1"/>
                <w:sz w:val="18"/>
                <w:szCs w:val="18"/>
              </w:rPr>
              <w:t>科</w:t>
            </w:r>
            <w:r>
              <w:rPr>
                <w:rFonts w:ascii="宋体" w:hAnsi="宋体" w:cs="宋体" w:eastAsia="宋体" w:hint="default"/>
                <w:sz w:val="18"/>
                <w:szCs w:val="18"/>
              </w:rPr>
              <w:t>远望及</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5"/>
              <w:jc w:val="center"/>
              <w:rPr>
                <w:rFonts w:ascii="宋体" w:hAnsi="宋体" w:cs="宋体" w:eastAsia="宋体" w:hint="default"/>
                <w:sz w:val="18"/>
                <w:szCs w:val="18"/>
              </w:rPr>
            </w:pPr>
            <w:r>
              <w:rPr>
                <w:rFonts w:ascii="宋体" w:hAnsi="宋体" w:cs="宋体" w:eastAsia="宋体" w:hint="default"/>
                <w:sz w:val="18"/>
                <w:szCs w:val="18"/>
              </w:rPr>
              <w:t>其下属公司存在未依法为员工缴纳住房公积金的情形，如迪科远</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望及其下属公司因在交割日前未依法为员工缴纳住房公积金而在</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交割日后受到任何处罚、追索、索赔或受到任何损失（包括但不</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限于依法需为员工补缴的住房公积金及任何滞纳金、罚款、损害</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43"/>
              <w:jc w:val="center"/>
              <w:rPr>
                <w:rFonts w:ascii="宋体" w:hAnsi="宋体" w:cs="宋体" w:eastAsia="宋体" w:hint="default"/>
                <w:sz w:val="18"/>
                <w:szCs w:val="18"/>
              </w:rPr>
            </w:pPr>
            <w:r>
              <w:rPr>
                <w:rFonts w:ascii="宋体" w:hAnsi="宋体" w:cs="宋体" w:eastAsia="宋体" w:hint="default"/>
                <w:sz w:val="18"/>
                <w:szCs w:val="18"/>
              </w:rPr>
              <w:t>赔偿金和</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或承担其他法律责任等</w:t>
            </w:r>
            <w:r>
              <w:rPr>
                <w:rFonts w:ascii="宋体" w:hAnsi="宋体" w:cs="宋体" w:eastAsia="宋体" w:hint="default"/>
                <w:spacing w:val="-90"/>
                <w:sz w:val="18"/>
                <w:szCs w:val="18"/>
              </w:rPr>
              <w:t>）</w:t>
            </w:r>
            <w:r>
              <w:rPr>
                <w:rFonts w:ascii="宋体" w:hAnsi="宋体" w:cs="宋体" w:eastAsia="宋体" w:hint="default"/>
                <w:sz w:val="18"/>
                <w:szCs w:val="18"/>
              </w:rPr>
              <w:t>，承诺人应就迪科远望及其下</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5"/>
              <w:jc w:val="center"/>
              <w:rPr>
                <w:rFonts w:ascii="宋体" w:hAnsi="宋体" w:cs="宋体" w:eastAsia="宋体" w:hint="default"/>
                <w:sz w:val="18"/>
                <w:szCs w:val="18"/>
              </w:rPr>
            </w:pPr>
            <w:r>
              <w:rPr>
                <w:rFonts w:ascii="宋体" w:hAnsi="宋体" w:cs="宋体" w:eastAsia="宋体" w:hint="default"/>
                <w:sz w:val="18"/>
                <w:szCs w:val="18"/>
              </w:rPr>
              <w:t>属公司的该等损失承担赔偿责任；如该等损失由迪科远望及其下</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属公司先行承担，承诺人应在迪科远望及其下属公司承担该等损</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失之日起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内以除迪科远望股份以外的其他合法财产</w:t>
            </w:r>
            <w:r>
              <w:rPr>
                <w:rFonts w:ascii="宋体" w:hAnsi="宋体" w:cs="宋体" w:eastAsia="宋体" w:hint="default"/>
                <w:spacing w:val="-83"/>
                <w:sz w:val="18"/>
                <w:szCs w:val="18"/>
              </w:rPr>
              <w:t>，</w:t>
            </w:r>
            <w:r>
              <w:rPr>
                <w:rFonts w:ascii="宋体" w:hAnsi="宋体" w:cs="宋体" w:eastAsia="宋体" w:hint="default"/>
                <w:sz w:val="18"/>
                <w:szCs w:val="18"/>
              </w:rPr>
              <w:t>按照本</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5"/>
              <w:jc w:val="center"/>
              <w:rPr>
                <w:rFonts w:ascii="宋体" w:hAnsi="宋体" w:cs="宋体" w:eastAsia="宋体" w:hint="default"/>
                <w:sz w:val="18"/>
                <w:szCs w:val="18"/>
              </w:rPr>
            </w:pPr>
            <w:r>
              <w:rPr>
                <w:rFonts w:ascii="宋体" w:hAnsi="宋体" w:cs="宋体" w:eastAsia="宋体" w:hint="default"/>
                <w:sz w:val="18"/>
                <w:szCs w:val="18"/>
              </w:rPr>
              <w:t>承诺函签署日承诺人各自持有的迪科远望股份比例对迪科远望及</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其下属公司承担全部补偿责任。</w:t>
            </w:r>
            <w:r>
              <w:rPr>
                <w:rFonts w:ascii="Times New Roman" w:hAnsi="Times New Roman" w:cs="Times New Roman" w:eastAsia="Times New Roman" w:hint="default"/>
                <w:sz w:val="18"/>
                <w:szCs w:val="18"/>
              </w:rPr>
              <w:t>13</w:t>
            </w:r>
            <w:r>
              <w:rPr>
                <w:rFonts w:ascii="宋体" w:hAnsi="宋体" w:cs="宋体" w:eastAsia="宋体" w:hint="default"/>
                <w:sz w:val="18"/>
                <w:szCs w:val="18"/>
              </w:rPr>
              <w:t>、承诺人承诺，除迪科远望及</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5"/>
              <w:jc w:val="center"/>
              <w:rPr>
                <w:rFonts w:ascii="宋体" w:hAnsi="宋体" w:cs="宋体" w:eastAsia="宋体" w:hint="default"/>
                <w:sz w:val="18"/>
                <w:szCs w:val="18"/>
              </w:rPr>
            </w:pPr>
            <w:r>
              <w:rPr>
                <w:rFonts w:ascii="宋体" w:hAnsi="宋体" w:cs="宋体" w:eastAsia="宋体" w:hint="default"/>
                <w:sz w:val="18"/>
                <w:szCs w:val="18"/>
              </w:rPr>
              <w:t>承诺人在交割日前已经向新开普披露的处罚、索赔或受到的任何</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损失外，迪科远望及其下属公司因交割日前发生或存在的任何行</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为、状态或情形而在交割日后受到任何处罚、追索、索赔或受到</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任何损失，承诺人应就迪科远望及其下属公司的该等损失承担赔</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偿责任；如该等损失由迪科远望及其下属公司先行承担，承诺人</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5"/>
              <w:jc w:val="center"/>
              <w:rPr>
                <w:rFonts w:ascii="宋体" w:hAnsi="宋体" w:cs="宋体" w:eastAsia="宋体" w:hint="default"/>
                <w:sz w:val="18"/>
                <w:szCs w:val="18"/>
              </w:rPr>
            </w:pPr>
            <w:r>
              <w:rPr>
                <w:rFonts w:ascii="宋体" w:hAnsi="宋体" w:cs="宋体" w:eastAsia="宋体" w:hint="default"/>
                <w:sz w:val="18"/>
                <w:szCs w:val="18"/>
              </w:rPr>
              <w:t>应在迪科远望及其下属公司承担该等损失之日起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日内以除迪</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3" w:hRule="exact"/>
        </w:trPr>
        <w:tc>
          <w:tcPr>
            <w:tcW w:w="2127" w:type="dxa"/>
            <w:vMerge/>
            <w:tcBorders>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51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5"/>
              <w:jc w:val="center"/>
              <w:rPr>
                <w:rFonts w:ascii="宋体" w:hAnsi="宋体" w:cs="宋体" w:eastAsia="宋体" w:hint="default"/>
                <w:sz w:val="18"/>
                <w:szCs w:val="18"/>
              </w:rPr>
            </w:pPr>
            <w:r>
              <w:rPr>
                <w:rFonts w:ascii="宋体" w:hAnsi="宋体" w:cs="宋体" w:eastAsia="宋体" w:hint="default"/>
                <w:sz w:val="18"/>
                <w:szCs w:val="18"/>
              </w:rPr>
              <w:t>科远望股份以外的其他合法财产，按照本承诺函签署日承诺人各</w:t>
            </w:r>
          </w:p>
        </w:tc>
        <w:tc>
          <w:tcPr>
            <w:tcW w:w="1134"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20" w:right="1340"/>
        </w:sectPr>
      </w:pPr>
    </w:p>
    <w:p>
      <w:pPr>
        <w:spacing w:line="240" w:lineRule="auto" w:before="4"/>
        <w:rPr>
          <w:rFonts w:ascii="Times New Roman" w:hAnsi="Times New Roman" w:cs="Times New Roman" w:eastAsia="Times New Roman" w:hint="default"/>
          <w:sz w:val="3"/>
          <w:szCs w:val="3"/>
        </w:rPr>
      </w:pPr>
      <w:r>
        <w:rPr/>
        <w:pict>
          <v:shape style="position:absolute;margin-left:411.170502pt;margin-top:90.900002pt;width:206.35pt;height:269.25pt;mso-position-horizontal-relative:page;mso-position-vertical-relative:page;z-index:-11684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销售列入目录的产品而受到任何处罚、</w:t>
                  </w:r>
                </w:p>
              </w:txbxContent>
            </v:textbox>
            <w10:wrap type="none"/>
          </v:shape>
        </w:pict>
      </w:r>
      <w:r>
        <w:rPr/>
        <w:pict>
          <v:shape style="position:absolute;margin-left:510.171417pt;margin-top:360.600006pt;width:107.35pt;height:173.6pt;mso-position-horizontal-relative:page;mso-position-vertical-relative:page;z-index:-11684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2"/>
                      <w:szCs w:val="22"/>
                    </w:rPr>
                  </w:pPr>
                </w:p>
                <w:p>
                  <w:pPr>
                    <w:spacing w:before="0"/>
                    <w:ind w:left="180" w:right="0" w:hanging="180"/>
                    <w:jc w:val="left"/>
                    <w:rPr>
                      <w:rFonts w:ascii="宋体" w:hAnsi="宋体" w:cs="宋体" w:eastAsia="宋体" w:hint="default"/>
                      <w:sz w:val="18"/>
                      <w:szCs w:val="18"/>
                    </w:rPr>
                  </w:pPr>
                  <w:r>
                    <w:rPr>
                      <w:rFonts w:ascii="宋体" w:hAnsi="宋体" w:cs="宋体" w:eastAsia="宋体" w:hint="default"/>
                      <w:sz w:val="18"/>
                      <w:szCs w:val="18"/>
                    </w:rPr>
                    <w:t>现有的业务、</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6"/>
                      <w:szCs w:val="16"/>
                    </w:rPr>
                  </w:pPr>
                </w:p>
                <w:p>
                  <w:pPr>
                    <w:spacing w:before="0"/>
                    <w:ind w:left="180" w:right="0" w:firstLine="0"/>
                    <w:jc w:val="left"/>
                    <w:rPr>
                      <w:rFonts w:ascii="宋体" w:hAnsi="宋体" w:cs="宋体" w:eastAsia="宋体" w:hint="default"/>
                      <w:sz w:val="18"/>
                      <w:szCs w:val="18"/>
                    </w:rPr>
                  </w:pPr>
                  <w:r>
                    <w:rPr>
                      <w:rFonts w:ascii="宋体" w:hAnsi="宋体" w:cs="宋体" w:eastAsia="宋体" w:hint="default"/>
                      <w:sz w:val="18"/>
                      <w:szCs w:val="18"/>
                    </w:rPr>
                    <w:t>委托管理、</w:t>
                  </w:r>
                </w:p>
              </w:txbxContent>
            </v:textbox>
            <w10:wrap type="none"/>
          </v:shape>
        </w:pict>
      </w:r>
      <w:r>
        <w:rPr/>
        <w:pict>
          <v:group style="position:absolute;margin-left:561.291016pt;margin-top:90.900002pt;width:56.25pt;height:443.3pt;mso-position-horizontal-relative:page;mso-position-vertical-relative:page;z-index:-1168384" coordorigin="11226,1818" coordsize="1125,8866">
            <v:group style="position:absolute;left:11226;top:1818;width:1125;height:5385" coordorigin="11226,1818" coordsize="1125,5385">
              <v:shape style="position:absolute;left:11226;top:1818;width:1125;height:5385" coordorigin="11226,1818" coordsize="1125,5385" path="m11226,1818l11226,7202,12350,7202,12350,1818,11226,1818xe" filled="true" fillcolor="#ffffff" stroked="false">
                <v:path arrowok="t"/>
                <v:fill type="solid"/>
              </v:shape>
            </v:group>
            <v:group style="position:absolute;left:11249;top:4158;width:1078;height:352" coordorigin="11249,4158" coordsize="1078,352">
              <v:shape style="position:absolute;left:11249;top:4158;width:1078;height:352" coordorigin="11249,4158" coordsize="1078,352" path="m11249,4158l11249,4510,12326,4510,12326,4158,11249,4158xe" filled="true" fillcolor="#ffffff" stroked="false">
                <v:path arrowok="t"/>
                <v:fill type="solid"/>
              </v:shape>
            </v:group>
            <v:group style="position:absolute;left:11249;top:4510;width:1078;height:353" coordorigin="11249,4510" coordsize="1078,353">
              <v:shape style="position:absolute;left:11249;top:4510;width:1078;height:353" coordorigin="11249,4510" coordsize="1078,353" path="m11249,4510l11249,4862,12326,4862,12326,4510,11249,4510xe" filled="true" fillcolor="#ffffff" stroked="false">
                <v:path arrowok="t"/>
                <v:fill type="solid"/>
              </v:shape>
            </v:group>
            <v:group style="position:absolute;left:11226;top:7212;width:1125;height:3472" coordorigin="11226,7212" coordsize="1125,3472">
              <v:shape style="position:absolute;left:11226;top:7212;width:1125;height:3472" coordorigin="11226,7212" coordsize="1125,3472" path="m11226,7212l11226,10684,12350,10684,12350,7212,11226,7212xe" filled="true" fillcolor="#ffffff" stroked="false">
                <v:path arrowok="t"/>
                <v:fill type="solid"/>
              </v:shape>
            </v:group>
            <v:group style="position:absolute;left:11249;top:8596;width:1078;height:353" coordorigin="11249,8596" coordsize="1078,353">
              <v:shape style="position:absolute;left:11249;top:8596;width:1078;height:353" coordorigin="11249,8596" coordsize="1078,353" path="m11249,8596l11249,8948,12326,8948,12326,8596,11249,8596xe" filled="true" fillcolor="#ffffff" stroked="false">
                <v:path arrowok="t"/>
                <v:fill type="solid"/>
              </v:shape>
            </v:group>
            <v:group style="position:absolute;left:11249;top:8948;width:1078;height:352" coordorigin="11249,8948" coordsize="1078,352">
              <v:shape style="position:absolute;left:11249;top:8948;width:1078;height:352" coordorigin="11249,8948" coordsize="1078,352" path="m11249,8948l11249,9300,12326,9300,12326,8948,11249,8948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2127"/>
        <w:gridCol w:w="1417"/>
        <w:gridCol w:w="1134"/>
        <w:gridCol w:w="5104"/>
        <w:gridCol w:w="1134"/>
        <w:gridCol w:w="1418"/>
        <w:gridCol w:w="1559"/>
      </w:tblGrid>
      <w:tr>
        <w:trPr>
          <w:trHeight w:val="689" w:hRule="exact"/>
        </w:trPr>
        <w:tc>
          <w:tcPr>
            <w:tcW w:w="2127" w:type="dxa"/>
            <w:vMerge w:val="restart"/>
            <w:tcBorders>
              <w:top w:val="single" w:sz="15" w:space="0" w:color="000000"/>
              <w:left w:val="single" w:sz="4" w:space="0" w:color="000000"/>
              <w:right w:val="single" w:sz="4" w:space="0" w:color="000000"/>
            </w:tcBorders>
            <w:shd w:val="clear" w:color="auto" w:fill="D3D3D3"/>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5104"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3" w:right="29"/>
              <w:jc w:val="left"/>
              <w:rPr>
                <w:rFonts w:ascii="宋体" w:hAnsi="宋体" w:cs="宋体" w:eastAsia="宋体" w:hint="default"/>
                <w:sz w:val="18"/>
                <w:szCs w:val="18"/>
              </w:rPr>
            </w:pPr>
            <w:r>
              <w:rPr>
                <w:rFonts w:ascii="宋体" w:hAnsi="宋体" w:cs="宋体" w:eastAsia="宋体" w:hint="default"/>
                <w:sz w:val="18"/>
                <w:szCs w:val="18"/>
              </w:rPr>
              <w:t>自持有的迪科远望股份比例对迪科远望及其下属公司承担全部补 偿责任。</w:t>
            </w:r>
          </w:p>
        </w:tc>
        <w:tc>
          <w:tcPr>
            <w:tcW w:w="1134"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1559" w:type="dxa"/>
            <w:tcBorders>
              <w:top w:val="single" w:sz="15" w:space="0" w:color="000000"/>
              <w:left w:val="single" w:sz="4" w:space="0" w:color="000000"/>
              <w:bottom w:val="single" w:sz="4" w:space="0" w:color="000000"/>
              <w:right w:val="single" w:sz="4" w:space="0" w:color="000000"/>
            </w:tcBorders>
          </w:tcPr>
          <w:p>
            <w:pPr/>
          </w:p>
        </w:tc>
      </w:tr>
      <w:tr>
        <w:trPr>
          <w:trHeight w:val="5394" w:hRule="exact"/>
        </w:trPr>
        <w:tc>
          <w:tcPr>
            <w:tcW w:w="2127" w:type="dxa"/>
            <w:vMerge/>
            <w:tcBorders>
              <w:left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3" w:right="20"/>
              <w:jc w:val="left"/>
              <w:rPr>
                <w:rFonts w:ascii="宋体" w:hAnsi="宋体" w:cs="宋体" w:eastAsia="宋体" w:hint="default"/>
                <w:sz w:val="18"/>
                <w:szCs w:val="18"/>
              </w:rPr>
            </w:pPr>
            <w:r>
              <w:rPr>
                <w:rFonts w:ascii="宋体" w:hAnsi="宋体" w:cs="宋体" w:eastAsia="宋体" w:hint="default"/>
                <w:sz w:val="18"/>
                <w:szCs w:val="18"/>
              </w:rPr>
              <w:t>公司发行股份及 支付现金购买资 产的交易对方刘 </w:t>
            </w:r>
            <w:r>
              <w:rPr>
                <w:rFonts w:ascii="宋体" w:hAnsi="宋体" w:cs="宋体" w:eastAsia="宋体" w:hint="default"/>
                <w:spacing w:val="-10"/>
                <w:sz w:val="18"/>
                <w:szCs w:val="18"/>
              </w:rPr>
              <w:t>永春、丛伟滋、李</w:t>
            </w:r>
            <w:r>
              <w:rPr>
                <w:rFonts w:ascii="宋体" w:hAnsi="宋体" w:cs="宋体" w:eastAsia="宋体" w:hint="default"/>
                <w:sz w:val="18"/>
                <w:szCs w:val="18"/>
              </w:rPr>
              <w:t> </w:t>
            </w:r>
            <w:r>
              <w:rPr>
                <w:rFonts w:ascii="宋体" w:hAnsi="宋体" w:cs="宋体" w:eastAsia="宋体" w:hint="default"/>
                <w:spacing w:val="-10"/>
                <w:sz w:val="18"/>
                <w:szCs w:val="18"/>
              </w:rPr>
              <w:t>洪、熊小洪、白海</w:t>
            </w:r>
            <w:r>
              <w:rPr>
                <w:rFonts w:ascii="宋体" w:hAnsi="宋体" w:cs="宋体" w:eastAsia="宋体" w:hint="default"/>
                <w:sz w:val="18"/>
                <w:szCs w:val="18"/>
              </w:rPr>
              <w:t> 清、黄暂度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1"/>
              <w:jc w:val="left"/>
              <w:rPr>
                <w:rFonts w:ascii="宋体" w:hAnsi="宋体" w:cs="宋体" w:eastAsia="宋体" w:hint="default"/>
                <w:sz w:val="18"/>
                <w:szCs w:val="18"/>
              </w:rPr>
            </w:pPr>
            <w:r>
              <w:rPr>
                <w:rFonts w:ascii="宋体" w:hAnsi="宋体" w:cs="宋体" w:eastAsia="宋体" w:hint="default"/>
                <w:spacing w:val="-7"/>
                <w:sz w:val="18"/>
                <w:szCs w:val="18"/>
              </w:rPr>
              <w:t>本次交易的交易对方承诺：除</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月被江苏省连云港质量技 术监督局行政处罚外，迪科远望已分别合法取得生产经营活动所 需的全部证照、批准、批复、同意、授权和许可，且现有业务所 需的全部证照、批准、批复、同意、授权和许可均有效存在；迪 科远望不存在任何违反或超出上述证照、批准、批复、同意、授 权和许可要求的行为或者情形；迪科远望不存在任何尚未取得相 关必备证照、批准、批复、同意、授权和许可而违规开展业务的 情况。如迪科远望及其下属公司因在交割日（交割日为迪科远望 的股东变更为新开普，且办理完毕各项股东变更登记手续之日） 前未取得生产许可证生产、 追索、索赔或受到任何损失（包括但不限于依法应缴纳的任何罚 </w:t>
            </w:r>
            <w:r>
              <w:rPr>
                <w:rFonts w:ascii="宋体" w:hAnsi="宋体" w:cs="宋体" w:eastAsia="宋体" w:hint="default"/>
                <w:spacing w:val="-4"/>
                <w:w w:val="100"/>
                <w:sz w:val="18"/>
                <w:szCs w:val="18"/>
              </w:rPr>
              <w:t>款、滞纳金、违约金、损害赔偿金和</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或承担其他法律责任等），</w:t>
            </w:r>
            <w:r>
              <w:rPr>
                <w:rFonts w:ascii="宋体" w:hAnsi="宋体" w:cs="宋体" w:eastAsia="宋体" w:hint="default"/>
                <w:spacing w:val="-65"/>
                <w:w w:val="100"/>
                <w:sz w:val="18"/>
                <w:szCs w:val="18"/>
              </w:rPr>
              <w:t> </w:t>
            </w:r>
            <w:r>
              <w:rPr>
                <w:rFonts w:ascii="宋体" w:hAnsi="宋体" w:cs="宋体" w:eastAsia="宋体" w:hint="default"/>
                <w:spacing w:val="-65"/>
                <w:w w:val="100"/>
                <w:sz w:val="18"/>
                <w:szCs w:val="18"/>
              </w:rPr>
            </w:r>
            <w:r>
              <w:rPr>
                <w:rFonts w:ascii="宋体" w:hAnsi="宋体" w:cs="宋体" w:eastAsia="宋体" w:hint="default"/>
                <w:sz w:val="18"/>
                <w:szCs w:val="18"/>
              </w:rPr>
              <w:t>承诺人应就迪科远望及其下属公司的该等损失承担赔偿责任；如 该等损失由迪科远望及其下属公司先行承担，承诺人应在迪科远 望及其下属公司承担该等损失之日起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日内以除迪科远望股份 以外的其他合法财产，按照本承诺函签署日承诺人各自持有的迪 科远望股份比例对迪科远望承担全部补偿责任。</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长期有效</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84"/>
              <w:jc w:val="both"/>
              <w:rPr>
                <w:rFonts w:ascii="宋体" w:hAnsi="宋体" w:cs="宋体" w:eastAsia="宋体" w:hint="default"/>
                <w:sz w:val="18"/>
                <w:szCs w:val="18"/>
              </w:rPr>
            </w:pPr>
            <w:r>
              <w:rPr>
                <w:rFonts w:ascii="宋体" w:hAnsi="宋体" w:cs="宋体" w:eastAsia="宋体" w:hint="default"/>
                <w:sz w:val="18"/>
                <w:szCs w:val="18"/>
              </w:rPr>
              <w:t>截至报告期末，上 述承诺人严格信守 承诺，未发生违反 承诺的情况。</w:t>
            </w:r>
          </w:p>
        </w:tc>
      </w:tr>
      <w:tr>
        <w:trPr>
          <w:trHeight w:val="3482" w:hRule="exact"/>
        </w:trPr>
        <w:tc>
          <w:tcPr>
            <w:tcW w:w="2127" w:type="dxa"/>
            <w:vMerge/>
            <w:tcBorders>
              <w:left w:val="single" w:sz="4" w:space="0" w:color="000000"/>
              <w:bottom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3" w:right="20"/>
              <w:jc w:val="left"/>
              <w:rPr>
                <w:rFonts w:ascii="宋体" w:hAnsi="宋体" w:cs="宋体" w:eastAsia="宋体" w:hint="default"/>
                <w:sz w:val="18"/>
                <w:szCs w:val="18"/>
              </w:rPr>
            </w:pPr>
            <w:r>
              <w:rPr>
                <w:rFonts w:ascii="宋体" w:hAnsi="宋体" w:cs="宋体" w:eastAsia="宋体" w:hint="default"/>
                <w:sz w:val="18"/>
                <w:szCs w:val="18"/>
              </w:rPr>
              <w:t>公司发行股份及 支付现金购买资 产的交易对方刘 </w:t>
            </w:r>
            <w:r>
              <w:rPr>
                <w:rFonts w:ascii="宋体" w:hAnsi="宋体" w:cs="宋体" w:eastAsia="宋体" w:hint="default"/>
                <w:spacing w:val="-10"/>
                <w:sz w:val="18"/>
                <w:szCs w:val="18"/>
              </w:rPr>
              <w:t>永春、丛伟滋、李</w:t>
            </w:r>
            <w:r>
              <w:rPr>
                <w:rFonts w:ascii="宋体" w:hAnsi="宋体" w:cs="宋体" w:eastAsia="宋体" w:hint="default"/>
                <w:sz w:val="18"/>
                <w:szCs w:val="18"/>
              </w:rPr>
              <w:t> </w:t>
            </w:r>
            <w:r>
              <w:rPr>
                <w:rFonts w:ascii="宋体" w:hAnsi="宋体" w:cs="宋体" w:eastAsia="宋体" w:hint="default"/>
                <w:spacing w:val="-10"/>
                <w:sz w:val="18"/>
                <w:szCs w:val="18"/>
              </w:rPr>
              <w:t>洪、熊小洪、白海</w:t>
            </w:r>
            <w:r>
              <w:rPr>
                <w:rFonts w:ascii="宋体" w:hAnsi="宋体" w:cs="宋体" w:eastAsia="宋体" w:hint="default"/>
                <w:sz w:val="18"/>
                <w:szCs w:val="18"/>
              </w:rPr>
              <w:t> 清、黄暂度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3" w:right="20"/>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0"/>
              <w:jc w:val="left"/>
              <w:rPr>
                <w:rFonts w:ascii="宋体" w:hAnsi="宋体" w:cs="宋体" w:eastAsia="宋体" w:hint="default"/>
                <w:sz w:val="18"/>
                <w:szCs w:val="18"/>
              </w:rPr>
            </w:pPr>
            <w:r>
              <w:rPr>
                <w:rFonts w:ascii="宋体" w:hAnsi="宋体" w:cs="宋体" w:eastAsia="宋体" w:hint="default"/>
                <w:spacing w:val="-3"/>
                <w:sz w:val="18"/>
                <w:szCs w:val="18"/>
              </w:rPr>
              <w:t>本次交易的交易对方承诺：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、截至本承诺函出具日，除在迪科远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望及其下属企业任职并以迪科远望及其下属企业的名义开展业务 外，本人（包括本人直系亲属和配偶，下同）及本人控制的其他 公司、企业或其他经营实体（包括本人全资、控股公司及本人具 </w:t>
            </w:r>
            <w:r>
              <w:rPr>
                <w:rFonts w:ascii="宋体" w:hAnsi="宋体" w:cs="宋体" w:eastAsia="宋体" w:hint="default"/>
                <w:spacing w:val="-3"/>
                <w:sz w:val="18"/>
                <w:szCs w:val="18"/>
              </w:rPr>
              <w:t>有实际控制权的公司、企业或其他经营实体，下同）</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产品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服务与新开普、迪科远望及其下属企业正在或将要开展的业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务、产品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服务不存在竞争或潜在竞争；本人及本人控制的其他公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司、企业或其他经营实体不存在直接或通过其他任何方式（包括 </w:t>
            </w:r>
            <w:r>
              <w:rPr>
                <w:rFonts w:ascii="宋体" w:hAnsi="宋体" w:cs="宋体" w:eastAsia="宋体" w:hint="default"/>
                <w:spacing w:val="-3"/>
                <w:sz w:val="18"/>
                <w:szCs w:val="18"/>
              </w:rPr>
              <w:t>但不限于独资、合资、合作经营或者承包、租赁经营、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通过第三方经营、担任顾问等）间接从事与新开普、迪科远望及 其下属企业相同或类似业务的情形，不存在其他任何与新开普、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长期有效</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84"/>
              <w:jc w:val="both"/>
              <w:rPr>
                <w:rFonts w:ascii="宋体" w:hAnsi="宋体" w:cs="宋体" w:eastAsia="宋体" w:hint="default"/>
                <w:sz w:val="18"/>
                <w:szCs w:val="18"/>
              </w:rPr>
            </w:pPr>
            <w:r>
              <w:rPr>
                <w:rFonts w:ascii="宋体" w:hAnsi="宋体" w:cs="宋体" w:eastAsia="宋体" w:hint="default"/>
                <w:sz w:val="18"/>
                <w:szCs w:val="18"/>
              </w:rPr>
              <w:t>截至报告期末，上 述承诺人严格信守 承诺，未发生违反 承诺的情况。</w:t>
            </w:r>
          </w:p>
        </w:tc>
      </w:tr>
    </w:tbl>
    <w:p>
      <w:pPr>
        <w:spacing w:after="0" w:line="319" w:lineRule="auto"/>
        <w:jc w:val="both"/>
        <w:rPr>
          <w:rFonts w:ascii="宋体" w:hAnsi="宋体" w:cs="宋体" w:eastAsia="宋体" w:hint="default"/>
          <w:sz w:val="18"/>
          <w:szCs w:val="18"/>
        </w:rPr>
        <w:sectPr>
          <w:pgSz w:w="16840" w:h="11910" w:orient="landscape"/>
          <w:pgMar w:header="867" w:footer="978" w:top="1060" w:bottom="1160" w:left="1320" w:right="1340"/>
        </w:sectPr>
      </w:pPr>
    </w:p>
    <w:p>
      <w:pPr>
        <w:spacing w:line="240" w:lineRule="auto" w:before="4"/>
        <w:rPr>
          <w:rFonts w:ascii="Times New Roman" w:hAnsi="Times New Roman" w:cs="Times New Roman" w:eastAsia="Times New Roman" w:hint="default"/>
          <w:sz w:val="3"/>
          <w:szCs w:val="3"/>
        </w:rPr>
      </w:pPr>
      <w:r>
        <w:rPr/>
        <w:pict>
          <v:shape style="position:absolute;margin-left:411.170502pt;margin-top:57.18pt;width:206.35pt;height:468pt;mso-position-horizontal-relative:page;mso-position-vertical-relative:page;z-index:-11683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52"/>
                    <w:ind w:left="0" w:right="0" w:firstLine="0"/>
                    <w:jc w:val="left"/>
                    <w:rPr>
                      <w:rFonts w:ascii="宋体" w:hAnsi="宋体" w:cs="宋体" w:eastAsia="宋体" w:hint="default"/>
                      <w:sz w:val="18"/>
                      <w:szCs w:val="18"/>
                    </w:rPr>
                  </w:pPr>
                  <w:r>
                    <w:rPr>
                      <w:rFonts w:ascii="宋体" w:hAnsi="宋体" w:cs="宋体" w:eastAsia="宋体" w:hint="default"/>
                      <w:sz w:val="18"/>
                      <w:szCs w:val="18"/>
                    </w:rPr>
                    <w:t>迪科远望及其下属企业存在同业竞争，</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2127"/>
        <w:gridCol w:w="1417"/>
        <w:gridCol w:w="1134"/>
        <w:gridCol w:w="5104"/>
        <w:gridCol w:w="1134"/>
        <w:gridCol w:w="1418"/>
        <w:gridCol w:w="1559"/>
      </w:tblGrid>
      <w:tr>
        <w:trPr>
          <w:trHeight w:val="336" w:hRule="exact"/>
        </w:trPr>
        <w:tc>
          <w:tcPr>
            <w:tcW w:w="2127" w:type="dxa"/>
            <w:vMerge w:val="restart"/>
            <w:tcBorders>
              <w:top w:val="single" w:sz="15" w:space="0" w:color="000000"/>
              <w:left w:val="single" w:sz="4" w:space="0" w:color="000000"/>
              <w:right w:val="single" w:sz="4" w:space="0" w:color="000000"/>
            </w:tcBorders>
            <w:shd w:val="clear" w:color="auto" w:fill="D3D3D3"/>
          </w:tcPr>
          <w:p>
            <w:pPr/>
          </w:p>
        </w:tc>
        <w:tc>
          <w:tcPr>
            <w:tcW w:w="1417" w:type="dxa"/>
            <w:vMerge w:val="restart"/>
            <w:tcBorders>
              <w:top w:val="single" w:sz="15" w:space="0" w:color="000000"/>
              <w:left w:val="single" w:sz="4" w:space="0" w:color="000000"/>
              <w:right w:val="single" w:sz="4" w:space="0" w:color="000000"/>
            </w:tcBorders>
          </w:tcPr>
          <w:p>
            <w:pPr/>
          </w:p>
        </w:tc>
        <w:tc>
          <w:tcPr>
            <w:tcW w:w="1134" w:type="dxa"/>
            <w:vMerge w:val="restart"/>
            <w:tcBorders>
              <w:top w:val="single" w:sz="15" w:space="0" w:color="000000"/>
              <w:left w:val="single" w:sz="4" w:space="0" w:color="000000"/>
              <w:right w:val="single" w:sz="4" w:space="0" w:color="000000"/>
            </w:tcBorders>
          </w:tcPr>
          <w:p>
            <w:pPr/>
          </w:p>
        </w:tc>
        <w:tc>
          <w:tcPr>
            <w:tcW w:w="5104"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迪科远望及其下属企业存在同业竞争的情形。</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、本人承诺，在今</w:t>
            </w:r>
          </w:p>
        </w:tc>
        <w:tc>
          <w:tcPr>
            <w:tcW w:w="1134" w:type="dxa"/>
            <w:vMerge w:val="restart"/>
            <w:tcBorders>
              <w:top w:val="single" w:sz="15" w:space="0" w:color="000000"/>
              <w:left w:val="single" w:sz="4" w:space="0" w:color="000000"/>
              <w:right w:val="single" w:sz="4" w:space="0" w:color="000000"/>
            </w:tcBorders>
          </w:tcPr>
          <w:p>
            <w:pPr>
              <w:pStyle w:val="TableParagraph"/>
              <w:spacing w:line="936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6"/>
                <w:sz w:val="20"/>
                <w:szCs w:val="20"/>
              </w:rPr>
              <w:pict>
                <v:group style="width:56.25pt;height:468pt;mso-position-horizontal-relative:char;mso-position-vertical-relative:line" coordorigin="0,0" coordsize="1125,9360">
                  <v:group style="position:absolute;left:0;top:0;width:1125;height:9360" coordorigin="0,0" coordsize="1125,9360">
                    <v:shape style="position:absolute;left:0;top:0;width:1125;height:9360" coordorigin="0,0" coordsize="1125,9360" path="m0,0l0,9360,1124,9360,1124,0,0,0xe" filled="true" fillcolor="#ffffff" stroked="false">
                      <v:path arrowok="t"/>
                      <v:fill type="solid"/>
                    </v:shape>
                  </v:group>
                </v:group>
              </w:pict>
            </w:r>
            <w:r>
              <w:rPr>
                <w:rFonts w:ascii="Times New Roman" w:hAnsi="Times New Roman" w:cs="Times New Roman" w:eastAsia="Times New Roman" w:hint="default"/>
                <w:position w:val="-186"/>
                <w:sz w:val="20"/>
                <w:szCs w:val="20"/>
              </w:rPr>
            </w:r>
          </w:p>
        </w:tc>
        <w:tc>
          <w:tcPr>
            <w:tcW w:w="1418" w:type="dxa"/>
            <w:vMerge w:val="restart"/>
            <w:tcBorders>
              <w:top w:val="single" w:sz="15" w:space="0" w:color="000000"/>
              <w:left w:val="single" w:sz="4" w:space="0" w:color="000000"/>
              <w:right w:val="single" w:sz="4" w:space="0" w:color="000000"/>
            </w:tcBorders>
          </w:tcPr>
          <w:p>
            <w:pPr/>
          </w:p>
        </w:tc>
        <w:tc>
          <w:tcPr>
            <w:tcW w:w="1559" w:type="dxa"/>
            <w:vMerge w:val="restart"/>
            <w:tcBorders>
              <w:top w:val="single" w:sz="15" w:space="0" w:color="000000"/>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后的业务中，本人不与新开普、迪科远望及其下属企业进行同业</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竞争，即</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）本人及本人控制的其他企业不会直接或通过其他</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任何方式（包括但不限于独资、合资、合作经营或者承包、租赁</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经营、委托管理、通过第三方经营、担任顾问等）间接从事与新</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开普、迪科远望及其下属企业业务相同或相近似的经营活动，以</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避免对新开普、迪科远望及其下属企业的生产经营构成直接或间</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接的业务竞争</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）如新开普、迪科远望及其下属企业进一步拓</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展其业务范围，本人及本人控制的其他公司、企业或其他经营实</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体将不与新开普、迪科远望及其下属企业拓展后的业务相竞争；</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若与新开普、迪科远望及其下属企业拓展后的业务产生竞争，本</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人及本人控制的其他公司、企业或其他经营实体将停止生产经营</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或者将相竞争的业务转让给无关联关系第三方，但新开普、迪科</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远望及其下属企业可以按照合理的价格及条件采取优先收购或委</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托经营的方式将相关公司、企业或其他经营实体的竞争业务集中</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到新开普或迪科远望经营，以避免同业竞争</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）若有第三方向</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本人及本人控制的其他公司、企业或其他经营实体提供任何业务</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机会或本人及本人控制的其他公司、企业或其他经营实体有任何</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机会需提供给第三方，且该业务直接或间接与新开普、迪科远望</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及其下属企业业务有竞争或者新开普、迪科远望有能力、有意向</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承揽该业务的，本人及本人控制的其他公司、企业或其他经营实</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体应当立即通知新开普、迪科远望及其下属企业该业务机会，并</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尽力促使该业务以合理的条款和条件由新开普、迪科远望及其下</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属企业承接。</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、如新开普、迪科远望及其下属企业或相关监管部</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门认定本人及本人控制的其他公司、企业或其他经营实体正在或</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将要从事的业务与新开普、</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本人及本人控制的其他公司将在新开普、迪科远望及其下属企业</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提出异议后及时转让或终止该项业务。如新开普、迪科远望及其</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下属企业进一步提出受让请求，本人及本人控制的其他公司将无</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8" w:hRule="exact"/>
        </w:trPr>
        <w:tc>
          <w:tcPr>
            <w:tcW w:w="2127" w:type="dxa"/>
            <w:vMerge/>
            <w:tcBorders>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51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条件按有证券从业资格的中介机构审计或评估的公允价格将上述</w:t>
            </w:r>
          </w:p>
        </w:tc>
        <w:tc>
          <w:tcPr>
            <w:tcW w:w="1134"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20" w:right="1340"/>
        </w:sectPr>
      </w:pPr>
    </w:p>
    <w:p>
      <w:pPr>
        <w:spacing w:line="240" w:lineRule="auto" w:before="4"/>
        <w:rPr>
          <w:rFonts w:ascii="Times New Roman" w:hAnsi="Times New Roman" w:cs="Times New Roman" w:eastAsia="Times New Roman" w:hint="default"/>
          <w:sz w:val="3"/>
          <w:szCs w:val="3"/>
        </w:rPr>
      </w:pPr>
      <w:r>
        <w:rPr/>
        <w:pict>
          <v:shape style="position:absolute;margin-left:384.170502pt;margin-top:215.699997pt;width:233.35pt;height:314pt;mso-position-horizontal-relative:page;mso-position-vertical-relative:page;z-index:-11683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保证不利用关联交易非法转移新开普的资金、</w:t>
                  </w:r>
                </w:p>
              </w:txbxContent>
            </v:textbox>
            <w10:wrap type="none"/>
          </v:shape>
        </w:pict>
      </w:r>
      <w:r>
        <w:rPr/>
        <w:pict>
          <v:group style="position:absolute;margin-left:561.291016pt;margin-top:215.699997pt;width:56.25pt;height:314pt;mso-position-horizontal-relative:page;mso-position-vertical-relative:page;z-index:-1168288" coordorigin="11226,4314" coordsize="1125,6280">
            <v:group style="position:absolute;left:11226;top:4314;width:1125;height:6280" coordorigin="11226,4314" coordsize="1125,6280">
              <v:shape style="position:absolute;left:11226;top:4314;width:1125;height:6280" coordorigin="11226,4314" coordsize="1125,6280" path="m11226,4314l11226,10594,12350,10594,12350,4314,11226,4314xe" filled="true" fillcolor="#ffffff" stroked="false">
                <v:path arrowok="t"/>
                <v:fill type="solid"/>
              </v:shape>
            </v:group>
            <v:group style="position:absolute;left:11249;top:7102;width:1078;height:353" coordorigin="11249,7102" coordsize="1078,353">
              <v:shape style="position:absolute;left:11249;top:7102;width:1078;height:353" coordorigin="11249,7102" coordsize="1078,353" path="m11249,7102l11249,7454,12326,7454,12326,7102,11249,7102xe" filled="true" fillcolor="#ffffff" stroked="false">
                <v:path arrowok="t"/>
                <v:fill type="solid"/>
              </v:shape>
            </v:group>
            <v:group style="position:absolute;left:11249;top:7454;width:1078;height:352" coordorigin="11249,7454" coordsize="1078,352">
              <v:shape style="position:absolute;left:11249;top:7454;width:1078;height:352" coordorigin="11249,7454" coordsize="1078,352" path="m11249,7454l11249,7806,12326,7806,12326,7454,11249,7454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2127"/>
        <w:gridCol w:w="1417"/>
        <w:gridCol w:w="1134"/>
        <w:gridCol w:w="5104"/>
        <w:gridCol w:w="1134"/>
        <w:gridCol w:w="1418"/>
        <w:gridCol w:w="1559"/>
      </w:tblGrid>
      <w:tr>
        <w:trPr>
          <w:trHeight w:val="336" w:hRule="exact"/>
        </w:trPr>
        <w:tc>
          <w:tcPr>
            <w:tcW w:w="2127" w:type="dxa"/>
            <w:vMerge w:val="restart"/>
            <w:tcBorders>
              <w:top w:val="single" w:sz="15" w:space="0" w:color="000000"/>
              <w:left w:val="single" w:sz="4" w:space="0" w:color="000000"/>
              <w:right w:val="single" w:sz="4" w:space="0" w:color="000000"/>
            </w:tcBorders>
            <w:shd w:val="clear" w:color="auto" w:fill="D3D3D3"/>
          </w:tcPr>
          <w:p>
            <w:pPr/>
          </w:p>
        </w:tc>
        <w:tc>
          <w:tcPr>
            <w:tcW w:w="1417" w:type="dxa"/>
            <w:vMerge w:val="restart"/>
            <w:tcBorders>
              <w:top w:val="single" w:sz="15" w:space="0" w:color="000000"/>
              <w:left w:val="single" w:sz="4" w:space="0" w:color="000000"/>
              <w:right w:val="single" w:sz="4" w:space="0" w:color="000000"/>
            </w:tcBorders>
          </w:tcPr>
          <w:p>
            <w:pPr/>
          </w:p>
        </w:tc>
        <w:tc>
          <w:tcPr>
            <w:tcW w:w="1134" w:type="dxa"/>
            <w:vMerge w:val="restart"/>
            <w:tcBorders>
              <w:top w:val="single" w:sz="15" w:space="0" w:color="000000"/>
              <w:left w:val="single" w:sz="4" w:space="0" w:color="000000"/>
              <w:right w:val="single" w:sz="4" w:space="0" w:color="000000"/>
            </w:tcBorders>
          </w:tcPr>
          <w:p>
            <w:pPr/>
          </w:p>
        </w:tc>
        <w:tc>
          <w:tcPr>
            <w:tcW w:w="5104"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业务和资产优先转让给新开普、迪科远望及其下属企业。</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、本人</w:t>
            </w:r>
          </w:p>
        </w:tc>
        <w:tc>
          <w:tcPr>
            <w:tcW w:w="1134" w:type="dxa"/>
            <w:vMerge w:val="restart"/>
            <w:tcBorders>
              <w:top w:val="single" w:sz="15" w:space="0" w:color="000000"/>
              <w:left w:val="single" w:sz="4" w:space="0" w:color="000000"/>
              <w:right w:val="single" w:sz="4" w:space="0" w:color="000000"/>
            </w:tcBorders>
          </w:tcPr>
          <w:p>
            <w:pPr/>
          </w:p>
        </w:tc>
        <w:tc>
          <w:tcPr>
            <w:tcW w:w="1418" w:type="dxa"/>
            <w:vMerge w:val="restart"/>
            <w:tcBorders>
              <w:top w:val="single" w:sz="15" w:space="0" w:color="000000"/>
              <w:left w:val="single" w:sz="4" w:space="0" w:color="000000"/>
              <w:right w:val="single" w:sz="4" w:space="0" w:color="000000"/>
            </w:tcBorders>
          </w:tcPr>
          <w:p>
            <w:pPr/>
          </w:p>
        </w:tc>
        <w:tc>
          <w:tcPr>
            <w:tcW w:w="1559" w:type="dxa"/>
            <w:vMerge w:val="restart"/>
            <w:tcBorders>
              <w:top w:val="single" w:sz="15" w:space="0" w:color="000000"/>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确认本承诺函所载的每一项承诺均为可独立执行之承诺，任何一</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项承诺若被视为无效或终止将不影响其他各项承诺的有效性。以</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上承诺自中国证券监督管理委员会核准新开普本次非公开发行股</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份并支付现金购买资产之日起正式生效，并将在本人在新开普、</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迪科远望及其下属企业任职期间以及本人自新开普、迪科远望及</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其下属企业离职之日起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个</w:t>
            </w:r>
            <w:r>
              <w:rPr>
                <w:rFonts w:ascii="宋体" w:hAnsi="宋体" w:cs="宋体" w:eastAsia="宋体" w:hint="default"/>
                <w:sz w:val="18"/>
                <w:szCs w:val="18"/>
              </w:rPr>
              <w:t>月内有效</w:t>
            </w:r>
            <w:r>
              <w:rPr>
                <w:rFonts w:ascii="宋体" w:hAnsi="宋体" w:cs="宋体" w:eastAsia="宋体" w:hint="default"/>
                <w:spacing w:val="-83"/>
                <w:sz w:val="18"/>
                <w:szCs w:val="18"/>
              </w:rPr>
              <w:t>。</w:t>
            </w:r>
            <w:r>
              <w:rPr>
                <w:rFonts w:ascii="宋体" w:hAnsi="宋体" w:cs="宋体" w:eastAsia="宋体" w:hint="default"/>
                <w:sz w:val="18"/>
                <w:szCs w:val="18"/>
              </w:rPr>
              <w:t>如本人或本人控制的其他</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公司、企业或其他经营实体违反上述声明与承诺，本人承诺将违</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3"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反该承诺所得的收入全部归新开普、迪科远望所有，并向新开普</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5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51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及迪科远望承担相应的损害赔偿责任。</w:t>
            </w:r>
          </w:p>
        </w:tc>
        <w:tc>
          <w:tcPr>
            <w:tcW w:w="1134"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r>
      <w:tr>
        <w:trPr>
          <w:trHeight w:val="362" w:hRule="exact"/>
        </w:trPr>
        <w:tc>
          <w:tcPr>
            <w:tcW w:w="2127" w:type="dxa"/>
            <w:vMerge/>
            <w:tcBorders>
              <w:left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51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3"/>
                <w:sz w:val="18"/>
                <w:szCs w:val="18"/>
              </w:rPr>
              <w:t>本次交易的交易对方承诺：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、本人将诚信和善意履行作为新开普</w:t>
            </w:r>
          </w:p>
        </w:tc>
        <w:tc>
          <w:tcPr>
            <w:tcW w:w="1134"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股东的义务，尽量避免和减少与新开普（包括其控制的企业，下</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同）之间的关联交易；对于无法避免或有合理原因而发生的关联</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交易，本人及本人控制的公司、企业或其他经营实体（包括本人</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全资、控股公司及本人具有实际控制权的公司、企业或其他经营</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实体，下同）将与新开普按照公平、公允、等价有偿等原则依法</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签订规范的关联交易协议，并按照有关法律、法规、规章、其他</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公司发行股份及</w:t>
            </w: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规范性文件、证券交易所规则和新开普公司章程的规定履行相关</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支付现金购买资</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关于同业竞</w:t>
            </w: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审批程序，在公平合理和正常商业交易的情况下进行交易，保证</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截至报告期末，上</w:t>
            </w: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产的交易对方刘</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争、关联交</w:t>
            </w: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关联交易价格具有公允性，并保证按照有关法律、法规、规章、</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述承诺人严格信守</w:t>
            </w: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pacing w:val="-10"/>
                <w:sz w:val="18"/>
                <w:szCs w:val="18"/>
              </w:rPr>
              <w:t>永春、丛伟滋、李</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易、资金占用</w:t>
            </w: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其他规范性文件、证券交易所规则和新开普公司章程的规定履行</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长期有效</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承诺，未发生违反</w:t>
            </w:r>
          </w:p>
        </w:tc>
      </w:tr>
      <w:tr>
        <w:trPr>
          <w:trHeight w:val="313"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pacing w:val="-10"/>
                <w:sz w:val="18"/>
                <w:szCs w:val="18"/>
              </w:rPr>
              <w:t>洪、熊小洪、白海</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方面的承诺</w:t>
            </w: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相关信息披露义务；</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2" w:right="0"/>
              <w:jc w:val="left"/>
              <w:rPr>
                <w:rFonts w:ascii="宋体" w:hAnsi="宋体" w:cs="宋体" w:eastAsia="宋体" w:hint="default"/>
                <w:sz w:val="18"/>
                <w:szCs w:val="18"/>
              </w:rPr>
            </w:pPr>
            <w:r>
              <w:rPr>
                <w:rFonts w:ascii="宋体" w:hAnsi="宋体" w:cs="宋体" w:eastAsia="宋体" w:hint="default"/>
                <w:sz w:val="18"/>
                <w:szCs w:val="18"/>
              </w:rPr>
              <w:t>承诺的情况。</w:t>
            </w:r>
          </w:p>
        </w:tc>
      </w:tr>
      <w:tr>
        <w:trPr>
          <w:trHeight w:val="321"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清、黄暂度</w:t>
            </w: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利润，不利用关联交易损害新开普及非关联股东的利益；保证不</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利用股东地位谋取不当利益或谋求与新开普达成交易的优先权</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利，不以任何形式损害新开普及其其他股东的合法权益。</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、本人</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承诺在新开普的股东大会对涉及本人及本人控制的公司、企业或</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其他经营实体的有关关联交易事项进行表决时，履行回避表决的</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义务。</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、本人承诺将不会要求和接受新开普给予的与其在任何一</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项市场公平交易中给予独立第三方的条件相比更为优惠的条件。</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127" w:type="dxa"/>
            <w:vMerge/>
            <w:tcBorders>
              <w:left w:val="single" w:sz="4" w:space="0" w:color="000000"/>
              <w:bottom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1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、杜绝本人及本人控制的公司、企业或其他经营实体以借款、代</w:t>
            </w:r>
          </w:p>
        </w:tc>
        <w:tc>
          <w:tcPr>
            <w:tcW w:w="1134"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20" w:right="1340"/>
        </w:sectPr>
      </w:pPr>
    </w:p>
    <w:p>
      <w:pPr>
        <w:spacing w:line="240" w:lineRule="auto" w:before="4"/>
        <w:rPr>
          <w:rFonts w:ascii="Times New Roman" w:hAnsi="Times New Roman" w:cs="Times New Roman" w:eastAsia="Times New Roman" w:hint="default"/>
          <w:sz w:val="3"/>
          <w:szCs w:val="3"/>
        </w:rPr>
      </w:pPr>
      <w:r>
        <w:rPr/>
        <w:pict>
          <v:shape style="position:absolute;margin-left:483.111115pt;margin-top:57.18pt;width:134.4pt;height:189.25pt;mso-position-horizontal-relative:page;mso-position-vertical-relative:page;z-index:-1168264" type="#_x0000_t202" filled="false" stroked="false">
            <v:textbox inset="0,0,0,0">
              <w:txbxContent>
                <w:p>
                  <w:pPr>
                    <w:spacing w:before="10"/>
                    <w:ind w:left="0" w:right="0" w:firstLine="1441"/>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不谋取不正当利益，</w:t>
                  </w:r>
                </w:p>
              </w:txbxContent>
            </v:textbox>
            <w10:wrap type="none"/>
          </v:shape>
        </w:pict>
      </w:r>
      <w:r>
        <w:rPr/>
        <w:pict>
          <v:shape style="position:absolute;margin-left:555.170471pt;margin-top:246.899994pt;width:62.35pt;height:282.8pt;mso-position-horizontal-relative:page;mso-position-vertical-relative:page;z-index:-11682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561.291016pt;margin-top:57.18pt;width:56.25pt;height:472.5pt;mso-position-horizontal-relative:page;mso-position-vertical-relative:page;z-index:-1168216" coordorigin="11226,1144" coordsize="1125,9450">
            <v:group style="position:absolute;left:11226;top:1144;width:1125;height:3785" coordorigin="11226,1144" coordsize="1125,3785">
              <v:shape style="position:absolute;left:11226;top:1144;width:1125;height:3785" coordorigin="11226,1144" coordsize="1125,3785" path="m11226,1144l11226,4928,12350,4928,12350,1144,11226,1144xe" filled="true" fillcolor="#ffffff" stroked="false">
                <v:path arrowok="t"/>
                <v:fill type="solid"/>
              </v:shape>
            </v:group>
            <v:group style="position:absolute;left:11226;top:4938;width:1125;height:5656" coordorigin="11226,4938" coordsize="1125,5656">
              <v:shape style="position:absolute;left:11226;top:4938;width:1125;height:5656" coordorigin="11226,4938" coordsize="1125,5656" path="m11226,4938l11226,10594,12350,10594,12350,4938,11226,4938xe" filled="true" fillcolor="#ffffff" stroked="false">
                <v:path arrowok="t"/>
                <v:fill type="solid"/>
              </v:shape>
            </v:group>
            <v:group style="position:absolute;left:11249;top:7414;width:1078;height:353" coordorigin="11249,7414" coordsize="1078,353">
              <v:shape style="position:absolute;left:11249;top:7414;width:1078;height:353" coordorigin="11249,7414" coordsize="1078,353" path="m11249,7414l11249,7766,12326,7766,12326,7414,11249,7414xe" filled="true" fillcolor="#ffffff" stroked="false">
                <v:path arrowok="t"/>
                <v:fill type="solid"/>
              </v:shape>
            </v:group>
            <v:group style="position:absolute;left:11249;top:7766;width:1078;height:352" coordorigin="11249,7766" coordsize="1078,352">
              <v:shape style="position:absolute;left:11249;top:7766;width:1078;height:352" coordorigin="11249,7766" coordsize="1078,352" path="m11249,7766l11249,8118,12326,8118,12326,7766,11249,7766xe" filled="true" fillcolor="#ffffff" stroked="false">
                <v:path arrowok="t"/>
                <v:fill type="solid"/>
              </v:shape>
            </v:group>
            <w10:wrap type="none"/>
          </v:group>
        </w:pict>
      </w:r>
      <w:r>
        <w:rPr/>
        <w:pict>
          <v:group style="position:absolute;margin-left:249.410995pt;margin-top:246.899994pt;width:56.25pt;height:282.8pt;mso-position-horizontal-relative:page;mso-position-vertical-relative:page;z-index:-1168192" coordorigin="4988,4938" coordsize="1125,5656">
            <v:group style="position:absolute;left:4988;top:4938;width:1125;height:5656" coordorigin="4988,4938" coordsize="1125,5656">
              <v:shape style="position:absolute;left:4988;top:4938;width:1125;height:5656" coordorigin="4988,4938" coordsize="1125,5656" path="m4988,4938l4988,10594,6113,10594,6113,4938,4988,4938xe" filled="true" fillcolor="#ffffff" stroked="false">
                <v:path arrowok="t"/>
                <v:fill type="solid"/>
              </v:shape>
            </v:group>
            <v:group style="position:absolute;left:5012;top:7570;width:1078;height:393" coordorigin="5012,7570" coordsize="1078,393">
              <v:shape style="position:absolute;left:5012;top:7570;width:1078;height:393" coordorigin="5012,7570" coordsize="1078,393" path="m5012,7570l5012,7962,6090,7962,6090,7570,5012,7570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2127"/>
        <w:gridCol w:w="1417"/>
        <w:gridCol w:w="1134"/>
        <w:gridCol w:w="5104"/>
        <w:gridCol w:w="1134"/>
        <w:gridCol w:w="1418"/>
        <w:gridCol w:w="1559"/>
      </w:tblGrid>
      <w:tr>
        <w:trPr>
          <w:trHeight w:val="336" w:hRule="exact"/>
        </w:trPr>
        <w:tc>
          <w:tcPr>
            <w:tcW w:w="2127" w:type="dxa"/>
            <w:vMerge w:val="restart"/>
            <w:tcBorders>
              <w:top w:val="single" w:sz="15" w:space="0" w:color="000000"/>
              <w:left w:val="single" w:sz="4" w:space="0" w:color="000000"/>
              <w:right w:val="single" w:sz="4" w:space="0" w:color="000000"/>
            </w:tcBorders>
            <w:shd w:val="clear" w:color="auto" w:fill="D3D3D3"/>
          </w:tcPr>
          <w:p>
            <w:pPr/>
          </w:p>
        </w:tc>
        <w:tc>
          <w:tcPr>
            <w:tcW w:w="1417" w:type="dxa"/>
            <w:vMerge w:val="restart"/>
            <w:tcBorders>
              <w:top w:val="single" w:sz="15" w:space="0" w:color="000000"/>
              <w:left w:val="single" w:sz="4" w:space="0" w:color="000000"/>
              <w:right w:val="single" w:sz="4" w:space="0" w:color="000000"/>
            </w:tcBorders>
          </w:tcPr>
          <w:p>
            <w:pPr/>
          </w:p>
        </w:tc>
        <w:tc>
          <w:tcPr>
            <w:tcW w:w="1134" w:type="dxa"/>
            <w:vMerge w:val="restart"/>
            <w:tcBorders>
              <w:top w:val="single" w:sz="15" w:space="0" w:color="000000"/>
              <w:left w:val="single" w:sz="4" w:space="0" w:color="000000"/>
              <w:right w:val="single" w:sz="4" w:space="0" w:color="000000"/>
            </w:tcBorders>
          </w:tcPr>
          <w:p>
            <w:pPr/>
          </w:p>
        </w:tc>
        <w:tc>
          <w:tcPr>
            <w:tcW w:w="5104"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偿债务</w:t>
            </w:r>
            <w:r>
              <w:rPr>
                <w:rFonts w:ascii="宋体" w:hAnsi="宋体" w:cs="宋体" w:eastAsia="宋体" w:hint="default"/>
                <w:spacing w:val="-88"/>
                <w:sz w:val="18"/>
                <w:szCs w:val="18"/>
              </w:rPr>
              <w:t>、</w:t>
            </w:r>
            <w:r>
              <w:rPr>
                <w:rFonts w:ascii="宋体" w:hAnsi="宋体" w:cs="宋体" w:eastAsia="宋体" w:hint="default"/>
                <w:sz w:val="18"/>
                <w:szCs w:val="18"/>
              </w:rPr>
              <w:t>代垫款项或其他方式占用新开普的资金</w:t>
            </w:r>
            <w:r>
              <w:rPr>
                <w:rFonts w:ascii="宋体" w:hAnsi="宋体" w:cs="宋体" w:eastAsia="宋体" w:hint="default"/>
                <w:spacing w:val="-88"/>
                <w:sz w:val="18"/>
                <w:szCs w:val="18"/>
              </w:rPr>
              <w:t>、</w:t>
            </w:r>
            <w:r>
              <w:rPr>
                <w:rFonts w:ascii="宋体" w:hAnsi="宋体" w:cs="宋体" w:eastAsia="宋体" w:hint="default"/>
                <w:sz w:val="18"/>
                <w:szCs w:val="18"/>
              </w:rPr>
              <w:t>资产的行为</w:t>
            </w:r>
            <w:r>
              <w:rPr>
                <w:rFonts w:ascii="宋体" w:hAnsi="宋体" w:cs="宋体" w:eastAsia="宋体" w:hint="default"/>
                <w:spacing w:val="2"/>
                <w:sz w:val="18"/>
                <w:szCs w:val="18"/>
              </w:rPr>
              <w:t>。</w:t>
            </w:r>
            <w:r>
              <w:rPr>
                <w:rFonts w:ascii="Times New Roman" w:hAnsi="Times New Roman" w:cs="Times New Roman" w:eastAsia="Times New Roman" w:hint="default"/>
                <w:sz w:val="18"/>
                <w:szCs w:val="18"/>
              </w:rPr>
              <w:t>5</w:t>
            </w:r>
          </w:p>
        </w:tc>
        <w:tc>
          <w:tcPr>
            <w:tcW w:w="1134" w:type="dxa"/>
            <w:vMerge w:val="restart"/>
            <w:tcBorders>
              <w:top w:val="single" w:sz="15" w:space="0" w:color="000000"/>
              <w:left w:val="single" w:sz="4" w:space="0" w:color="000000"/>
              <w:right w:val="single" w:sz="4" w:space="0" w:color="000000"/>
            </w:tcBorders>
          </w:tcPr>
          <w:p>
            <w:pPr/>
          </w:p>
        </w:tc>
        <w:tc>
          <w:tcPr>
            <w:tcW w:w="1418" w:type="dxa"/>
            <w:vMerge w:val="restart"/>
            <w:tcBorders>
              <w:top w:val="single" w:sz="15" w:space="0" w:color="000000"/>
              <w:left w:val="single" w:sz="4" w:space="0" w:color="000000"/>
              <w:right w:val="single" w:sz="4" w:space="0" w:color="000000"/>
            </w:tcBorders>
          </w:tcPr>
          <w:p>
            <w:pPr/>
          </w:p>
        </w:tc>
        <w:tc>
          <w:tcPr>
            <w:tcW w:w="1559" w:type="dxa"/>
            <w:vMerge w:val="restart"/>
            <w:tcBorders>
              <w:top w:val="single" w:sz="15" w:space="0" w:color="000000"/>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任何情况下，不要求新开普向本人及本人的其他关联方提供任何</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形式的担保。</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、本人保证将依照新开普公司章程的规定参加股东</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大会，平等地行使股东权利并承担股东义务，</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不损害新开普及其他股东的合法权益。</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、本人确认本承诺函所载</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的每一项承诺均为可独立执行之承诺，任何一项承诺若被视为无</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效或终止将不影响其他各项承诺的有效性。以上承诺与保证自中</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国证券监督管理委员会核准新开普本次非公开发行股份及支付现</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金购买资产之日起正式生效，并将在本人持有新开普股票期间长</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期有效。如因本人或本人控制的公司、企业或其他经营实体违反</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3"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上述承诺与保证而导致新开普及其他股东的权益受到损害的，则</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5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51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本人同意承担因此给新开普造成的一切损失。</w:t>
            </w:r>
          </w:p>
        </w:tc>
        <w:tc>
          <w:tcPr>
            <w:tcW w:w="1134"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r>
      <w:tr>
        <w:trPr>
          <w:trHeight w:val="362" w:hRule="exact"/>
        </w:trPr>
        <w:tc>
          <w:tcPr>
            <w:tcW w:w="2127" w:type="dxa"/>
            <w:vMerge/>
            <w:tcBorders>
              <w:left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51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、本合伙企业为依法设立并有效存续的有限合伙企业，本合伙企</w:t>
            </w:r>
          </w:p>
        </w:tc>
        <w:tc>
          <w:tcPr>
            <w:tcW w:w="1134"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业具有独立的主体资格、独立对外承担法律责任。截至本承诺函</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出具日，本合伙企业不存在根据有关法律、法规、规范性文件及</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合伙协议的规定需要终止或解散之情形，不存在因环境保护、知</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识产权、产品质量、劳动安全、人身权等原因产生的侵权之债；</w:t>
            </w:r>
            <w:r>
              <w:rPr>
                <w:rFonts w:ascii="Times New Roman" w:hAnsi="Times New Roman" w:cs="Times New Roman" w:eastAsia="Times New Roman" w:hint="default"/>
                <w:spacing w:val="-7"/>
                <w:sz w:val="18"/>
                <w:szCs w:val="18"/>
              </w:rPr>
              <w:t>2</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本合伙企业的合伙人均为新开普员工，其中杨维国为新开普董事</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长兼总经理，付秋生为新开普董事兼常务副总经理，尚卫国、赵</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公司配套融资的</w:t>
            </w: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利宾为新开普董事兼副总经理，刘恩臣为新开普监事会主席，华</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截至报告期末，上</w:t>
            </w:r>
          </w:p>
        </w:tc>
      </w:tr>
      <w:tr>
        <w:trPr>
          <w:trHeight w:val="630"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3" w:right="121"/>
              <w:jc w:val="left"/>
              <w:rPr>
                <w:rFonts w:ascii="宋体" w:hAnsi="宋体" w:cs="宋体" w:eastAsia="宋体" w:hint="default"/>
                <w:sz w:val="18"/>
                <w:szCs w:val="18"/>
              </w:rPr>
            </w:pPr>
            <w:r>
              <w:rPr>
                <w:rFonts w:ascii="宋体" w:hAnsi="宋体" w:cs="宋体" w:eastAsia="宋体" w:hint="default"/>
                <w:sz w:val="18"/>
                <w:szCs w:val="18"/>
              </w:rPr>
              <w:t>认购对象郑州佳 辰企业管理咨询</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20"/>
              <w:jc w:val="left"/>
              <w:rPr>
                <w:rFonts w:ascii="宋体" w:hAnsi="宋体" w:cs="宋体" w:eastAsia="宋体" w:hint="default"/>
                <w:sz w:val="18"/>
                <w:szCs w:val="18"/>
              </w:rPr>
            </w:pPr>
            <w:r>
              <w:rPr>
                <w:rFonts w:ascii="宋体" w:hAnsi="宋体" w:cs="宋体" w:eastAsia="宋体" w:hint="default"/>
                <w:sz w:val="18"/>
                <w:szCs w:val="18"/>
              </w:rPr>
              <w:t>梦阳为新开普副总经理兼董事会秘书、杜建平、傅常顺为新开普 </w:t>
            </w:r>
            <w:r>
              <w:rPr>
                <w:rFonts w:ascii="宋体" w:hAnsi="宋体" w:cs="宋体" w:eastAsia="宋体" w:hint="default"/>
                <w:spacing w:val="-3"/>
                <w:sz w:val="18"/>
                <w:szCs w:val="18"/>
              </w:rPr>
              <w:t>副总经理，郎金文、葛晓阁为新开普核心人员；</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、本合伙企业未</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长期有效</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84"/>
              <w:jc w:val="left"/>
              <w:rPr>
                <w:rFonts w:ascii="宋体" w:hAnsi="宋体" w:cs="宋体" w:eastAsia="宋体" w:hint="default"/>
                <w:sz w:val="18"/>
                <w:szCs w:val="18"/>
              </w:rPr>
            </w:pPr>
            <w:r>
              <w:rPr>
                <w:rFonts w:ascii="宋体" w:hAnsi="宋体" w:cs="宋体" w:eastAsia="宋体" w:hint="default"/>
                <w:sz w:val="18"/>
                <w:szCs w:val="18"/>
              </w:rPr>
              <w:t>述承诺人严格信守 承诺，未发生违反</w:t>
            </w:r>
          </w:p>
        </w:tc>
      </w:tr>
      <w:tr>
        <w:trPr>
          <w:trHeight w:val="321"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23" w:right="0"/>
              <w:jc w:val="left"/>
              <w:rPr>
                <w:rFonts w:ascii="宋体" w:hAnsi="宋体" w:cs="宋体" w:eastAsia="宋体" w:hint="default"/>
                <w:sz w:val="18"/>
                <w:szCs w:val="18"/>
              </w:rPr>
            </w:pPr>
            <w:r>
              <w:rPr>
                <w:rFonts w:ascii="宋体" w:hAnsi="宋体" w:cs="宋体" w:eastAsia="宋体" w:hint="default"/>
                <w:sz w:val="18"/>
                <w:szCs w:val="18"/>
              </w:rPr>
              <w:t>中心（有限合伙</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3" w:right="0"/>
              <w:jc w:val="left"/>
              <w:rPr>
                <w:rFonts w:ascii="宋体" w:hAnsi="宋体" w:cs="宋体" w:eastAsia="宋体" w:hint="default"/>
                <w:sz w:val="18"/>
                <w:szCs w:val="18"/>
              </w:rPr>
            </w:pPr>
            <w:r>
              <w:rPr>
                <w:rFonts w:ascii="宋体" w:hAnsi="宋体" w:cs="宋体" w:eastAsia="宋体" w:hint="default"/>
                <w:spacing w:val="-3"/>
                <w:sz w:val="18"/>
                <w:szCs w:val="18"/>
              </w:rPr>
              <w:t>负有数额较大的到期未清偿债务；</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、本合伙企业及各合伙人、执</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sz w:val="18"/>
                <w:szCs w:val="18"/>
              </w:rPr>
              <w:t>承诺的情况。</w:t>
            </w: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行事务合伙人委派代表、主要管理人员最近五年未受过重大行政</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处罚、刑事处罚，亦未涉及与经济纠纷有关的重大诉讼或仲裁，</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不存在尚未了结或可以预见的重大诉讼、仲裁及行政处罚案件，</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不存在被中国证监会或证券交易所采取监管措施的情形；</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、本合</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伙企业认购新开普股份的资金来源真实合法、均为各合伙人以自</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有资金出资，不存在向第三方募集的情况，不存在违法违规的情</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127" w:type="dxa"/>
            <w:vMerge/>
            <w:tcBorders>
              <w:left w:val="single" w:sz="4" w:space="0" w:color="000000"/>
              <w:bottom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1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形、不存在被有关部门收缴、追索等法律风险；本合伙企业各合</w:t>
            </w:r>
          </w:p>
        </w:tc>
        <w:tc>
          <w:tcPr>
            <w:tcW w:w="1134"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20" w:right="1340"/>
        </w:sectPr>
      </w:pPr>
    </w:p>
    <w:p>
      <w:pPr>
        <w:spacing w:line="240" w:lineRule="auto" w:before="4"/>
        <w:rPr>
          <w:rFonts w:ascii="Times New Roman" w:hAnsi="Times New Roman" w:cs="Times New Roman" w:eastAsia="Times New Roman" w:hint="default"/>
          <w:sz w:val="3"/>
          <w:szCs w:val="3"/>
        </w:rPr>
      </w:pPr>
      <w:r>
        <w:rPr/>
        <w:pict>
          <v:shape style="position:absolute;margin-left:537.111084pt;margin-top:57.18pt;width:80.4pt;height:267.25pt;mso-position-horizontal-relative:page;mso-position-vertical-relative:page;z-index:-11681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18"/>
                    <w:ind w:left="0" w:right="0" w:firstLine="0"/>
                    <w:jc w:val="left"/>
                    <w:rPr>
                      <w:rFonts w:ascii="宋体" w:hAnsi="宋体" w:cs="宋体" w:eastAsia="宋体" w:hint="default"/>
                      <w:sz w:val="18"/>
                      <w:szCs w:val="18"/>
                    </w:rPr>
                  </w:pPr>
                  <w:r>
                    <w:rPr>
                      <w:rFonts w:ascii="宋体" w:hAnsi="宋体" w:cs="宋体" w:eastAsia="宋体" w:hint="default"/>
                      <w:sz w:val="18"/>
                      <w:szCs w:val="18"/>
                    </w:rPr>
                    <w:t>委托、</w:t>
                  </w:r>
                </w:p>
              </w:txbxContent>
            </v:textbox>
            <w10:wrap type="none"/>
          </v:shape>
        </w:pict>
      </w:r>
      <w:r>
        <w:rPr/>
        <w:pict>
          <v:shape style="position:absolute;margin-left:519.171387pt;margin-top:324.899994pt;width:98.35pt;height:204.8pt;mso-position-horizontal-relative:page;mso-position-vertical-relative:page;z-index:-11681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足额缴纳，</w:t>
                  </w:r>
                </w:p>
              </w:txbxContent>
            </v:textbox>
            <w10:wrap type="none"/>
          </v:shape>
        </w:pict>
      </w:r>
      <w:r>
        <w:rPr/>
        <w:pict>
          <v:group style="position:absolute;margin-left:561.291016pt;margin-top:57.18pt;width:56.25pt;height:472.5pt;mso-position-horizontal-relative:page;mso-position-vertical-relative:page;z-index:-1168120" coordorigin="11226,1144" coordsize="1125,9450">
            <v:group style="position:absolute;left:11226;top:1144;width:1125;height:5345" coordorigin="11226,1144" coordsize="1125,5345">
              <v:shape style="position:absolute;left:11226;top:1144;width:1125;height:5345" coordorigin="11226,1144" coordsize="1125,5345" path="m11226,1144l11226,6488,12350,6488,12350,1144,11226,1144xe" filled="true" fillcolor="#ffffff" stroked="false">
                <v:path arrowok="t"/>
                <v:fill type="solid"/>
              </v:shape>
            </v:group>
            <v:group style="position:absolute;left:11226;top:6498;width:1125;height:4096" coordorigin="11226,6498" coordsize="1125,4096">
              <v:shape style="position:absolute;left:11226;top:6498;width:1125;height:4096" coordorigin="11226,6498" coordsize="1125,4096" path="m11226,6498l11226,10594,12350,10594,12350,6498,11226,6498xe" filled="true" fillcolor="#ffffff" stroked="false">
                <v:path arrowok="t"/>
                <v:fill type="solid"/>
              </v:shape>
            </v:group>
            <v:group style="position:absolute;left:11249;top:8194;width:1078;height:353" coordorigin="11249,8194" coordsize="1078,353">
              <v:shape style="position:absolute;left:11249;top:8194;width:1078;height:353" coordorigin="11249,8194" coordsize="1078,353" path="m11249,8194l11249,8546,12326,8546,12326,8194,11249,8194xe" filled="true" fillcolor="#ffffff" stroked="false">
                <v:path arrowok="t"/>
                <v:fill type="solid"/>
              </v:shape>
            </v:group>
            <v:group style="position:absolute;left:11249;top:8546;width:1078;height:352" coordorigin="11249,8546" coordsize="1078,352">
              <v:shape style="position:absolute;left:11249;top:8546;width:1078;height:352" coordorigin="11249,8546" coordsize="1078,352" path="m11249,8546l11249,8898,12326,8898,12326,8546,11249,8546xe" filled="true" fillcolor="#ffffff" stroked="false">
                <v:path arrowok="t"/>
                <v:fill type="solid"/>
              </v:shape>
            </v:group>
            <w10:wrap type="none"/>
          </v:group>
        </w:pict>
      </w:r>
      <w:r>
        <w:rPr/>
        <w:pict>
          <v:group style="position:absolute;margin-left:249.410995pt;margin-top:324.899994pt;width:56.25pt;height:204.8pt;mso-position-horizontal-relative:page;mso-position-vertical-relative:page;z-index:-1168096" coordorigin="4988,6498" coordsize="1125,4096">
            <v:group style="position:absolute;left:4988;top:6498;width:1125;height:4096" coordorigin="4988,6498" coordsize="1125,4096">
              <v:shape style="position:absolute;left:4988;top:6498;width:1125;height:4096" coordorigin="4988,6498" coordsize="1125,4096" path="m4988,6498l4988,10594,6113,10594,6113,6498,4988,6498xe" filled="true" fillcolor="#ffffff" stroked="false">
                <v:path arrowok="t"/>
                <v:fill type="solid"/>
              </v:shape>
            </v:group>
            <v:group style="position:absolute;left:5012;top:8350;width:1078;height:393" coordorigin="5012,8350" coordsize="1078,393">
              <v:shape style="position:absolute;left:5012;top:8350;width:1078;height:393" coordorigin="5012,8350" coordsize="1078,393" path="m5012,8350l5012,8742,6090,8742,6090,8350,5012,8350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2127"/>
        <w:gridCol w:w="1417"/>
        <w:gridCol w:w="1134"/>
        <w:gridCol w:w="5104"/>
        <w:gridCol w:w="1134"/>
        <w:gridCol w:w="1418"/>
        <w:gridCol w:w="1559"/>
      </w:tblGrid>
      <w:tr>
        <w:trPr>
          <w:trHeight w:val="331" w:hRule="exact"/>
        </w:trPr>
        <w:tc>
          <w:tcPr>
            <w:tcW w:w="2127" w:type="dxa"/>
            <w:vMerge w:val="restart"/>
            <w:tcBorders>
              <w:top w:val="single" w:sz="15" w:space="0" w:color="000000"/>
              <w:left w:val="single" w:sz="4" w:space="0" w:color="000000"/>
              <w:right w:val="single" w:sz="4" w:space="0" w:color="000000"/>
            </w:tcBorders>
            <w:shd w:val="clear" w:color="auto" w:fill="D3D3D3"/>
          </w:tcPr>
          <w:p>
            <w:pPr/>
          </w:p>
        </w:tc>
        <w:tc>
          <w:tcPr>
            <w:tcW w:w="1417" w:type="dxa"/>
            <w:vMerge w:val="restart"/>
            <w:tcBorders>
              <w:top w:val="single" w:sz="15" w:space="0" w:color="000000"/>
              <w:left w:val="single" w:sz="4" w:space="0" w:color="000000"/>
              <w:right w:val="single" w:sz="4" w:space="0" w:color="000000"/>
            </w:tcBorders>
          </w:tcPr>
          <w:p>
            <w:pPr/>
          </w:p>
        </w:tc>
        <w:tc>
          <w:tcPr>
            <w:tcW w:w="1134" w:type="dxa"/>
            <w:vMerge w:val="restart"/>
            <w:tcBorders>
              <w:top w:val="single" w:sz="15" w:space="0" w:color="000000"/>
              <w:left w:val="single" w:sz="4" w:space="0" w:color="000000"/>
              <w:right w:val="single" w:sz="4" w:space="0" w:color="000000"/>
            </w:tcBorders>
          </w:tcPr>
          <w:p>
            <w:pPr/>
          </w:p>
        </w:tc>
        <w:tc>
          <w:tcPr>
            <w:tcW w:w="5104"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伙人认缴的出资将于本次重大资产重组经中国证券监督管理委员</w:t>
            </w:r>
          </w:p>
        </w:tc>
        <w:tc>
          <w:tcPr>
            <w:tcW w:w="1134" w:type="dxa"/>
            <w:vMerge w:val="restart"/>
            <w:tcBorders>
              <w:top w:val="single" w:sz="15" w:space="0" w:color="000000"/>
              <w:left w:val="single" w:sz="4" w:space="0" w:color="000000"/>
              <w:right w:val="single" w:sz="4" w:space="0" w:color="000000"/>
            </w:tcBorders>
          </w:tcPr>
          <w:p>
            <w:pPr/>
          </w:p>
        </w:tc>
        <w:tc>
          <w:tcPr>
            <w:tcW w:w="1418" w:type="dxa"/>
            <w:vMerge w:val="restart"/>
            <w:tcBorders>
              <w:top w:val="single" w:sz="15" w:space="0" w:color="000000"/>
              <w:left w:val="single" w:sz="4" w:space="0" w:color="000000"/>
              <w:right w:val="single" w:sz="4" w:space="0" w:color="000000"/>
            </w:tcBorders>
          </w:tcPr>
          <w:p>
            <w:pPr/>
          </w:p>
        </w:tc>
        <w:tc>
          <w:tcPr>
            <w:tcW w:w="1559" w:type="dxa"/>
            <w:vMerge w:val="restart"/>
            <w:tcBorders>
              <w:top w:val="single" w:sz="15" w:space="0" w:color="000000"/>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会核准后，向中国证券监督管理委员会报送募集配套资金部分的</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非公开发行方案前足额缴纳；</w:t>
            </w:r>
            <w:r>
              <w:rPr>
                <w:rFonts w:ascii="Times New Roman" w:hAnsi="Times New Roman" w:cs="Times New Roman" w:eastAsia="Times New Roman" w:hint="default"/>
                <w:sz w:val="18"/>
                <w:szCs w:val="18"/>
              </w:rPr>
              <w:t>6</w:t>
            </w:r>
            <w:r>
              <w:rPr>
                <w:rFonts w:ascii="宋体" w:hAnsi="宋体" w:cs="宋体" w:eastAsia="宋体" w:hint="default"/>
                <w:sz w:val="18"/>
                <w:szCs w:val="18"/>
              </w:rPr>
              <w:t>、本合伙企业财产份额</w:t>
            </w:r>
            <w:r>
              <w:rPr>
                <w:rFonts w:ascii="Times New Roman" w:hAnsi="Times New Roman" w:cs="Times New Roman" w:eastAsia="Times New Roman" w:hint="default"/>
                <w:sz w:val="18"/>
                <w:szCs w:val="18"/>
              </w:rPr>
              <w:t>/</w:t>
            </w:r>
            <w:r>
              <w:rPr>
                <w:rFonts w:ascii="宋体" w:hAnsi="宋体" w:cs="宋体" w:eastAsia="宋体" w:hint="default"/>
                <w:sz w:val="18"/>
                <w:szCs w:val="18"/>
              </w:rPr>
              <w:t>各合伙人</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4"/>
                <w:sz w:val="18"/>
                <w:szCs w:val="18"/>
              </w:rPr>
              <w:t>的出资不存在被质押、冻结、司法查封或拍卖、托管、设定</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信托、第三方权利、被依法限制表决权的情形，不存在利益输送</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或其他权益安排，本合伙企业财产份额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各合伙人的出资不存在纠</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纷或潜在纠纷；</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、本次重大资产重组完成后，本合伙企业将持有</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新开普的股份，本合伙企业未就该等股份设置任何质押、托管、</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委托、信托、第三方权利、被依法限制表决权等情形，不存在代</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其他方持有的情形，不存在利益输送或其他权益安排，不存在纠</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纷或潜在纠纷；</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、本次重大资产重组完成后，本合伙企业认购新</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开普为募集配套资金非公开发行股份的锁定期届满前，本合伙企</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业的合伙人不退伙；</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、本合伙企业认购新开普为募集配套资金非</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公开发行的股份，不存在通过结构化资产管理产品参与认购的情</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形；</w:t>
            </w:r>
            <w:r>
              <w:rPr>
                <w:rFonts w:ascii="Times New Roman" w:hAnsi="Times New Roman" w:cs="Times New Roman" w:eastAsia="Times New Roman" w:hint="default"/>
                <w:sz w:val="18"/>
                <w:szCs w:val="18"/>
              </w:rPr>
              <w:t>10</w:t>
            </w:r>
            <w:r>
              <w:rPr>
                <w:rFonts w:ascii="宋体" w:hAnsi="宋体" w:cs="宋体" w:eastAsia="宋体" w:hint="default"/>
                <w:sz w:val="18"/>
                <w:szCs w:val="18"/>
              </w:rPr>
              <w:t>、本合伙企业不存在法律法规规定的不得认购上市公司非</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3"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公开发行股份的情形。</w:t>
            </w:r>
            <w:r>
              <w:rPr>
                <w:rFonts w:ascii="Times New Roman" w:hAnsi="Times New Roman" w:cs="Times New Roman" w:eastAsia="Times New Roman" w:hint="default"/>
                <w:sz w:val="18"/>
                <w:szCs w:val="18"/>
              </w:rPr>
              <w:t>11</w:t>
            </w:r>
            <w:r>
              <w:rPr>
                <w:rFonts w:ascii="宋体" w:hAnsi="宋体" w:cs="宋体" w:eastAsia="宋体" w:hint="default"/>
                <w:sz w:val="18"/>
                <w:szCs w:val="18"/>
              </w:rPr>
              <w:t>、本合伙企业设立的目的系为了认购新</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5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51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开普本次募集配套资金发行的股份。</w:t>
            </w:r>
          </w:p>
        </w:tc>
        <w:tc>
          <w:tcPr>
            <w:tcW w:w="1134"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r>
      <w:tr>
        <w:trPr>
          <w:trHeight w:val="362" w:hRule="exact"/>
        </w:trPr>
        <w:tc>
          <w:tcPr>
            <w:tcW w:w="2127" w:type="dxa"/>
            <w:vMerge/>
            <w:tcBorders>
              <w:left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51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、本人未负有数额较大的到期未清偿债务；</w:t>
            </w:r>
            <w:r>
              <w:rPr>
                <w:rFonts w:ascii="Times New Roman" w:hAnsi="Times New Roman" w:cs="Times New Roman" w:eastAsia="Times New Roman" w:hint="default"/>
                <w:sz w:val="18"/>
                <w:szCs w:val="18"/>
              </w:rPr>
              <w:t>2</w:t>
            </w:r>
            <w:r>
              <w:rPr>
                <w:rFonts w:ascii="宋体" w:hAnsi="宋体" w:cs="宋体" w:eastAsia="宋体" w:hint="default"/>
                <w:sz w:val="18"/>
                <w:szCs w:val="18"/>
              </w:rPr>
              <w:t>、本人未受过行政</w:t>
            </w:r>
          </w:p>
        </w:tc>
        <w:tc>
          <w:tcPr>
            <w:tcW w:w="1134"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处</w:t>
            </w:r>
            <w:r>
              <w:rPr>
                <w:rFonts w:ascii="宋体" w:hAnsi="宋体" w:cs="宋体" w:eastAsia="宋体" w:hint="default"/>
                <w:spacing w:val="-28"/>
                <w:sz w:val="18"/>
                <w:szCs w:val="18"/>
              </w:rPr>
              <w:t>罚</w:t>
            </w:r>
            <w:r>
              <w:rPr>
                <w:rFonts w:ascii="宋体" w:hAnsi="宋体" w:cs="宋体" w:eastAsia="宋体" w:hint="default"/>
                <w:sz w:val="18"/>
                <w:szCs w:val="18"/>
              </w:rPr>
              <w:t>（与证券市场明显无关的除外</w:t>
            </w:r>
            <w:r>
              <w:rPr>
                <w:rFonts w:ascii="宋体" w:hAnsi="宋体" w:cs="宋体" w:eastAsia="宋体" w:hint="default"/>
                <w:spacing w:val="-90"/>
                <w:sz w:val="18"/>
                <w:szCs w:val="18"/>
              </w:rPr>
              <w:t>）</w:t>
            </w:r>
            <w:r>
              <w:rPr>
                <w:rFonts w:ascii="宋体" w:hAnsi="宋体" w:cs="宋体" w:eastAsia="宋体" w:hint="default"/>
                <w:spacing w:val="-28"/>
                <w:sz w:val="18"/>
                <w:szCs w:val="18"/>
              </w:rPr>
              <w:t>、</w:t>
            </w:r>
            <w:r>
              <w:rPr>
                <w:rFonts w:ascii="宋体" w:hAnsi="宋体" w:cs="宋体" w:eastAsia="宋体" w:hint="default"/>
                <w:sz w:val="18"/>
                <w:szCs w:val="18"/>
              </w:rPr>
              <w:t>刑事处罚</w:t>
            </w:r>
            <w:r>
              <w:rPr>
                <w:rFonts w:ascii="宋体" w:hAnsi="宋体" w:cs="宋体" w:eastAsia="宋体" w:hint="default"/>
                <w:spacing w:val="-28"/>
                <w:sz w:val="18"/>
                <w:szCs w:val="18"/>
              </w:rPr>
              <w:t>，</w:t>
            </w:r>
            <w:r>
              <w:rPr>
                <w:rFonts w:ascii="宋体" w:hAnsi="宋体" w:cs="宋体" w:eastAsia="宋体" w:hint="default"/>
                <w:sz w:val="18"/>
                <w:szCs w:val="18"/>
              </w:rPr>
              <w:t>未涉及与经济纠</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纷有关的重大民事诉讼或仲裁，不存在尚未了结的或可预见的重</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大诉讼、仲裁或行政处罚案件，不存在被中国证监会或证券交易</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9" w:lineRule="auto"/>
              <w:ind w:left="23" w:right="-34"/>
              <w:jc w:val="left"/>
              <w:rPr>
                <w:rFonts w:ascii="宋体" w:hAnsi="宋体" w:cs="宋体" w:eastAsia="宋体" w:hint="default"/>
                <w:sz w:val="18"/>
                <w:szCs w:val="18"/>
              </w:rPr>
            </w:pPr>
            <w:r>
              <w:rPr>
                <w:rFonts w:ascii="宋体" w:hAnsi="宋体" w:cs="宋体" w:eastAsia="宋体" w:hint="default"/>
                <w:sz w:val="18"/>
                <w:szCs w:val="18"/>
              </w:rPr>
              <w:t>公司配套融资的 </w:t>
            </w:r>
            <w:r>
              <w:rPr>
                <w:rFonts w:ascii="宋体" w:hAnsi="宋体" w:cs="宋体" w:eastAsia="宋体" w:hint="default"/>
                <w:spacing w:val="-3"/>
                <w:sz w:val="18"/>
                <w:szCs w:val="18"/>
              </w:rPr>
              <w:t>认购对象罗会军、</w:t>
            </w:r>
            <w:r>
              <w:rPr>
                <w:rFonts w:ascii="宋体" w:hAnsi="宋体" w:cs="宋体" w:eastAsia="宋体" w:hint="default"/>
                <w:spacing w:val="-23"/>
                <w:sz w:val="18"/>
                <w:szCs w:val="18"/>
              </w:rPr>
              <w:t> </w:t>
            </w:r>
            <w:r>
              <w:rPr>
                <w:rFonts w:ascii="宋体" w:hAnsi="宋体" w:cs="宋体" w:eastAsia="宋体" w:hint="default"/>
                <w:sz w:val="18"/>
                <w:szCs w:val="18"/>
              </w:rPr>
              <w:t>柳楠、吴凤辉</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3" w:right="20"/>
              <w:jc w:val="left"/>
              <w:rPr>
                <w:rFonts w:ascii="宋体" w:hAnsi="宋体" w:cs="宋体" w:eastAsia="宋体" w:hint="default"/>
                <w:sz w:val="18"/>
                <w:szCs w:val="18"/>
              </w:rPr>
            </w:pPr>
            <w:r>
              <w:rPr>
                <w:rFonts w:ascii="宋体" w:hAnsi="宋体" w:cs="宋体" w:eastAsia="宋体" w:hint="default"/>
                <w:spacing w:val="-3"/>
                <w:sz w:val="18"/>
                <w:szCs w:val="18"/>
              </w:rPr>
              <w:t>所采取监管措施的情形；</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、本人用于认购新开普本次募集配套资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金非公开发行股份的金来源为自有资金；本人前述认购资金将按 </w:t>
            </w:r>
            <w:r>
              <w:rPr>
                <w:rFonts w:ascii="宋体" w:hAnsi="宋体" w:cs="宋体" w:eastAsia="宋体" w:hint="default"/>
                <w:spacing w:val="-3"/>
                <w:sz w:val="18"/>
                <w:szCs w:val="18"/>
              </w:rPr>
              <w:t>照与新开普签署的《股份认购协议》约定的时间及时、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否则本人将向新开普支付股份认购款总金额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的违约金；本人 资产状况良好，用于认购新开普本次募集配套资金非公开发行股</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长期有效</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2" w:right="84"/>
              <w:jc w:val="both"/>
              <w:rPr>
                <w:rFonts w:ascii="宋体" w:hAnsi="宋体" w:cs="宋体" w:eastAsia="宋体" w:hint="default"/>
                <w:sz w:val="18"/>
                <w:szCs w:val="18"/>
              </w:rPr>
            </w:pPr>
            <w:r>
              <w:rPr>
                <w:rFonts w:ascii="宋体" w:hAnsi="宋体" w:cs="宋体" w:eastAsia="宋体" w:hint="default"/>
                <w:sz w:val="18"/>
                <w:szCs w:val="18"/>
              </w:rPr>
              <w:t>截至报告期末，上 述承诺人严格信守 承诺，未发生违反 承诺的情况。</w:t>
            </w: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份的资金来源真实合法、不存在违法违规的情形、不存在被有关</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部门收缴、追索等法律风险；</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、本次重大资产重组完成后，本人</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将直接持有新开普的股份，本人未就该等股份设置任何质押、托</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127" w:type="dxa"/>
            <w:vMerge/>
            <w:tcBorders>
              <w:left w:val="single" w:sz="4" w:space="0" w:color="000000"/>
              <w:bottom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1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管、委托、信托、第三方权利、被依法限制表决权等情形，不存</w:t>
            </w:r>
          </w:p>
        </w:tc>
        <w:tc>
          <w:tcPr>
            <w:tcW w:w="1134"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20" w:right="1340"/>
        </w:sectPr>
      </w:pPr>
    </w:p>
    <w:p>
      <w:pPr>
        <w:spacing w:line="307" w:lineRule="auto" w:before="87"/>
        <w:ind w:left="4846" w:right="4345" w:firstLine="0"/>
        <w:jc w:val="both"/>
        <w:rPr>
          <w:rFonts w:ascii="宋体" w:hAnsi="宋体" w:cs="宋体" w:eastAsia="宋体" w:hint="default"/>
          <w:sz w:val="18"/>
          <w:szCs w:val="18"/>
        </w:rPr>
      </w:pPr>
      <w:r>
        <w:rPr>
          <w:rFonts w:ascii="宋体" w:hAnsi="宋体" w:cs="宋体" w:eastAsia="宋体" w:hint="default"/>
          <w:spacing w:val="-4"/>
          <w:sz w:val="18"/>
          <w:szCs w:val="18"/>
        </w:rPr>
        <w:t>在代其他方持有的情形，不存在利益输送或其他权益安排；</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、本</w:t>
      </w:r>
      <w:r>
        <w:rPr>
          <w:rFonts w:ascii="宋体" w:hAnsi="宋体" w:cs="宋体" w:eastAsia="宋体" w:hint="default"/>
          <w:spacing w:val="-86"/>
          <w:sz w:val="18"/>
          <w:szCs w:val="18"/>
        </w:rPr>
        <w:t> </w:t>
      </w:r>
      <w:r>
        <w:rPr>
          <w:rFonts w:ascii="宋体" w:hAnsi="宋体" w:cs="宋体" w:eastAsia="宋体" w:hint="default"/>
          <w:sz w:val="18"/>
          <w:szCs w:val="18"/>
        </w:rPr>
        <w:t>人承诺遵守相关法律法规及监管部门规定的关于短线交易、内幕</w:t>
      </w:r>
      <w:r>
        <w:rPr>
          <w:rFonts w:ascii="宋体" w:hAnsi="宋体" w:cs="宋体" w:eastAsia="宋体" w:hint="default"/>
          <w:sz w:val="18"/>
          <w:szCs w:val="18"/>
        </w:rPr>
        <w:t> </w:t>
      </w:r>
      <w:r>
        <w:rPr>
          <w:rFonts w:ascii="宋体" w:hAnsi="宋体" w:cs="宋体" w:eastAsia="宋体" w:hint="default"/>
          <w:spacing w:val="-3"/>
          <w:sz w:val="18"/>
          <w:szCs w:val="18"/>
        </w:rPr>
        <w:t>交易和高级管理人员持股变动管理规则等的相关义务。</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、本人不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存在法律法规规定的不得认购上市公司非公开发行股份的情形。</w:t>
      </w:r>
    </w:p>
    <w:p>
      <w:pPr>
        <w:spacing w:after="0" w:line="307" w:lineRule="auto"/>
        <w:jc w:val="both"/>
        <w:rPr>
          <w:rFonts w:ascii="宋体" w:hAnsi="宋体" w:cs="宋体" w:eastAsia="宋体" w:hint="default"/>
          <w:sz w:val="18"/>
          <w:szCs w:val="18"/>
        </w:rPr>
        <w:sectPr>
          <w:pgSz w:w="16840" w:h="11910" w:orient="landscape"/>
          <w:pgMar w:header="867" w:footer="978" w:top="1060" w:bottom="1160" w:left="1300" w:right="1300"/>
        </w:sectPr>
      </w:pPr>
    </w:p>
    <w:p>
      <w:pPr>
        <w:spacing w:line="240" w:lineRule="auto" w:before="10"/>
        <w:rPr>
          <w:rFonts w:ascii="宋体" w:hAnsi="宋体" w:cs="宋体" w:eastAsia="宋体" w:hint="default"/>
          <w:sz w:val="20"/>
          <w:szCs w:val="20"/>
        </w:rPr>
      </w:pPr>
    </w:p>
    <w:p>
      <w:pPr>
        <w:spacing w:line="316" w:lineRule="auto" w:before="0"/>
        <w:ind w:left="2295" w:right="677" w:firstLine="0"/>
        <w:jc w:val="left"/>
        <w:rPr>
          <w:rFonts w:ascii="宋体" w:hAnsi="宋体" w:cs="宋体" w:eastAsia="宋体" w:hint="default"/>
          <w:sz w:val="18"/>
          <w:szCs w:val="18"/>
        </w:rPr>
      </w:pPr>
      <w:r>
        <w:rPr>
          <w:rFonts w:ascii="宋体" w:hAnsi="宋体" w:cs="宋体" w:eastAsia="宋体" w:hint="default"/>
          <w:sz w:val="18"/>
          <w:szCs w:val="18"/>
        </w:rPr>
        <w:t>杨维国、付秋生、 尚卫国、赵利宾、</w:t>
      </w:r>
    </w:p>
    <w:p>
      <w:pPr>
        <w:spacing w:line="196" w:lineRule="exact" w:before="19"/>
        <w:ind w:left="2295" w:right="-20" w:firstLine="0"/>
        <w:jc w:val="left"/>
        <w:rPr>
          <w:rFonts w:ascii="宋体" w:hAnsi="宋体" w:cs="宋体" w:eastAsia="宋体" w:hint="default"/>
          <w:sz w:val="18"/>
          <w:szCs w:val="18"/>
        </w:rPr>
      </w:pPr>
      <w:r>
        <w:rPr>
          <w:rFonts w:ascii="宋体" w:hAnsi="宋体" w:cs="宋体" w:eastAsia="宋体" w:hint="default"/>
          <w:sz w:val="18"/>
          <w:szCs w:val="18"/>
        </w:rPr>
        <w:t>华梦阳、郎金文、</w:t>
      </w:r>
    </w:p>
    <w:p>
      <w:pPr>
        <w:spacing w:line="158" w:lineRule="auto" w:before="32"/>
        <w:ind w:left="2295" w:right="-20" w:firstLine="1417"/>
        <w:jc w:val="left"/>
        <w:rPr>
          <w:rFonts w:ascii="宋体" w:hAnsi="宋体" w:cs="宋体" w:eastAsia="宋体" w:hint="default"/>
          <w:sz w:val="18"/>
          <w:szCs w:val="18"/>
        </w:rPr>
      </w:pPr>
      <w:r>
        <w:rPr>
          <w:rFonts w:ascii="宋体" w:hAnsi="宋体" w:cs="宋体" w:eastAsia="宋体" w:hint="default"/>
          <w:sz w:val="18"/>
          <w:szCs w:val="18"/>
        </w:rPr>
        <w:t>其他承诺 杜建平、傅常顺、</w:t>
      </w:r>
    </w:p>
    <w:p>
      <w:pPr>
        <w:spacing w:line="319" w:lineRule="auto" w:before="85"/>
        <w:ind w:left="2295" w:right="757" w:firstLine="0"/>
        <w:jc w:val="left"/>
        <w:rPr>
          <w:rFonts w:ascii="宋体" w:hAnsi="宋体" w:cs="宋体" w:eastAsia="宋体" w:hint="default"/>
          <w:sz w:val="18"/>
          <w:szCs w:val="18"/>
        </w:rPr>
      </w:pPr>
      <w:r>
        <w:rPr>
          <w:rFonts w:ascii="宋体" w:hAnsi="宋体" w:cs="宋体" w:eastAsia="宋体" w:hint="default"/>
          <w:spacing w:val="-10"/>
          <w:sz w:val="18"/>
          <w:szCs w:val="18"/>
        </w:rPr>
        <w:t>葛晓阁、刘恩臣等</w:t>
      </w:r>
      <w:r>
        <w:rPr>
          <w:rFonts w:ascii="宋体" w:hAnsi="宋体" w:cs="宋体" w:eastAsia="宋体" w:hint="default"/>
          <w:sz w:val="18"/>
          <w:szCs w:val="18"/>
        </w:rPr>
        <w:t> 十名一致行动人</w:t>
      </w:r>
    </w:p>
    <w:p>
      <w:pPr>
        <w:spacing w:line="312" w:lineRule="auto" w:before="116"/>
        <w:ind w:left="373" w:right="-17" w:firstLine="0"/>
        <w:jc w:val="left"/>
        <w:rPr>
          <w:rFonts w:ascii="宋体" w:hAnsi="宋体" w:cs="宋体" w:eastAsia="宋体" w:hint="default"/>
          <w:sz w:val="18"/>
          <w:szCs w:val="18"/>
        </w:rPr>
      </w:pPr>
      <w:r>
        <w:rPr/>
        <w:br w:type="column"/>
      </w:r>
      <w:r>
        <w:rPr>
          <w:rFonts w:ascii="宋体" w:hAnsi="宋体" w:cs="宋体" w:eastAsia="宋体" w:hint="default"/>
          <w:sz w:val="18"/>
          <w:szCs w:val="18"/>
        </w:rPr>
        <w:t>杨维国及其一致行动人于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7"/>
          <w:w w:val="99"/>
          <w:sz w:val="18"/>
          <w:szCs w:val="18"/>
        </w:rPr>
        <w:t>月出具《承诺函》，承诺：</w:t>
      </w:r>
      <w:r>
        <w:rPr>
          <w:rFonts w:ascii="Times New Roman" w:hAnsi="Times New Roman" w:cs="Times New Roman" w:eastAsia="Times New Roman" w:hint="default"/>
          <w:spacing w:val="-7"/>
          <w:w w:val="99"/>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自新开普本次重大资产重组募集配套资金发行股份完成之日（即 在中国证券登记结算有限责任公司深圳分公司完成登记之日）起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pacing w:val="-2"/>
          <w:sz w:val="18"/>
          <w:szCs w:val="18"/>
        </w:rPr>
        <w:t>个月内，本人在本次重大资产重组前持有的新开普股份将不以</w:t>
      </w:r>
      <w:r>
        <w:rPr>
          <w:rFonts w:ascii="宋体" w:hAnsi="宋体" w:cs="宋体" w:eastAsia="宋体" w:hint="default"/>
          <w:sz w:val="18"/>
          <w:szCs w:val="18"/>
        </w:rPr>
        <w:t> 任何方式进行转让或上市交易，也不由新开普回购该等股份。如 前述股份由于新开普送股、转增股本等事项增持的，增持的股份 亦遵守上述承诺</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spacing w:before="0"/>
        <w:ind w:left="15"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spacing w:before="63"/>
        <w:ind w:left="15"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0"/>
          <w:szCs w:val="20"/>
        </w:rPr>
      </w:pPr>
    </w:p>
    <w:p>
      <w:pPr>
        <w:spacing w:before="0"/>
        <w:ind w:left="60"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p>
      <w:pPr>
        <w:spacing w:before="61"/>
        <w:ind w:left="60" w:right="-18"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spacing w:before="64"/>
        <w:ind w:left="60" w:right="-18" w:firstLine="0"/>
        <w:jc w:val="left"/>
        <w:rPr>
          <w:rFonts w:ascii="宋体" w:hAnsi="宋体" w:cs="宋体" w:eastAsia="宋体" w:hint="default"/>
          <w:sz w:val="18"/>
          <w:szCs w:val="18"/>
        </w:rPr>
      </w:pP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26"/>
          <w:szCs w:val="26"/>
        </w:rPr>
      </w:pPr>
    </w:p>
    <w:p>
      <w:pPr>
        <w:spacing w:line="316" w:lineRule="auto" w:before="0"/>
        <w:ind w:left="16" w:right="298" w:firstLine="0"/>
        <w:jc w:val="both"/>
        <w:rPr>
          <w:rFonts w:ascii="宋体" w:hAnsi="宋体" w:cs="宋体" w:eastAsia="宋体" w:hint="default"/>
          <w:sz w:val="18"/>
          <w:szCs w:val="18"/>
        </w:rPr>
      </w:pPr>
      <w:r>
        <w:rPr>
          <w:rFonts w:ascii="宋体" w:hAnsi="宋体" w:cs="宋体" w:eastAsia="宋体" w:hint="default"/>
          <w:sz w:val="18"/>
          <w:szCs w:val="18"/>
        </w:rPr>
        <w:t>截至报告期末，上 述承诺人严格信守 承诺，未发生违反 承诺的情况。</w:t>
      </w:r>
    </w:p>
    <w:p>
      <w:pPr>
        <w:spacing w:after="0" w:line="316" w:lineRule="auto"/>
        <w:jc w:val="both"/>
        <w:rPr>
          <w:rFonts w:ascii="宋体" w:hAnsi="宋体" w:cs="宋体" w:eastAsia="宋体" w:hint="default"/>
          <w:sz w:val="18"/>
          <w:szCs w:val="18"/>
        </w:rPr>
        <w:sectPr>
          <w:type w:val="continuous"/>
          <w:pgSz w:w="16840" w:h="11910" w:orient="landscape"/>
          <w:pgMar w:top="1060" w:bottom="1180" w:left="1300" w:right="1300"/>
          <w:cols w:num="5" w:equalWidth="0">
            <w:col w:w="4433" w:space="40"/>
            <w:col w:w="5422" w:space="40"/>
            <w:col w:w="1049" w:space="40"/>
            <w:col w:w="1423" w:space="40"/>
            <w:col w:w="1753"/>
          </w:cols>
        </w:sectPr>
      </w:pPr>
    </w:p>
    <w:p>
      <w:pPr>
        <w:spacing w:line="316" w:lineRule="auto" w:before="93"/>
        <w:ind w:left="2295" w:right="-20" w:firstLine="0"/>
        <w:jc w:val="left"/>
        <w:rPr>
          <w:rFonts w:ascii="宋体" w:hAnsi="宋体" w:cs="宋体" w:eastAsia="宋体" w:hint="default"/>
          <w:sz w:val="18"/>
          <w:szCs w:val="18"/>
        </w:rPr>
      </w:pPr>
      <w:r>
        <w:rPr/>
        <w:pict>
          <v:shape style="position:absolute;margin-left:243.289597pt;margin-top:2.081714pt;width:62.35pt;height:113.25pt;mso-position-horizontal-relative:page;mso-position-vertical-relative:paragraph;z-index:-116807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宋体" w:hAnsi="宋体" w:cs="宋体" w:eastAsia="宋体" w:hint="default"/>
          <w:sz w:val="18"/>
          <w:szCs w:val="18"/>
        </w:rPr>
        <w:t>现金购买资产的 </w:t>
      </w:r>
      <w:r>
        <w:rPr>
          <w:rFonts w:ascii="宋体" w:hAnsi="宋体" w:cs="宋体" w:eastAsia="宋体" w:hint="default"/>
          <w:spacing w:val="-10"/>
          <w:sz w:val="18"/>
          <w:szCs w:val="18"/>
        </w:rPr>
        <w:t>交易对方何伟、乔</w:t>
      </w:r>
      <w:r>
        <w:rPr>
          <w:rFonts w:ascii="宋体" w:hAnsi="宋体" w:cs="宋体" w:eastAsia="宋体" w:hint="default"/>
          <w:sz w:val="18"/>
          <w:szCs w:val="18"/>
        </w:rPr>
        <w:t> </w:t>
      </w:r>
      <w:r>
        <w:rPr>
          <w:rFonts w:ascii="宋体" w:hAnsi="宋体" w:cs="宋体" w:eastAsia="宋体" w:hint="default"/>
          <w:spacing w:val="-10"/>
          <w:sz w:val="18"/>
          <w:szCs w:val="18"/>
        </w:rPr>
        <w:t>志刚、杨宏生、周</w:t>
      </w:r>
      <w:r>
        <w:rPr>
          <w:rFonts w:ascii="宋体" w:hAnsi="宋体" w:cs="宋体" w:eastAsia="宋体" w:hint="default"/>
          <w:sz w:val="18"/>
          <w:szCs w:val="18"/>
        </w:rPr>
        <w:t> </w:t>
      </w:r>
      <w:r>
        <w:rPr>
          <w:rFonts w:ascii="宋体" w:hAnsi="宋体" w:cs="宋体" w:eastAsia="宋体" w:hint="default"/>
          <w:spacing w:val="-22"/>
          <w:sz w:val="18"/>
          <w:szCs w:val="18"/>
        </w:rPr>
        <w:t>华、王建成、吴琼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上海君略投资管</w:t>
      </w:r>
      <w:r>
        <w:rPr>
          <w:rFonts w:ascii="宋体" w:hAnsi="宋体" w:cs="宋体" w:eastAsia="宋体" w:hint="default"/>
          <w:sz w:val="18"/>
          <w:szCs w:val="18"/>
        </w:rPr>
        <w:t> </w:t>
      </w:r>
      <w:r>
        <w:rPr>
          <w:rFonts w:ascii="宋体" w:hAnsi="宋体" w:cs="宋体" w:eastAsia="宋体" w:hint="default"/>
          <w:spacing w:val="-10"/>
          <w:sz w:val="18"/>
          <w:szCs w:val="18"/>
        </w:rPr>
        <w:t>理合伙企业（有限</w:t>
      </w:r>
      <w:r>
        <w:rPr>
          <w:rFonts w:ascii="宋体" w:hAnsi="宋体" w:cs="宋体" w:eastAsia="宋体" w:hint="default"/>
          <w:sz w:val="18"/>
          <w:szCs w:val="18"/>
        </w:rPr>
        <w:t> 合伙）</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spacing w:line="316" w:lineRule="auto" w:before="0"/>
        <w:ind w:left="16" w:right="-20" w:firstLine="0"/>
        <w:jc w:val="left"/>
        <w:rPr>
          <w:rFonts w:ascii="宋体" w:hAnsi="宋体" w:cs="宋体" w:eastAsia="宋体" w:hint="default"/>
          <w:sz w:val="18"/>
          <w:szCs w:val="18"/>
        </w:rPr>
      </w:pPr>
      <w:r>
        <w:rPr>
          <w:rFonts w:ascii="宋体" w:hAnsi="宋体" w:cs="宋体" w:eastAsia="宋体" w:hint="default"/>
          <w:sz w:val="18"/>
          <w:szCs w:val="18"/>
        </w:rPr>
        <w:t>业绩承诺及 补偿安排</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2"/>
          <w:szCs w:val="12"/>
        </w:rPr>
      </w:pPr>
    </w:p>
    <w:p>
      <w:pPr>
        <w:spacing w:line="309" w:lineRule="auto" w:before="0"/>
        <w:ind w:left="193" w:right="0" w:firstLine="0"/>
        <w:jc w:val="both"/>
        <w:rPr>
          <w:rFonts w:ascii="宋体" w:hAnsi="宋体" w:cs="宋体" w:eastAsia="宋体" w:hint="default"/>
          <w:sz w:val="18"/>
          <w:szCs w:val="18"/>
        </w:rPr>
      </w:pPr>
      <w:r>
        <w:rPr>
          <w:rFonts w:ascii="宋体" w:hAnsi="宋体" w:cs="宋体" w:eastAsia="宋体" w:hint="default"/>
          <w:sz w:val="18"/>
          <w:szCs w:val="18"/>
        </w:rPr>
        <w:t>本次交易的交易对方承诺：上海树维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 的净利润（以当年经审计的扣除非经常性损益后归属于母公司股 </w:t>
      </w:r>
      <w:r>
        <w:rPr>
          <w:rFonts w:ascii="宋体" w:hAnsi="宋体" w:cs="宋体" w:eastAsia="宋体" w:hint="default"/>
          <w:spacing w:val="-4"/>
          <w:sz w:val="18"/>
          <w:szCs w:val="18"/>
        </w:rPr>
        <w:t>东的净利润为准）分别不低于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1,600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万元。如果实际</w:t>
      </w:r>
      <w:r>
        <w:rPr>
          <w:rFonts w:ascii="宋体" w:hAnsi="宋体" w:cs="宋体" w:eastAsia="宋体" w:hint="default"/>
          <w:sz w:val="18"/>
          <w:szCs w:val="18"/>
        </w:rPr>
        <w:t> 净利润低于上述承诺净利润，交易对方将按照签署的《现金购买 资产协议》的相关规定进行补偿。</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spacing w:before="0"/>
        <w:ind w:left="16"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spacing w:before="63"/>
        <w:ind w:left="16"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8"/>
          <w:szCs w:val="18"/>
        </w:rPr>
      </w:pPr>
    </w:p>
    <w:p>
      <w:pPr>
        <w:spacing w:before="0"/>
        <w:ind w:left="60"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w:t>
      </w:r>
    </w:p>
    <w:p>
      <w:pPr>
        <w:spacing w:before="61"/>
        <w:ind w:left="60" w:right="-17"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spacing w:before="64"/>
        <w:ind w:left="60" w:right="-17" w:firstLine="0"/>
        <w:jc w:val="left"/>
        <w:rPr>
          <w:rFonts w:ascii="宋体" w:hAnsi="宋体" w:cs="宋体" w:eastAsia="宋体" w:hint="default"/>
          <w:sz w:val="18"/>
          <w:szCs w:val="18"/>
        </w:rPr>
      </w:pP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4"/>
          <w:szCs w:val="24"/>
        </w:rPr>
      </w:pPr>
    </w:p>
    <w:p>
      <w:pPr>
        <w:spacing w:before="0"/>
        <w:ind w:left="73" w:right="0" w:firstLine="0"/>
        <w:jc w:val="left"/>
        <w:rPr>
          <w:rFonts w:ascii="宋体" w:hAnsi="宋体" w:cs="宋体" w:eastAsia="宋体" w:hint="default"/>
          <w:sz w:val="18"/>
          <w:szCs w:val="18"/>
        </w:rPr>
      </w:pPr>
      <w:r>
        <w:rPr>
          <w:rFonts w:ascii="宋体" w:hAnsi="宋体" w:cs="宋体" w:eastAsia="宋体" w:hint="default"/>
          <w:sz w:val="18"/>
          <w:szCs w:val="18"/>
        </w:rPr>
        <w:t>正在履行中。</w:t>
      </w:r>
    </w:p>
    <w:p>
      <w:pPr>
        <w:spacing w:after="0"/>
        <w:jc w:val="left"/>
        <w:rPr>
          <w:rFonts w:ascii="宋体" w:hAnsi="宋体" w:cs="宋体" w:eastAsia="宋体" w:hint="default"/>
          <w:sz w:val="18"/>
          <w:szCs w:val="18"/>
        </w:rPr>
        <w:sectPr>
          <w:type w:val="continuous"/>
          <w:pgSz w:w="16840" w:h="11910" w:orient="landscape"/>
          <w:pgMar w:top="1060" w:bottom="1180" w:left="1300" w:right="1300"/>
          <w:cols w:num="6" w:equalWidth="0">
            <w:col w:w="3656" w:space="40"/>
            <w:col w:w="917" w:space="40"/>
            <w:col w:w="5240" w:space="40"/>
            <w:col w:w="1050" w:space="40"/>
            <w:col w:w="1366" w:space="40"/>
            <w:col w:w="1811"/>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2"/>
          <w:szCs w:val="12"/>
        </w:rPr>
      </w:pPr>
    </w:p>
    <w:p>
      <w:pPr>
        <w:spacing w:line="310" w:lineRule="atLeast" w:before="0"/>
        <w:ind w:left="2295" w:right="-20" w:firstLine="0"/>
        <w:jc w:val="left"/>
        <w:rPr>
          <w:rFonts w:ascii="宋体" w:hAnsi="宋体" w:cs="宋体" w:eastAsia="宋体" w:hint="default"/>
          <w:sz w:val="18"/>
          <w:szCs w:val="18"/>
        </w:rPr>
      </w:pPr>
      <w:r>
        <w:rPr>
          <w:rFonts w:ascii="宋体" w:hAnsi="宋体" w:cs="宋体" w:eastAsia="宋体" w:hint="default"/>
          <w:sz w:val="18"/>
          <w:szCs w:val="18"/>
        </w:rPr>
        <w:t>现金购买资产的 </w:t>
      </w:r>
      <w:r>
        <w:rPr>
          <w:rFonts w:ascii="宋体" w:hAnsi="宋体" w:cs="宋体" w:eastAsia="宋体" w:hint="default"/>
          <w:spacing w:val="-10"/>
          <w:sz w:val="18"/>
          <w:szCs w:val="18"/>
        </w:rPr>
        <w:t>交易对方何伟、乔</w:t>
      </w:r>
      <w:r>
        <w:rPr>
          <w:rFonts w:ascii="宋体" w:hAnsi="宋体" w:cs="宋体" w:eastAsia="宋体" w:hint="default"/>
          <w:sz w:val="18"/>
          <w:szCs w:val="18"/>
        </w:rPr>
        <w:t> </w:t>
      </w:r>
      <w:r>
        <w:rPr>
          <w:rFonts w:ascii="宋体" w:hAnsi="宋体" w:cs="宋体" w:eastAsia="宋体" w:hint="default"/>
          <w:spacing w:val="-10"/>
          <w:sz w:val="18"/>
          <w:szCs w:val="18"/>
        </w:rPr>
        <w:t>志刚、杨宏生、周</w:t>
      </w:r>
      <w:r>
        <w:rPr>
          <w:rFonts w:ascii="宋体" w:hAnsi="宋体" w:cs="宋体" w:eastAsia="宋体" w:hint="default"/>
          <w:sz w:val="18"/>
          <w:szCs w:val="18"/>
        </w:rPr>
        <w:t> </w:t>
      </w:r>
      <w:r>
        <w:rPr>
          <w:rFonts w:ascii="宋体" w:hAnsi="宋体" w:cs="宋体" w:eastAsia="宋体" w:hint="default"/>
          <w:spacing w:val="-22"/>
          <w:sz w:val="18"/>
          <w:szCs w:val="18"/>
        </w:rPr>
        <w:t>华、王建成、吴琼</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7"/>
          <w:szCs w:val="17"/>
        </w:rPr>
      </w:pPr>
    </w:p>
    <w:p>
      <w:pPr>
        <w:spacing w:line="212" w:lineRule="exact" w:before="0"/>
        <w:ind w:left="16" w:right="-20" w:firstLine="0"/>
        <w:jc w:val="left"/>
        <w:rPr>
          <w:rFonts w:ascii="宋体" w:hAnsi="宋体" w:cs="宋体" w:eastAsia="宋体" w:hint="default"/>
          <w:sz w:val="18"/>
          <w:szCs w:val="18"/>
        </w:rPr>
      </w:pPr>
      <w:r>
        <w:rPr>
          <w:rFonts w:ascii="宋体" w:hAnsi="宋体" w:cs="宋体" w:eastAsia="宋体" w:hint="default"/>
          <w:sz w:val="18"/>
          <w:szCs w:val="18"/>
        </w:rPr>
        <w:t>其他承诺</w:t>
      </w:r>
    </w:p>
    <w:p>
      <w:pPr>
        <w:spacing w:line="314" w:lineRule="auto" w:before="109"/>
        <w:ind w:left="373" w:right="0" w:firstLine="0"/>
        <w:jc w:val="both"/>
        <w:rPr>
          <w:rFonts w:ascii="宋体" w:hAnsi="宋体" w:cs="宋体" w:eastAsia="宋体" w:hint="default"/>
          <w:sz w:val="18"/>
          <w:szCs w:val="18"/>
        </w:rPr>
      </w:pPr>
      <w:r>
        <w:rPr>
          <w:spacing w:val="-3"/>
        </w:rPr>
        <w:br w:type="column"/>
      </w:r>
      <w:r>
        <w:rPr>
          <w:rFonts w:ascii="宋体" w:hAnsi="宋体" w:cs="宋体" w:eastAsia="宋体" w:hint="default"/>
          <w:spacing w:val="-3"/>
          <w:sz w:val="18"/>
          <w:szCs w:val="18"/>
        </w:rPr>
        <w:t>本次交易的交易对方承诺：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、于本协议签订之日，交易对方对标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的资产具有合法、完整的所有权，有权签署本协议并转让标的资 产，该等标的资产或与其相关的任何权利和利益，不存在司法冻 结或为任何其他第三方设定质押、抵押或其他承诺致使交易对方 无法将本协议所述标的资产转让给新开普的限制情形；新开普于</w:t>
      </w:r>
    </w:p>
    <w:p>
      <w:pPr>
        <w:spacing w:line="192" w:lineRule="exact" w:before="20"/>
        <w:ind w:left="373" w:right="0" w:firstLine="0"/>
        <w:jc w:val="both"/>
        <w:rPr>
          <w:rFonts w:ascii="宋体" w:hAnsi="宋体" w:cs="宋体" w:eastAsia="宋体" w:hint="default"/>
          <w:sz w:val="18"/>
          <w:szCs w:val="18"/>
        </w:rPr>
      </w:pPr>
      <w:r>
        <w:rPr/>
        <w:pict>
          <v:shape style="position:absolute;margin-left:243.289597pt;margin-top:-79.508286pt;width:62.35pt;height:173.6pt;mso-position-horizontal-relative:page;mso-position-vertical-relative:paragraph;z-index:-116804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宋体" w:hAnsi="宋体" w:cs="宋体" w:eastAsia="宋体" w:hint="default"/>
          <w:sz w:val="18"/>
          <w:szCs w:val="18"/>
        </w:rPr>
        <w:t>标的资产交割日将享有作为标的资产的所有者依法应享有的一切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4"/>
          <w:szCs w:val="24"/>
        </w:rPr>
      </w:pPr>
    </w:p>
    <w:p>
      <w:pPr>
        <w:spacing w:before="0"/>
        <w:ind w:left="15"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8"/>
          <w:szCs w:val="18"/>
        </w:rPr>
      </w:pPr>
    </w:p>
    <w:p>
      <w:pPr>
        <w:spacing w:before="0"/>
        <w:ind w:left="1479" w:right="0" w:firstLine="0"/>
        <w:jc w:val="left"/>
        <w:rPr>
          <w:rFonts w:ascii="宋体" w:hAnsi="宋体" w:cs="宋体" w:eastAsia="宋体" w:hint="default"/>
          <w:sz w:val="18"/>
          <w:szCs w:val="18"/>
        </w:rPr>
      </w:pPr>
      <w:r>
        <w:rPr>
          <w:rFonts w:ascii="宋体" w:hAnsi="宋体" w:cs="宋体" w:eastAsia="宋体" w:hint="default"/>
          <w:sz w:val="18"/>
          <w:szCs w:val="18"/>
        </w:rPr>
        <w:t>截至报告期末，上</w:t>
      </w:r>
    </w:p>
    <w:p>
      <w:pPr>
        <w:spacing w:before="76"/>
        <w:ind w:left="6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述承诺人严格信守</w:t>
      </w:r>
    </w:p>
    <w:p>
      <w:pPr>
        <w:spacing w:after="0"/>
        <w:jc w:val="left"/>
        <w:rPr>
          <w:rFonts w:ascii="宋体" w:hAnsi="宋体" w:cs="宋体" w:eastAsia="宋体" w:hint="default"/>
          <w:sz w:val="18"/>
          <w:szCs w:val="18"/>
        </w:rPr>
        <w:sectPr>
          <w:type w:val="continuous"/>
          <w:pgSz w:w="16840" w:h="11910" w:orient="landscape"/>
          <w:pgMar w:top="1060" w:bottom="1180" w:left="1300" w:right="1300"/>
          <w:cols w:num="5" w:equalWidth="0">
            <w:col w:w="3656" w:space="40"/>
            <w:col w:w="737" w:space="40"/>
            <w:col w:w="5422" w:space="40"/>
            <w:col w:w="1049" w:space="40"/>
            <w:col w:w="3216"/>
          </w:cols>
        </w:sectPr>
      </w:pPr>
    </w:p>
    <w:p>
      <w:pPr>
        <w:spacing w:line="319" w:lineRule="auto" w:before="76"/>
        <w:ind w:left="2295" w:right="-20" w:firstLine="0"/>
        <w:jc w:val="left"/>
        <w:rPr>
          <w:rFonts w:ascii="宋体" w:hAnsi="宋体" w:cs="宋体" w:eastAsia="宋体" w:hint="default"/>
          <w:sz w:val="18"/>
          <w:szCs w:val="18"/>
        </w:rPr>
      </w:pPr>
      <w:r>
        <w:rPr/>
        <w:pict>
          <v:group style="position:absolute;margin-left:70.130997pt;margin-top:55.259998pt;width:701.65pt;height:468.6pt;mso-position-horizontal-relative:page;mso-position-vertical-relative:page;z-index:-1168024" coordorigin="1403,1105" coordsize="14033,9372">
            <v:group style="position:absolute;left:1410;top:1112;width:14019;height:2" coordorigin="1410,1112" coordsize="14019,2">
              <v:shape style="position:absolute;left:1410;top:1112;width:14019;height:2" coordorigin="1410,1112" coordsize="14019,0" path="m1410,1112l15428,1112e" filled="false" stroked="true" strokeweight=".72pt" strokecolor="#000000">
                <v:path arrowok="t"/>
              </v:shape>
            </v:group>
            <v:group style="position:absolute;left:1445;top:1144;width:2117;height:1289" coordorigin="1445,1144" coordsize="2117,1289">
              <v:shape style="position:absolute;left:1445;top:1144;width:2117;height:1289" coordorigin="1445,1144" coordsize="2117,1289" path="m1445,1144l1445,2432,3561,2432,3561,1144,1445,1144xe" filled="true" fillcolor="#d3d3d3" stroked="false">
                <v:path arrowok="t"/>
                <v:fill type="solid"/>
              </v:shape>
            </v:group>
            <v:group style="position:absolute;left:1435;top:1139;width:2138;height:2" coordorigin="1435,1139" coordsize="2138,2">
              <v:shape style="position:absolute;left:1435;top:1139;width:2138;height:2" coordorigin="1435,1139" coordsize="2138,0" path="m1435,1139l3572,1139e" filled="false" stroked="true" strokeweight=".48pt" strokecolor="#000000">
                <v:path arrowok="t"/>
              </v:shape>
            </v:group>
            <v:group style="position:absolute;left:3572;top:1139;width:1407;height:2" coordorigin="3572,1139" coordsize="1407,2">
              <v:shape style="position:absolute;left:3572;top:1139;width:1407;height:2" coordorigin="3572,1139" coordsize="1407,0" path="m3572,1139l4979,1139e" filled="false" stroked="true" strokeweight=".48pt" strokecolor="#000000">
                <v:path arrowok="t"/>
              </v:shape>
            </v:group>
            <v:group style="position:absolute;left:4979;top:1139;width:10359;height:2" coordorigin="4979,1139" coordsize="10359,2">
              <v:shape style="position:absolute;left:4979;top:1139;width:10359;height:2" coordorigin="4979,1139" coordsize="10359,0" path="m4979,1139l15337,1139e" filled="false" stroked="true" strokeweight=".48pt" strokecolor="#000000">
                <v:path arrowok="t"/>
              </v:shape>
            </v:group>
            <v:group style="position:absolute;left:4983;top:1144;width:2;height:1289" coordorigin="4983,1144" coordsize="2,1289">
              <v:shape style="position:absolute;left:4983;top:1144;width:2;height:1289" coordorigin="4983,1144" coordsize="0,1289" path="m4983,1144l4983,2432e" filled="false" stroked="true" strokeweight=".48pt" strokecolor="#000000">
                <v:path arrowok="t"/>
              </v:shape>
            </v:group>
            <v:group style="position:absolute;left:6117;top:1144;width:2;height:1289" coordorigin="6117,1144" coordsize="2,1289">
              <v:shape style="position:absolute;left:6117;top:1144;width:2;height:1289" coordorigin="6117,1144" coordsize="0,1289" path="m6117,1144l6117,2432e" filled="false" stroked="true" strokeweight=".48001pt" strokecolor="#000000">
                <v:path arrowok="t"/>
              </v:shape>
            </v:group>
            <v:group style="position:absolute;left:11221;top:1144;width:2;height:1289" coordorigin="11221,1144" coordsize="2,1289">
              <v:shape style="position:absolute;left:11221;top:1144;width:2;height:1289" coordorigin="11221,1144" coordsize="0,1289" path="m11221,1144l11221,2432e" filled="false" stroked="true" strokeweight=".48004pt" strokecolor="#000000">
                <v:path arrowok="t"/>
              </v:shape>
            </v:group>
            <v:group style="position:absolute;left:12355;top:1144;width:2;height:1289" coordorigin="12355,1144" coordsize="2,1289">
              <v:shape style="position:absolute;left:12355;top:1144;width:2;height:1289" coordorigin="12355,1144" coordsize="0,1289" path="m12355,1144l12355,2432e" filled="false" stroked="true" strokeweight=".47998pt" strokecolor="#000000">
                <v:path arrowok="t"/>
              </v:shape>
            </v:group>
            <v:group style="position:absolute;left:13773;top:1144;width:2;height:1289" coordorigin="13773,1144" coordsize="2,1289">
              <v:shape style="position:absolute;left:13773;top:1144;width:2;height:1289" coordorigin="13773,1144" coordsize="0,1289" path="m13773,1144l13773,2432e" filled="false" stroked="true" strokeweight=".47998pt" strokecolor="#000000">
                <v:path arrowok="t"/>
              </v:shape>
            </v:group>
            <v:group style="position:absolute;left:1445;top:2432;width:2117;height:2274" coordorigin="1445,2432" coordsize="2117,2274">
              <v:shape style="position:absolute;left:1445;top:2432;width:2117;height:2274" coordorigin="1445,2432" coordsize="2117,2274" path="m1445,2432l1445,4706,3561,4706,3561,2432,1445,2432xe" filled="true" fillcolor="#d3d3d3" stroked="false">
                <v:path arrowok="t"/>
                <v:fill type="solid"/>
              </v:shape>
            </v:group>
            <v:group style="position:absolute;left:4988;top:2442;width:1125;height:2265" coordorigin="4988,2442" coordsize="1125,2265">
              <v:shape style="position:absolute;left:4988;top:2442;width:1125;height:2265" coordorigin="4988,2442" coordsize="1125,2265" path="m4988,2442l4988,4706,6113,4706,6113,2442,4988,2442xe" filled="true" fillcolor="#ffffff" stroked="false">
                <v:path arrowok="t"/>
                <v:fill type="solid"/>
              </v:shape>
            </v:group>
            <v:group style="position:absolute;left:5012;top:3378;width:1078;height:393" coordorigin="5012,3378" coordsize="1078,393">
              <v:shape style="position:absolute;left:5012;top:3378;width:1078;height:393" coordorigin="5012,3378" coordsize="1078,393" path="m5012,3378l5012,3770,6090,3770,6090,3378,5012,3378xe" filled="true" fillcolor="#ffffff" stroked="false">
                <v:path arrowok="t"/>
                <v:fill type="solid"/>
              </v:shape>
            </v:group>
            <v:group style="position:absolute;left:3572;top:2437;width:1407;height:2" coordorigin="3572,2437" coordsize="1407,2">
              <v:shape style="position:absolute;left:3572;top:2437;width:1407;height:2" coordorigin="3572,2437" coordsize="1407,0" path="m3572,2437l4979,2437e" filled="false" stroked="true" strokeweight=".48pt" strokecolor="#000000">
                <v:path arrowok="t"/>
              </v:shape>
            </v:group>
            <v:group style="position:absolute;left:4979;top:2437;width:10359;height:2" coordorigin="4979,2437" coordsize="10359,2">
              <v:shape style="position:absolute;left:4979;top:2437;width:10359;height:2" coordorigin="4979,2437" coordsize="10359,0" path="m4979,2437l15337,2437e" filled="false" stroked="true" strokeweight=".48001pt" strokecolor="#000000">
                <v:path arrowok="t"/>
              </v:shape>
            </v:group>
            <v:group style="position:absolute;left:4983;top:2442;width:2;height:2265" coordorigin="4983,2442" coordsize="2,2265">
              <v:shape style="position:absolute;left:4983;top:2442;width:2;height:2265" coordorigin="4983,2442" coordsize="0,2265" path="m4983,2442l4983,4706e" filled="false" stroked="true" strokeweight=".48pt" strokecolor="#000000">
                <v:path arrowok="t"/>
              </v:shape>
            </v:group>
            <v:group style="position:absolute;left:6117;top:2442;width:2;height:2265" coordorigin="6117,2442" coordsize="2,2265">
              <v:shape style="position:absolute;left:6117;top:2442;width:2;height:2265" coordorigin="6117,2442" coordsize="0,2265" path="m6117,2442l6117,4706e" filled="false" stroked="true" strokeweight=".48001pt" strokecolor="#000000">
                <v:path arrowok="t"/>
              </v:shape>
            </v:group>
            <v:group style="position:absolute;left:11221;top:2442;width:2;height:2265" coordorigin="11221,2442" coordsize="2,2265">
              <v:shape style="position:absolute;left:11221;top:2442;width:2;height:2265" coordorigin="11221,2442" coordsize="0,2265" path="m11221,2442l11221,4706e" filled="false" stroked="true" strokeweight=".48004pt" strokecolor="#000000">
                <v:path arrowok="t"/>
              </v:shape>
            </v:group>
            <v:group style="position:absolute;left:12355;top:2442;width:2;height:2265" coordorigin="12355,2442" coordsize="2,2265">
              <v:shape style="position:absolute;left:12355;top:2442;width:2;height:2265" coordorigin="12355,2442" coordsize="0,2265" path="m12355,2442l12355,4706e" filled="false" stroked="true" strokeweight=".47998pt" strokecolor="#000000">
                <v:path arrowok="t"/>
              </v:shape>
            </v:group>
            <v:group style="position:absolute;left:13773;top:2442;width:2;height:2265" coordorigin="13773,2442" coordsize="2,2265">
              <v:shape style="position:absolute;left:13773;top:2442;width:2;height:2265" coordorigin="13773,2442" coordsize="0,2265" path="m13773,2442l13773,4706e" filled="false" stroked="true" strokeweight=".47998pt" strokecolor="#000000">
                <v:path arrowok="t"/>
              </v:shape>
            </v:group>
            <v:group style="position:absolute;left:1445;top:4706;width:2117;height:2274" coordorigin="1445,4706" coordsize="2117,2274">
              <v:shape style="position:absolute;left:1445;top:4706;width:2117;height:2274" coordorigin="1445,4706" coordsize="2117,2274" path="m1445,4706l1445,6980,3561,6980,3561,4706,1445,4706xe" filled="true" fillcolor="#d3d3d3" stroked="false">
                <v:path arrowok="t"/>
                <v:fill type="solid"/>
              </v:shape>
            </v:group>
            <v:group style="position:absolute;left:4988;top:4716;width:1125;height:2265" coordorigin="4988,4716" coordsize="1125,2265">
              <v:shape style="position:absolute;left:4988;top:4716;width:1125;height:2265" coordorigin="4988,4716" coordsize="1125,2265" path="m4988,4716l4988,6980,6113,6980,6113,4716,4988,4716xe" filled="true" fillcolor="#ffffff" stroked="false">
                <v:path arrowok="t"/>
                <v:fill type="solid"/>
              </v:shape>
            </v:group>
            <v:group style="position:absolute;left:5012;top:5496;width:1078;height:352" coordorigin="5012,5496" coordsize="1078,352">
              <v:shape style="position:absolute;left:5012;top:5496;width:1078;height:352" coordorigin="5012,5496" coordsize="1078,352" path="m5012,5496l5012,5848,6090,5848,6090,5496,5012,5496xe" filled="true" fillcolor="#ffffff" stroked="false">
                <v:path arrowok="t"/>
                <v:fill type="solid"/>
              </v:shape>
            </v:group>
            <v:group style="position:absolute;left:5012;top:5848;width:1078;height:353" coordorigin="5012,5848" coordsize="1078,353">
              <v:shape style="position:absolute;left:5012;top:5848;width:1078;height:353" coordorigin="5012,5848" coordsize="1078,353" path="m5012,5848l5012,6200,6090,6200,6090,5848,5012,5848xe" filled="true" fillcolor="#ffffff" stroked="false">
                <v:path arrowok="t"/>
                <v:fill type="solid"/>
              </v:shape>
            </v:group>
            <v:group style="position:absolute;left:3572;top:4711;width:1407;height:2" coordorigin="3572,4711" coordsize="1407,2">
              <v:shape style="position:absolute;left:3572;top:4711;width:1407;height:2" coordorigin="3572,4711" coordsize="1407,0" path="m3572,4711l4979,4711e" filled="false" stroked="true" strokeweight=".48pt" strokecolor="#000000">
                <v:path arrowok="t"/>
              </v:shape>
            </v:group>
            <v:group style="position:absolute;left:4979;top:4711;width:10359;height:2" coordorigin="4979,4711" coordsize="10359,2">
              <v:shape style="position:absolute;left:4979;top:4711;width:10359;height:2" coordorigin="4979,4711" coordsize="10359,0" path="m4979,4711l15337,4711e" filled="false" stroked="true" strokeweight=".48pt" strokecolor="#000000">
                <v:path arrowok="t"/>
              </v:shape>
            </v:group>
            <v:group style="position:absolute;left:4983;top:4716;width:2;height:2265" coordorigin="4983,4716" coordsize="2,2265">
              <v:shape style="position:absolute;left:4983;top:4716;width:2;height:2265" coordorigin="4983,4716" coordsize="0,2265" path="m4983,4716l4983,6980e" filled="false" stroked="true" strokeweight=".48pt" strokecolor="#000000">
                <v:path arrowok="t"/>
              </v:shape>
            </v:group>
            <v:group style="position:absolute;left:6117;top:4716;width:2;height:2265" coordorigin="6117,4716" coordsize="2,2265">
              <v:shape style="position:absolute;left:6117;top:4716;width:2;height:2265" coordorigin="6117,4716" coordsize="0,2265" path="m6117,4716l6117,6980e" filled="false" stroked="true" strokeweight=".48001pt" strokecolor="#000000">
                <v:path arrowok="t"/>
              </v:shape>
            </v:group>
            <v:group style="position:absolute;left:11221;top:4716;width:2;height:2265" coordorigin="11221,4716" coordsize="2,2265">
              <v:shape style="position:absolute;left:11221;top:4716;width:2;height:2265" coordorigin="11221,4716" coordsize="0,2265" path="m11221,4716l11221,6980e" filled="false" stroked="true" strokeweight=".48004pt" strokecolor="#000000">
                <v:path arrowok="t"/>
              </v:shape>
            </v:group>
            <v:group style="position:absolute;left:12355;top:4716;width:2;height:2265" coordorigin="12355,4716" coordsize="2,2265">
              <v:shape style="position:absolute;left:12355;top:4716;width:2;height:2265" coordorigin="12355,4716" coordsize="0,2265" path="m12355,4716l12355,6980e" filled="false" stroked="true" strokeweight=".47998pt" strokecolor="#000000">
                <v:path arrowok="t"/>
              </v:shape>
            </v:group>
            <v:group style="position:absolute;left:13773;top:4716;width:2;height:2265" coordorigin="13773,4716" coordsize="2,2265">
              <v:shape style="position:absolute;left:13773;top:4716;width:2;height:2265" coordorigin="13773,4716" coordsize="0,2265" path="m13773,4716l13773,6980e" filled="false" stroked="true" strokeweight=".47998pt" strokecolor="#000000">
                <v:path arrowok="t"/>
              </v:shape>
            </v:group>
            <v:group style="position:absolute;left:1445;top:6980;width:2117;height:3482" coordorigin="1445,6980" coordsize="2117,3482">
              <v:shape style="position:absolute;left:1445;top:6980;width:2117;height:3482" coordorigin="1445,6980" coordsize="2117,3482" path="m1445,6980l1445,10462,3561,10462,3561,6980,1445,6980xe" filled="true" fillcolor="#d3d3d3" stroked="false">
                <v:path arrowok="t"/>
                <v:fill type="solid"/>
              </v:shape>
            </v:group>
            <v:group style="position:absolute;left:4988;top:6990;width:1125;height:3472" coordorigin="4988,6990" coordsize="1125,3472">
              <v:shape style="position:absolute;left:4988;top:6990;width:1125;height:3472" coordorigin="4988,6990" coordsize="1125,3472" path="m4988,6990l4988,10462,6113,10462,6113,6990,4988,6990xe" filled="true" fillcolor="#ffffff" stroked="false">
                <v:path arrowok="t"/>
                <v:fill type="solid"/>
              </v:shape>
            </v:group>
            <v:group style="position:absolute;left:5012;top:8530;width:1078;height:393" coordorigin="5012,8530" coordsize="1078,393">
              <v:shape style="position:absolute;left:5012;top:8530;width:1078;height:393" coordorigin="5012,8530" coordsize="1078,393" path="m5012,8530l5012,8922,6090,8922,6090,8530,5012,8530xe" filled="true" fillcolor="#ffffff" stroked="false">
                <v:path arrowok="t"/>
                <v:fill type="solid"/>
              </v:shape>
            </v:group>
            <v:group style="position:absolute;left:3572;top:6985;width:1407;height:2" coordorigin="3572,6985" coordsize="1407,2">
              <v:shape style="position:absolute;left:3572;top:6985;width:1407;height:2" coordorigin="3572,6985" coordsize="1407,0" path="m3572,6985l4979,6985e" filled="false" stroked="true" strokeweight=".48pt" strokecolor="#000000">
                <v:path arrowok="t"/>
              </v:shape>
            </v:group>
            <v:group style="position:absolute;left:4979;top:6985;width:10359;height:2" coordorigin="4979,6985" coordsize="10359,2">
              <v:shape style="position:absolute;left:4979;top:6985;width:10359;height:2" coordorigin="4979,6985" coordsize="10359,0" path="m4979,6985l15337,6985e" filled="false" stroked="true" strokeweight=".47998pt" strokecolor="#000000">
                <v:path arrowok="t"/>
              </v:shape>
            </v:group>
            <v:group style="position:absolute;left:1440;top:1134;width:2;height:9339" coordorigin="1440,1134" coordsize="2,9339">
              <v:shape style="position:absolute;left:1440;top:1134;width:2;height:9339" coordorigin="1440,1134" coordsize="0,9339" path="m1440,1134l1440,10472e" filled="false" stroked="true" strokeweight=".47998pt" strokecolor="#000000">
                <v:path arrowok="t"/>
              </v:shape>
            </v:group>
            <v:group style="position:absolute;left:1435;top:10468;width:2128;height:2" coordorigin="1435,10468" coordsize="2128,2">
              <v:shape style="position:absolute;left:1435;top:10468;width:2128;height:2" coordorigin="1435,10468" coordsize="2128,0" path="m1435,10468l3563,10468e" filled="false" stroked="true" strokeweight=".47998pt" strokecolor="#000000">
                <v:path arrowok="t"/>
              </v:shape>
            </v:group>
            <v:group style="position:absolute;left:3567;top:1144;width:2;height:9329" coordorigin="3567,1144" coordsize="2,9329">
              <v:shape style="position:absolute;left:3567;top:1144;width:2;height:9329" coordorigin="3567,1144" coordsize="0,9329" path="m3567,1144l3567,10472e" filled="false" stroked="true" strokeweight=".48pt" strokecolor="#000000">
                <v:path arrowok="t"/>
              </v:shape>
            </v:group>
            <v:group style="position:absolute;left:3572;top:10468;width:1407;height:2" coordorigin="3572,10468" coordsize="1407,2">
              <v:shape style="position:absolute;left:3572;top:10468;width:1407;height:2" coordorigin="3572,10468" coordsize="1407,0" path="m3572,10468l4979,10468e" filled="false" stroked="true" strokeweight=".48pt" strokecolor="#000000">
                <v:path arrowok="t"/>
              </v:shape>
            </v:group>
            <v:group style="position:absolute;left:4983;top:6990;width:2;height:3483" coordorigin="4983,6990" coordsize="2,3483">
              <v:shape style="position:absolute;left:4983;top:6990;width:2;height:3483" coordorigin="4983,6990" coordsize="0,3483" path="m4983,6990l4983,10472e" filled="false" stroked="true" strokeweight=".48pt" strokecolor="#000000">
                <v:path arrowok="t"/>
              </v:shape>
            </v:group>
            <v:group style="position:absolute;left:4988;top:10468;width:1125;height:2" coordorigin="4988,10468" coordsize="1125,2">
              <v:shape style="position:absolute;left:4988;top:10468;width:1125;height:2" coordorigin="4988,10468" coordsize="1125,0" path="m4988,10468l6113,10468e" filled="false" stroked="true" strokeweight=".47998pt" strokecolor="#000000">
                <v:path arrowok="t"/>
              </v:shape>
            </v:group>
            <v:group style="position:absolute;left:6117;top:6990;width:2;height:3483" coordorigin="6117,6990" coordsize="2,3483">
              <v:shape style="position:absolute;left:6117;top:6990;width:2;height:3483" coordorigin="6117,6990" coordsize="0,3483" path="m6117,6990l6117,10472e" filled="false" stroked="true" strokeweight=".48001pt" strokecolor="#000000">
                <v:path arrowok="t"/>
              </v:shape>
            </v:group>
            <v:group style="position:absolute;left:6122;top:10468;width:5094;height:2" coordorigin="6122,10468" coordsize="5094,2">
              <v:shape style="position:absolute;left:6122;top:10468;width:5094;height:2" coordorigin="6122,10468" coordsize="5094,0" path="m6122,10468l11216,10468e" filled="false" stroked="true" strokeweight=".47998pt" strokecolor="#000000">
                <v:path arrowok="t"/>
              </v:shape>
            </v:group>
            <v:group style="position:absolute;left:11221;top:6990;width:2;height:3483" coordorigin="11221,6990" coordsize="2,3483">
              <v:shape style="position:absolute;left:11221;top:6990;width:2;height:3483" coordorigin="11221,6990" coordsize="0,3483" path="m11221,6990l11221,10472e" filled="false" stroked="true" strokeweight=".48004pt" strokecolor="#000000">
                <v:path arrowok="t"/>
              </v:shape>
            </v:group>
            <v:group style="position:absolute;left:11226;top:10468;width:1125;height:2" coordorigin="11226,10468" coordsize="1125,2">
              <v:shape style="position:absolute;left:11226;top:10468;width:1125;height:2" coordorigin="11226,10468" coordsize="1125,0" path="m11226,10468l12350,10468e" filled="false" stroked="true" strokeweight=".47998pt" strokecolor="#000000">
                <v:path arrowok="t"/>
              </v:shape>
            </v:group>
            <v:group style="position:absolute;left:12355;top:6990;width:2;height:3483" coordorigin="12355,6990" coordsize="2,3483">
              <v:shape style="position:absolute;left:12355;top:6990;width:2;height:3483" coordorigin="12355,6990" coordsize="0,3483" path="m12355,6990l12355,10472e" filled="false" stroked="true" strokeweight=".47998pt" strokecolor="#000000">
                <v:path arrowok="t"/>
              </v:shape>
            </v:group>
            <v:group style="position:absolute;left:12360;top:10468;width:1409;height:2" coordorigin="12360,10468" coordsize="1409,2">
              <v:shape style="position:absolute;left:12360;top:10468;width:1409;height:2" coordorigin="12360,10468" coordsize="1409,0" path="m12360,10468l13769,10468e" filled="false" stroked="true" strokeweight=".47998pt" strokecolor="#000000">
                <v:path arrowok="t"/>
              </v:shape>
            </v:group>
            <v:group style="position:absolute;left:13773;top:6990;width:2;height:3483" coordorigin="13773,6990" coordsize="2,3483">
              <v:shape style="position:absolute;left:13773;top:6990;width:2;height:3483" coordorigin="13773,6990" coordsize="0,3483" path="m13773,6990l13773,10472e" filled="false" stroked="true" strokeweight=".47998pt" strokecolor="#000000">
                <v:path arrowok="t"/>
              </v:shape>
            </v:group>
            <v:group style="position:absolute;left:13778;top:10468;width:1550;height:2" coordorigin="13778,10468" coordsize="1550,2">
              <v:shape style="position:absolute;left:13778;top:10468;width:1550;height:2" coordorigin="13778,10468" coordsize="1550,0" path="m13778,10468l15327,10468e" filled="false" stroked="true" strokeweight=".47998pt" strokecolor="#000000">
                <v:path arrowok="t"/>
              </v:shape>
            </v:group>
            <v:group style="position:absolute;left:15332;top:1134;width:2;height:9339" coordorigin="15332,1134" coordsize="2,9339">
              <v:shape style="position:absolute;left:15332;top:1134;width:2;height:9339" coordorigin="15332,1134" coordsize="0,9339" path="m15332,1134l15332,10472e" filled="false" stroked="true" strokeweight=".48004pt" strokecolor="#000000">
                <v:path arrowok="t"/>
              </v:shape>
            </v:group>
            <w10:wrap type="none"/>
          </v:group>
        </w:pict>
      </w:r>
      <w:r>
        <w:rPr>
          <w:rFonts w:ascii="宋体" w:hAnsi="宋体" w:cs="宋体" w:eastAsia="宋体" w:hint="default"/>
          <w:sz w:val="18"/>
          <w:szCs w:val="18"/>
        </w:rPr>
        <w:t>上海君略投资管 </w:t>
      </w:r>
      <w:r>
        <w:rPr>
          <w:rFonts w:ascii="宋体" w:hAnsi="宋体" w:cs="宋体" w:eastAsia="宋体" w:hint="default"/>
          <w:spacing w:val="-10"/>
          <w:sz w:val="18"/>
          <w:szCs w:val="18"/>
        </w:rPr>
        <w:t>理合伙企业（有限</w:t>
      </w:r>
      <w:r>
        <w:rPr>
          <w:rFonts w:ascii="宋体" w:hAnsi="宋体" w:cs="宋体" w:eastAsia="宋体" w:hint="default"/>
          <w:sz w:val="18"/>
          <w:szCs w:val="18"/>
        </w:rPr>
        <w:t> 合伙）</w:t>
      </w:r>
    </w:p>
    <w:p>
      <w:pPr>
        <w:spacing w:line="314" w:lineRule="auto" w:before="95"/>
        <w:ind w:left="1150"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权利（包括但不限于依法占有、使用、收益和处分标的资产的权 </w:t>
      </w:r>
      <w:r>
        <w:rPr>
          <w:rFonts w:ascii="宋体" w:hAnsi="宋体" w:cs="宋体" w:eastAsia="宋体" w:hint="default"/>
          <w:spacing w:val="-6"/>
          <w:sz w:val="18"/>
          <w:szCs w:val="18"/>
        </w:rPr>
        <w:t>利）；标的资产并不会因中国法律或第三人的权利主张而被没收或</w:t>
      </w:r>
      <w:r>
        <w:rPr>
          <w:rFonts w:ascii="宋体" w:hAnsi="宋体" w:cs="宋体" w:eastAsia="宋体" w:hint="default"/>
          <w:sz w:val="18"/>
          <w:szCs w:val="18"/>
        </w:rPr>
        <w:t> </w:t>
      </w:r>
      <w:r>
        <w:rPr>
          <w:rFonts w:ascii="宋体" w:hAnsi="宋体" w:cs="宋体" w:eastAsia="宋体" w:hint="default"/>
          <w:spacing w:val="-3"/>
          <w:sz w:val="18"/>
          <w:szCs w:val="18"/>
        </w:rPr>
        <w:t>扣押，或被施加以质押、抵押或其他任何形式的负担。</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、截至本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协议签署日，交易对方对标的资产的权利的行使没有侵犯任何第 三方的在先权利，并无任何第三方提出关于标的资产侵犯其合法</w:t>
      </w:r>
    </w:p>
    <w:p>
      <w:pPr>
        <w:spacing w:line="171" w:lineRule="exact" w:before="0"/>
        <w:ind w:left="13" w:right="-19"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157" w:lineRule="exact" w:before="0"/>
        <w:ind w:left="689"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长期有效</w:t>
      </w:r>
    </w:p>
    <w:p>
      <w:pPr>
        <w:spacing w:line="156" w:lineRule="exact" w:before="0"/>
        <w:ind w:left="658"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承诺，未发生违反</w:t>
      </w:r>
    </w:p>
    <w:p>
      <w:pPr>
        <w:spacing w:before="77"/>
        <w:ind w:left="658" w:right="0" w:firstLine="0"/>
        <w:jc w:val="left"/>
        <w:rPr>
          <w:rFonts w:ascii="宋体" w:hAnsi="宋体" w:cs="宋体" w:eastAsia="宋体" w:hint="default"/>
          <w:sz w:val="18"/>
          <w:szCs w:val="18"/>
        </w:rPr>
      </w:pPr>
      <w:r>
        <w:rPr>
          <w:rFonts w:ascii="宋体" w:hAnsi="宋体" w:cs="宋体" w:eastAsia="宋体" w:hint="default"/>
          <w:sz w:val="18"/>
          <w:szCs w:val="18"/>
        </w:rPr>
        <w:t>承诺的情况。</w:t>
      </w:r>
    </w:p>
    <w:p>
      <w:pPr>
        <w:spacing w:after="0"/>
        <w:jc w:val="left"/>
        <w:rPr>
          <w:rFonts w:ascii="宋体" w:hAnsi="宋体" w:cs="宋体" w:eastAsia="宋体" w:hint="default"/>
          <w:sz w:val="18"/>
          <w:szCs w:val="18"/>
        </w:rPr>
        <w:sectPr>
          <w:type w:val="continuous"/>
          <w:pgSz w:w="16840" w:h="11910" w:orient="landscape"/>
          <w:pgMar w:top="1060" w:bottom="1180" w:left="1300" w:right="1300"/>
          <w:cols w:num="5" w:equalWidth="0">
            <w:col w:w="3656" w:space="40"/>
            <w:col w:w="6199" w:space="40"/>
            <w:col w:w="419" w:space="40"/>
            <w:col w:w="1410" w:space="40"/>
            <w:col w:w="2396"/>
          </w:cols>
        </w:sectPr>
      </w:pPr>
    </w:p>
    <w:p>
      <w:pPr>
        <w:spacing w:line="240" w:lineRule="auto" w:before="4"/>
        <w:rPr>
          <w:rFonts w:ascii="Times New Roman" w:hAnsi="Times New Roman" w:cs="Times New Roman" w:eastAsia="Times New Roman" w:hint="default"/>
          <w:sz w:val="3"/>
          <w:szCs w:val="3"/>
        </w:rPr>
      </w:pPr>
      <w:r>
        <w:rPr/>
        <w:pict>
          <v:shape style="position:absolute;margin-left:243.289597pt;margin-top:215.699997pt;width:62.35pt;height:314pt;mso-position-horizontal-relative:page;mso-position-vertical-relative:page;z-index:-11680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6"/>
                      <w:szCs w:val="2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93.111115pt;margin-top:215.699997pt;width:224.4pt;height:314pt;mso-position-horizontal-relative:page;mso-position-vertical-relative:page;z-index:-11679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61"/>
                    <w:ind w:left="360" w:right="0" w:hanging="360"/>
                    <w:jc w:val="left"/>
                    <w:rPr>
                      <w:rFonts w:ascii="宋体" w:hAnsi="宋体" w:cs="宋体" w:eastAsia="宋体" w:hint="default"/>
                      <w:sz w:val="18"/>
                      <w:szCs w:val="18"/>
                    </w:rPr>
                  </w:pPr>
                  <w:r>
                    <w:rPr>
                      <w:rFonts w:ascii="宋体" w:hAnsi="宋体" w:cs="宋体" w:eastAsia="宋体" w:hint="default"/>
                      <w:sz w:val="18"/>
                      <w:szCs w:val="18"/>
                    </w:rPr>
                    <w:t>其他规范性文件或监管规则所要求的程序，</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6"/>
                      <w:szCs w:val="16"/>
                    </w:rPr>
                  </w:pPr>
                </w:p>
                <w:p>
                  <w:pPr>
                    <w:spacing w:before="0"/>
                    <w:ind w:left="360" w:right="0" w:firstLine="0"/>
                    <w:jc w:val="left"/>
                    <w:rPr>
                      <w:rFonts w:ascii="宋体" w:hAnsi="宋体" w:cs="宋体" w:eastAsia="宋体" w:hint="default"/>
                      <w:sz w:val="18"/>
                      <w:szCs w:val="18"/>
                    </w:rPr>
                  </w:pPr>
                  <w:r>
                    <w:rPr>
                      <w:rFonts w:ascii="宋体" w:hAnsi="宋体" w:cs="宋体" w:eastAsia="宋体" w:hint="default"/>
                      <w:sz w:val="18"/>
                      <w:szCs w:val="18"/>
                    </w:rPr>
                    <w:t>以合法形式掩盖非法目的等违法情况；</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6"/>
                      <w:szCs w:val="16"/>
                    </w:rPr>
                  </w:pPr>
                </w:p>
                <w:p>
                  <w:pPr>
                    <w:spacing w:before="0"/>
                    <w:ind w:left="2880" w:right="0" w:firstLine="0"/>
                    <w:jc w:val="left"/>
                    <w:rPr>
                      <w:rFonts w:ascii="宋体" w:hAnsi="宋体" w:cs="宋体" w:eastAsia="宋体" w:hint="default"/>
                      <w:sz w:val="18"/>
                      <w:szCs w:val="18"/>
                    </w:rPr>
                  </w:pPr>
                  <w:r>
                    <w:rPr>
                      <w:rFonts w:ascii="宋体" w:hAnsi="宋体" w:cs="宋体" w:eastAsia="宋体" w:hint="default"/>
                      <w:sz w:val="18"/>
                      <w:szCs w:val="18"/>
                    </w:rPr>
                    <w:t>协议、</w:t>
                  </w:r>
                </w:p>
              </w:txbxContent>
            </v:textbox>
            <w10:wrap type="none"/>
          </v:shape>
        </w:pict>
      </w:r>
      <w:r>
        <w:rPr/>
        <w:pict>
          <v:group style="position:absolute;margin-left:561.291016pt;margin-top:57.18pt;width:56.25pt;height:472.5pt;mso-position-horizontal-relative:page;mso-position-vertical-relative:page;z-index:-1167952" coordorigin="11226,1144" coordsize="1125,9450">
            <v:group style="position:absolute;left:11226;top:1144;width:1125;height:3161" coordorigin="11226,1144" coordsize="1125,3161">
              <v:shape style="position:absolute;left:11226;top:1144;width:1125;height:3161" coordorigin="11226,1144" coordsize="1125,3161" path="m11226,1144l11226,4304,12350,4304,12350,1144,11226,1144xe" filled="true" fillcolor="#ffffff" stroked="false">
                <v:path arrowok="t"/>
                <v:fill type="solid"/>
              </v:shape>
            </v:group>
            <v:group style="position:absolute;left:11226;top:4314;width:1125;height:6280" coordorigin="11226,4314" coordsize="1125,6280">
              <v:shape style="position:absolute;left:11226;top:4314;width:1125;height:6280" coordorigin="11226,4314" coordsize="1125,6280" path="m11226,4314l11226,10594,12350,10594,12350,4314,11226,4314xe" filled="true" fillcolor="#ffffff" stroked="false">
                <v:path arrowok="t"/>
                <v:fill type="solid"/>
              </v:shape>
            </v:group>
            <v:group style="position:absolute;left:11249;top:7102;width:1078;height:353" coordorigin="11249,7102" coordsize="1078,353">
              <v:shape style="position:absolute;left:11249;top:7102;width:1078;height:353" coordorigin="11249,7102" coordsize="1078,353" path="m11249,7102l11249,7454,12326,7454,12326,7102,11249,7102xe" filled="true" fillcolor="#ffffff" stroked="false">
                <v:path arrowok="t"/>
                <v:fill type="solid"/>
              </v:shape>
            </v:group>
            <v:group style="position:absolute;left:11249;top:7454;width:1078;height:352" coordorigin="11249,7454" coordsize="1078,352">
              <v:shape style="position:absolute;left:11249;top:7454;width:1078;height:352" coordorigin="11249,7454" coordsize="1078,352" path="m11249,7454l11249,7806,12326,7806,12326,7454,11249,7454xe" filled="true" fillcolor="#ffffff" stroked="false">
                <v:path arrowok="t"/>
                <v:fill type="solid"/>
              </v:shape>
            </v:group>
            <w10:wrap type="none"/>
          </v:group>
        </w:pict>
      </w:r>
      <w:r>
        <w:rPr/>
        <w:pict>
          <v:group style="position:absolute;margin-left:249.410995pt;margin-top:215.699997pt;width:56.25pt;height:314pt;mso-position-horizontal-relative:page;mso-position-vertical-relative:page;z-index:-1167928" coordorigin="4988,4314" coordsize="1125,6280">
            <v:group style="position:absolute;left:4988;top:4314;width:1125;height:6280" coordorigin="4988,4314" coordsize="1125,6280">
              <v:shape style="position:absolute;left:4988;top:4314;width:1125;height:6280" coordorigin="4988,4314" coordsize="1125,6280" path="m4988,4314l4988,10594,6113,10594,6113,4314,4988,4314xe" filled="true" fillcolor="#ffffff" stroked="false">
                <v:path arrowok="t"/>
                <v:fill type="solid"/>
              </v:shape>
            </v:group>
            <v:group style="position:absolute;left:5012;top:7258;width:1078;height:393" coordorigin="5012,7258" coordsize="1078,393">
              <v:shape style="position:absolute;left:5012;top:7258;width:1078;height:393" coordorigin="5012,7258" coordsize="1078,393" path="m5012,7258l5012,7650,6090,7650,6090,7258,5012,7258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2127"/>
        <w:gridCol w:w="1417"/>
        <w:gridCol w:w="1134"/>
        <w:gridCol w:w="5104"/>
        <w:gridCol w:w="1134"/>
        <w:gridCol w:w="1418"/>
        <w:gridCol w:w="1559"/>
      </w:tblGrid>
      <w:tr>
        <w:trPr>
          <w:trHeight w:val="336" w:hRule="exact"/>
        </w:trPr>
        <w:tc>
          <w:tcPr>
            <w:tcW w:w="2127" w:type="dxa"/>
            <w:vMerge w:val="restart"/>
            <w:tcBorders>
              <w:top w:val="single" w:sz="15" w:space="0" w:color="000000"/>
              <w:left w:val="single" w:sz="4" w:space="0" w:color="000000"/>
              <w:right w:val="single" w:sz="4" w:space="0" w:color="000000"/>
            </w:tcBorders>
            <w:shd w:val="clear" w:color="auto" w:fill="D3D3D3"/>
          </w:tcPr>
          <w:p>
            <w:pPr/>
          </w:p>
        </w:tc>
        <w:tc>
          <w:tcPr>
            <w:tcW w:w="1417" w:type="dxa"/>
            <w:vMerge w:val="restart"/>
            <w:tcBorders>
              <w:top w:val="single" w:sz="15" w:space="0" w:color="000000"/>
              <w:left w:val="single" w:sz="4" w:space="0" w:color="000000"/>
              <w:right w:val="single" w:sz="4" w:space="0" w:color="000000"/>
            </w:tcBorders>
          </w:tcPr>
          <w:p>
            <w:pPr/>
          </w:p>
        </w:tc>
        <w:tc>
          <w:tcPr>
            <w:tcW w:w="1134" w:type="dxa"/>
            <w:vMerge w:val="restart"/>
            <w:tcBorders>
              <w:top w:val="single" w:sz="15" w:space="0" w:color="000000"/>
              <w:left w:val="single" w:sz="4" w:space="0" w:color="000000"/>
              <w:right w:val="single" w:sz="4" w:space="0" w:color="000000"/>
            </w:tcBorders>
          </w:tcPr>
          <w:p>
            <w:pPr/>
          </w:p>
        </w:tc>
        <w:tc>
          <w:tcPr>
            <w:tcW w:w="5104"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权益的任何相关权利主张或要求。</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、截至本协议签署日，无任何</w:t>
            </w:r>
          </w:p>
        </w:tc>
        <w:tc>
          <w:tcPr>
            <w:tcW w:w="1134" w:type="dxa"/>
            <w:tcBorders>
              <w:top w:val="single" w:sz="15" w:space="0" w:color="000000"/>
              <w:left w:val="single" w:sz="4" w:space="0" w:color="000000"/>
              <w:bottom w:val="nil" w:sz="6" w:space="0" w:color="auto"/>
              <w:right w:val="single" w:sz="4" w:space="0" w:color="000000"/>
            </w:tcBorders>
          </w:tcPr>
          <w:p>
            <w:pPr/>
          </w:p>
        </w:tc>
        <w:tc>
          <w:tcPr>
            <w:tcW w:w="1418" w:type="dxa"/>
            <w:vMerge w:val="restart"/>
            <w:tcBorders>
              <w:top w:val="single" w:sz="15" w:space="0" w:color="000000"/>
              <w:left w:val="single" w:sz="4" w:space="0" w:color="000000"/>
              <w:right w:val="single" w:sz="4" w:space="0" w:color="000000"/>
            </w:tcBorders>
          </w:tcPr>
          <w:p>
            <w:pPr/>
          </w:p>
        </w:tc>
        <w:tc>
          <w:tcPr>
            <w:tcW w:w="1559" w:type="dxa"/>
            <w:vMerge w:val="restart"/>
            <w:tcBorders>
              <w:top w:val="single" w:sz="15" w:space="0" w:color="000000"/>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第三人就标的资产或其任何部分行使或声称将行使任何对标的资</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产有不利影响的权利；亦无任何直接或间接与标的资产有关的争</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议、行政处罚、诉讼或仲裁。</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、自本协议签署之日起，交易对方</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保证不会对标的资产进行再次出售、抵押、质押、托管或设置任</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何形式的权利负担或第三方权利（包括优先购买权或购股权等</w:t>
            </w:r>
            <w:r>
              <w:rPr>
                <w:rFonts w:ascii="宋体" w:hAnsi="宋体" w:cs="宋体" w:eastAsia="宋体" w:hint="default"/>
                <w:spacing w:val="-90"/>
                <w:sz w:val="18"/>
                <w:szCs w:val="18"/>
              </w:rPr>
              <w:t>）</w:t>
            </w:r>
            <w:r>
              <w:rPr>
                <w:rFonts w:ascii="宋体" w:hAnsi="宋体" w:cs="宋体" w:eastAsia="宋体" w:hint="default"/>
                <w:sz w:val="18"/>
                <w:szCs w:val="18"/>
              </w:rPr>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亦不就标的资产的转让、抵押、质押、托管或设置任何形式的权</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利负担或第三方权利等事宜与其它任何第三方进行交易性接触，</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3"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签订备忘录、合同书、谅解备忘录，或与标的资产转让相冲突、</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5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51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或包含禁止或限制标的资产转让条款的各种形式的法律文件。</w:t>
            </w:r>
          </w:p>
        </w:tc>
        <w:tc>
          <w:tcPr>
            <w:tcW w:w="1134" w:type="dxa"/>
            <w:tcBorders>
              <w:top w:val="nil" w:sz="6" w:space="0" w:color="auto"/>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r>
      <w:tr>
        <w:trPr>
          <w:trHeight w:val="362" w:hRule="exact"/>
        </w:trPr>
        <w:tc>
          <w:tcPr>
            <w:tcW w:w="2127" w:type="dxa"/>
            <w:vMerge/>
            <w:tcBorders>
              <w:left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51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3"/>
                <w:sz w:val="18"/>
                <w:szCs w:val="18"/>
              </w:rPr>
              <w:t>本次交易的交易对方承诺：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、上海树维及其分公司依法设立，且</w:t>
            </w:r>
          </w:p>
        </w:tc>
        <w:tc>
          <w:tcPr>
            <w:tcW w:w="1134"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自设立以来持续合法经营；上海树维及其分公司的注册资本均已</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由股东全额缴纳，上海树维及其分公司不存在出资不实或影响其</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合法存续的情形；上海树维及其分公司的历次出资、股权转让及</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其他公司变更均已取得主管部门的批准和内部决策机构的授权，</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并已完成法律、法规、</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2501"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3" w:right="20"/>
              <w:jc w:val="left"/>
              <w:rPr>
                <w:rFonts w:ascii="宋体" w:hAnsi="宋体" w:cs="宋体" w:eastAsia="宋体" w:hint="default"/>
                <w:sz w:val="18"/>
                <w:szCs w:val="18"/>
              </w:rPr>
            </w:pPr>
            <w:r>
              <w:rPr>
                <w:rFonts w:ascii="宋体" w:hAnsi="宋体" w:cs="宋体" w:eastAsia="宋体" w:hint="default"/>
                <w:sz w:val="18"/>
                <w:szCs w:val="18"/>
              </w:rPr>
              <w:t>现金购买资产的 </w:t>
            </w:r>
            <w:r>
              <w:rPr>
                <w:rFonts w:ascii="宋体" w:hAnsi="宋体" w:cs="宋体" w:eastAsia="宋体" w:hint="default"/>
                <w:spacing w:val="-10"/>
                <w:sz w:val="18"/>
                <w:szCs w:val="18"/>
              </w:rPr>
              <w:t>交易对方何伟、乔</w:t>
            </w:r>
            <w:r>
              <w:rPr>
                <w:rFonts w:ascii="宋体" w:hAnsi="宋体" w:cs="宋体" w:eastAsia="宋体" w:hint="default"/>
                <w:sz w:val="18"/>
                <w:szCs w:val="18"/>
              </w:rPr>
              <w:t> </w:t>
            </w:r>
            <w:r>
              <w:rPr>
                <w:rFonts w:ascii="宋体" w:hAnsi="宋体" w:cs="宋体" w:eastAsia="宋体" w:hint="default"/>
                <w:spacing w:val="-10"/>
                <w:sz w:val="18"/>
                <w:szCs w:val="18"/>
              </w:rPr>
              <w:t>志刚、杨宏生、周</w:t>
            </w:r>
            <w:r>
              <w:rPr>
                <w:rFonts w:ascii="宋体" w:hAnsi="宋体" w:cs="宋体" w:eastAsia="宋体" w:hint="default"/>
                <w:sz w:val="18"/>
                <w:szCs w:val="18"/>
              </w:rPr>
              <w:t> </w:t>
            </w:r>
            <w:r>
              <w:rPr>
                <w:rFonts w:ascii="宋体" w:hAnsi="宋体" w:cs="宋体" w:eastAsia="宋体" w:hint="default"/>
                <w:spacing w:val="-22"/>
                <w:sz w:val="18"/>
                <w:szCs w:val="18"/>
              </w:rPr>
              <w:t>华、王建成、吴琼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上海君略投资管</w:t>
            </w:r>
            <w:r>
              <w:rPr>
                <w:rFonts w:ascii="宋体" w:hAnsi="宋体" w:cs="宋体" w:eastAsia="宋体" w:hint="default"/>
                <w:sz w:val="18"/>
                <w:szCs w:val="18"/>
              </w:rPr>
              <w:t> </w:t>
            </w:r>
            <w:r>
              <w:rPr>
                <w:rFonts w:ascii="宋体" w:hAnsi="宋体" w:cs="宋体" w:eastAsia="宋体" w:hint="default"/>
                <w:spacing w:val="-10"/>
                <w:sz w:val="18"/>
                <w:szCs w:val="18"/>
              </w:rPr>
              <w:t>理合伙企业（有限</w:t>
            </w:r>
            <w:r>
              <w:rPr>
                <w:rFonts w:ascii="宋体" w:hAnsi="宋体" w:cs="宋体" w:eastAsia="宋体" w:hint="default"/>
                <w:sz w:val="18"/>
                <w:szCs w:val="18"/>
              </w:rPr>
              <w:t> 合伙）</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3" w:right="20"/>
              <w:jc w:val="left"/>
              <w:rPr>
                <w:rFonts w:ascii="宋体" w:hAnsi="宋体" w:cs="宋体" w:eastAsia="宋体" w:hint="default"/>
                <w:sz w:val="18"/>
                <w:szCs w:val="18"/>
              </w:rPr>
            </w:pPr>
            <w:r>
              <w:rPr>
                <w:rFonts w:ascii="宋体" w:hAnsi="宋体" w:cs="宋体" w:eastAsia="宋体" w:hint="default"/>
                <w:spacing w:val="-2"/>
                <w:sz w:val="18"/>
                <w:szCs w:val="18"/>
              </w:rPr>
              <w:t>合法有效，有关出资款或股权</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股份转让款均按时、足额支付，资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金来源合法，并依法办理了必要的批准、登记或备案程序，不存 在任何虚假出资、抽逃出资等违反股东所应当承担的义务及责任 </w:t>
            </w:r>
            <w:r>
              <w:rPr>
                <w:rFonts w:ascii="宋体" w:hAnsi="宋体" w:cs="宋体" w:eastAsia="宋体" w:hint="default"/>
                <w:spacing w:val="-4"/>
                <w:sz w:val="18"/>
                <w:szCs w:val="18"/>
              </w:rPr>
              <w:t>的行为，不存在虚假转让、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上海树维及其分公司不存在依据有关法律规定及其章程需要终止 的情形；提供的关于上海树维及其分公司合法存续以及设立以来 股权变动的相关资料及说明是真实、准确、完整的，没有任何隐 </w:t>
            </w:r>
            <w:r>
              <w:rPr>
                <w:rFonts w:ascii="宋体" w:hAnsi="宋体" w:cs="宋体" w:eastAsia="宋体" w:hint="default"/>
                <w:spacing w:val="-3"/>
                <w:sz w:val="18"/>
                <w:szCs w:val="18"/>
              </w:rPr>
              <w:t>瞒或重大误导。</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、上海树维及其分公司不存在任何尚未审批（如</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02" w:lineRule="auto"/>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 </w:t>
            </w:r>
            <w:r>
              <w:rPr>
                <w:rFonts w:ascii="宋体" w:hAnsi="宋体" w:cs="宋体" w:eastAsia="宋体" w:hint="default"/>
                <w:sz w:val="18"/>
                <w:szCs w:val="18"/>
              </w:rPr>
              <w:t>长期有效</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9" w:lineRule="auto"/>
              <w:ind w:left="22" w:right="84"/>
              <w:jc w:val="both"/>
              <w:rPr>
                <w:rFonts w:ascii="宋体" w:hAnsi="宋体" w:cs="宋体" w:eastAsia="宋体" w:hint="default"/>
                <w:sz w:val="18"/>
                <w:szCs w:val="18"/>
              </w:rPr>
            </w:pPr>
            <w:r>
              <w:rPr>
                <w:rFonts w:ascii="宋体" w:hAnsi="宋体" w:cs="宋体" w:eastAsia="宋体" w:hint="default"/>
                <w:sz w:val="18"/>
                <w:szCs w:val="18"/>
              </w:rPr>
              <w:t>截至报告期末，上 述承诺人严格信守 承诺，未发生违反 承诺的情况。</w:t>
            </w: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需）或备案登记的股东或第三人向上海树维及其分公司投资（包</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括但不限于增资、股权转让）的合同、协议、相关文件或相关安</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排；除了法律法规明文赋予的权利且已向新开普披露的情形外，</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不存在任何约定上海树维及其分公司与其股东之间权利义务（包</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括但不限于优先购买、优先认购、股权回售和赎回、优先清算、</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127" w:type="dxa"/>
            <w:vMerge/>
            <w:tcBorders>
              <w:left w:val="single" w:sz="4" w:space="0" w:color="000000"/>
              <w:bottom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1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股权调整以及其他任何形式的股权或现金补偿等）的合同、</w:t>
            </w:r>
          </w:p>
        </w:tc>
        <w:tc>
          <w:tcPr>
            <w:tcW w:w="1134"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20" w:right="1340"/>
        </w:sectPr>
      </w:pPr>
    </w:p>
    <w:p>
      <w:pPr>
        <w:spacing w:line="240" w:lineRule="auto" w:before="4"/>
        <w:rPr>
          <w:rFonts w:ascii="Times New Roman" w:hAnsi="Times New Roman" w:cs="Times New Roman" w:eastAsia="Times New Roman" w:hint="default"/>
          <w:sz w:val="3"/>
          <w:szCs w:val="3"/>
        </w:rPr>
      </w:pPr>
      <w:r>
        <w:rPr/>
        <w:pict>
          <v:shape style="position:absolute;margin-left:555.110229pt;margin-top:57.18pt;width:62.4pt;height:468pt;mso-position-horizontal-relative:page;mso-position-vertical-relative:page;z-index:-11679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spacing w:before="0"/>
                    <w:ind w:left="1"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561.291016pt;margin-top:57.18pt;width:56.25pt;height:468pt;mso-position-horizontal-relative:page;mso-position-vertical-relative:page;z-index:-1167880" coordorigin="11226,1144" coordsize="1125,9360">
            <v:shape style="position:absolute;left:11226;top:1144;width:1125;height:9360" coordorigin="11226,1144" coordsize="1125,9360" path="m11226,1144l11226,10504,12350,10504,12350,1144,11226,1144xe" filled="true" fillcolor="#ffffff" stroked="false">
              <v:path arrowok="t"/>
              <v:fill type="solid"/>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2127"/>
        <w:gridCol w:w="1417"/>
        <w:gridCol w:w="1134"/>
        <w:gridCol w:w="5104"/>
        <w:gridCol w:w="1134"/>
        <w:gridCol w:w="1418"/>
        <w:gridCol w:w="1559"/>
      </w:tblGrid>
      <w:tr>
        <w:trPr>
          <w:trHeight w:val="331" w:hRule="exact"/>
        </w:trPr>
        <w:tc>
          <w:tcPr>
            <w:tcW w:w="2127" w:type="dxa"/>
            <w:vMerge w:val="restart"/>
            <w:tcBorders>
              <w:top w:val="single" w:sz="15" w:space="0" w:color="000000"/>
              <w:left w:val="single" w:sz="4" w:space="0" w:color="000000"/>
              <w:right w:val="single" w:sz="4" w:space="0" w:color="000000"/>
            </w:tcBorders>
            <w:shd w:val="clear" w:color="auto" w:fill="D3D3D3"/>
          </w:tcPr>
          <w:p>
            <w:pPr/>
          </w:p>
        </w:tc>
        <w:tc>
          <w:tcPr>
            <w:tcW w:w="1417" w:type="dxa"/>
            <w:vMerge w:val="restart"/>
            <w:tcBorders>
              <w:top w:val="single" w:sz="15" w:space="0" w:color="000000"/>
              <w:left w:val="single" w:sz="4" w:space="0" w:color="000000"/>
              <w:right w:val="single" w:sz="4" w:space="0" w:color="000000"/>
            </w:tcBorders>
          </w:tcPr>
          <w:p>
            <w:pPr/>
          </w:p>
        </w:tc>
        <w:tc>
          <w:tcPr>
            <w:tcW w:w="1134" w:type="dxa"/>
            <w:vMerge w:val="restart"/>
            <w:tcBorders>
              <w:top w:val="single" w:sz="15" w:space="0" w:color="000000"/>
              <w:left w:val="single" w:sz="4" w:space="0" w:color="000000"/>
              <w:right w:val="single" w:sz="4" w:space="0" w:color="000000"/>
            </w:tcBorders>
          </w:tcPr>
          <w:p>
            <w:pPr/>
          </w:p>
        </w:tc>
        <w:tc>
          <w:tcPr>
            <w:tcW w:w="5104"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相关文件或相关安排；上海树维及其分公司不存在其他任何如果</w:t>
            </w:r>
          </w:p>
        </w:tc>
        <w:tc>
          <w:tcPr>
            <w:tcW w:w="1134" w:type="dxa"/>
            <w:tcBorders>
              <w:top w:val="single" w:sz="15" w:space="0" w:color="000000"/>
              <w:left w:val="single" w:sz="4" w:space="0" w:color="000000"/>
              <w:bottom w:val="nil" w:sz="6" w:space="0" w:color="auto"/>
              <w:right w:val="single" w:sz="4" w:space="0" w:color="000000"/>
            </w:tcBorders>
          </w:tcPr>
          <w:p>
            <w:pPr/>
          </w:p>
        </w:tc>
        <w:tc>
          <w:tcPr>
            <w:tcW w:w="1418" w:type="dxa"/>
            <w:vMerge w:val="restart"/>
            <w:tcBorders>
              <w:top w:val="single" w:sz="15" w:space="0" w:color="000000"/>
              <w:left w:val="single" w:sz="4" w:space="0" w:color="000000"/>
              <w:right w:val="single" w:sz="4" w:space="0" w:color="000000"/>
            </w:tcBorders>
          </w:tcPr>
          <w:p>
            <w:pPr/>
          </w:p>
        </w:tc>
        <w:tc>
          <w:tcPr>
            <w:tcW w:w="1559" w:type="dxa"/>
            <w:vMerge w:val="restart"/>
            <w:tcBorders>
              <w:top w:val="single" w:sz="15" w:space="0" w:color="000000"/>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实施、履行将导致股东股权清晰、稳定受到影响或存在重大不确</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定性的合同、协议、相关文件或相关安排。</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、上海树维及其分公</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司已分别合法取得生产经营活动所需的全部证照、批准、批复、</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同意、授权和许可，且现有业务所需的全部证照、批准、批复、</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同意、授权和许可均有效存在；上海树维及其分公司不存在任何</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违反或超出上述证照、批准、批复、同意、授权和许可要求的行</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为或者情形；上海树维及其分公司不存在任何尚未取得相关必备</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证照、批准、批复、同意、授权和许可而违规开展业务的情况。</w:t>
            </w:r>
            <w:r>
              <w:rPr>
                <w:rFonts w:ascii="Times New Roman" w:hAnsi="Times New Roman" w:cs="Times New Roman" w:eastAsia="Times New Roman" w:hint="default"/>
                <w:spacing w:val="-7"/>
                <w:sz w:val="18"/>
                <w:szCs w:val="18"/>
              </w:rPr>
              <w:t>4</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对新开普披露的上海树维及其分公司的对外投资情况是真实、准</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确、完整的，上海树维及其分公司没有在任何其他公司、企业及</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实体中持有股权、股份、股票、可转换公司债券等资本性权益。</w:t>
            </w:r>
            <w:r>
              <w:rPr>
                <w:rFonts w:ascii="Times New Roman" w:hAnsi="Times New Roman" w:cs="Times New Roman" w:eastAsia="Times New Roman" w:hint="default"/>
                <w:spacing w:val="-7"/>
                <w:sz w:val="18"/>
                <w:szCs w:val="18"/>
              </w:rPr>
              <w:t>5</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上海树维及其分公司拥有其正常经营所需要的全部资产，包括但</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不限于固定资产、流动资金、知识产权等，该等资产均处于良好</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状态，具备正常的功能或适用性，不存在可能危及上海树维及其</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分公司正常经营的情形，且在可预见的将来不需要发生不合理的</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重大支出。</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、对于向新开普披露的属于上海树维及其分公司的任</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何资产，完全为上海树维及其分公司所合法拥有、管理、控制和</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经营，不存在任何权属瑕疵，不附带任何负债或其他潜在责任，</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不存在侵犯任何第三方合法权益的情形，亦不存在任何针对上述</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资产的诉讼、仲裁或争议等；上述资产所需之批准文件、注册、</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登记和其他手续已全部取得或完成，并仍然有效；该等资产上不</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存在任何抵押、质押或其它担保权利；该等资产不存在下列任何</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情况</w:t>
            </w:r>
            <w:r>
              <w:rPr>
                <w:rFonts w:ascii="宋体" w:hAnsi="宋体" w:cs="宋体" w:eastAsia="宋体" w:hint="default"/>
                <w:spacing w:val="-107"/>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17"/>
                <w:sz w:val="18"/>
                <w:szCs w:val="18"/>
              </w:rPr>
              <w:t>）</w:t>
            </w:r>
            <w:r>
              <w:rPr>
                <w:rFonts w:ascii="宋体" w:hAnsi="宋体" w:cs="宋体" w:eastAsia="宋体" w:hint="default"/>
                <w:sz w:val="18"/>
                <w:szCs w:val="18"/>
              </w:rPr>
              <w:t>任何对该等资产的信托或类似的安排</w:t>
            </w:r>
            <w:r>
              <w:rPr>
                <w:rFonts w:ascii="宋体" w:hAnsi="宋体" w:cs="宋体" w:eastAsia="宋体" w:hint="default"/>
                <w:spacing w:val="-17"/>
                <w:sz w:val="18"/>
                <w:szCs w:val="18"/>
              </w:rPr>
              <w:t>，或</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17"/>
                <w:sz w:val="18"/>
                <w:szCs w:val="18"/>
              </w:rPr>
              <w:t>）</w:t>
            </w:r>
            <w:r>
              <w:rPr>
                <w:rFonts w:ascii="宋体" w:hAnsi="宋体" w:cs="宋体" w:eastAsia="宋体" w:hint="default"/>
                <w:sz w:val="18"/>
                <w:szCs w:val="18"/>
              </w:rPr>
              <w:t>任何司</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法或行政部门对该等资产实施的查封、扣留、冻结或强制转让措</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施，或（</w:t>
            </w:r>
            <w:r>
              <w:rPr>
                <w:rFonts w:ascii="Times New Roman" w:hAnsi="Times New Roman" w:cs="Times New Roman" w:eastAsia="Times New Roman" w:hint="default"/>
                <w:sz w:val="18"/>
                <w:szCs w:val="18"/>
              </w:rPr>
              <w:t>3</w:t>
            </w:r>
            <w:r>
              <w:rPr>
                <w:rFonts w:ascii="宋体" w:hAnsi="宋体" w:cs="宋体" w:eastAsia="宋体" w:hint="default"/>
                <w:sz w:val="18"/>
                <w:szCs w:val="18"/>
              </w:rPr>
              <w:t>）任何可能影响到对该等资产享有权利和权益的情况</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或可能致使任何第三人直接或者间接获取任何该等资产的权利和</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权益的情况。</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、上海树维及其分公司租赁的不动产属于依法可用</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于该项租赁之目的的不动产，且租赁合同合法有效，上海树维及</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8" w:hRule="exact"/>
        </w:trPr>
        <w:tc>
          <w:tcPr>
            <w:tcW w:w="2127" w:type="dxa"/>
            <w:vMerge/>
            <w:tcBorders>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51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其分公司有权按照租赁用途占有、使用该等租赁不动产。</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、上海</w:t>
            </w:r>
          </w:p>
        </w:tc>
        <w:tc>
          <w:tcPr>
            <w:tcW w:w="1134" w:type="dxa"/>
            <w:tcBorders>
              <w:top w:val="nil" w:sz="6" w:space="0" w:color="auto"/>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20" w:right="1340"/>
        </w:sectPr>
      </w:pPr>
    </w:p>
    <w:p>
      <w:pPr>
        <w:spacing w:line="240" w:lineRule="auto" w:before="4"/>
        <w:rPr>
          <w:rFonts w:ascii="Times New Roman" w:hAnsi="Times New Roman" w:cs="Times New Roman" w:eastAsia="Times New Roman" w:hint="default"/>
          <w:sz w:val="3"/>
          <w:szCs w:val="3"/>
        </w:rPr>
      </w:pPr>
      <w:r>
        <w:rPr/>
        <w:pict>
          <v:shape style="position:absolute;margin-left:321.170502pt;margin-top:57.18pt;width:296.350pt;height:468pt;mso-position-horizontal-relative:page;mso-position-vertical-relative:page;z-index:-11678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交易对方应就上海树维及其分公司的该等损失承担赔偿责任；</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2127"/>
        <w:gridCol w:w="1417"/>
        <w:gridCol w:w="1134"/>
        <w:gridCol w:w="5104"/>
        <w:gridCol w:w="1134"/>
        <w:gridCol w:w="1418"/>
        <w:gridCol w:w="1559"/>
      </w:tblGrid>
      <w:tr>
        <w:trPr>
          <w:trHeight w:val="331" w:hRule="exact"/>
        </w:trPr>
        <w:tc>
          <w:tcPr>
            <w:tcW w:w="2127" w:type="dxa"/>
            <w:vMerge w:val="restart"/>
            <w:tcBorders>
              <w:top w:val="single" w:sz="15" w:space="0" w:color="000000"/>
              <w:left w:val="single" w:sz="4" w:space="0" w:color="000000"/>
              <w:right w:val="single" w:sz="4" w:space="0" w:color="000000"/>
            </w:tcBorders>
            <w:shd w:val="clear" w:color="auto" w:fill="D3D3D3"/>
          </w:tcPr>
          <w:p>
            <w:pPr/>
          </w:p>
        </w:tc>
        <w:tc>
          <w:tcPr>
            <w:tcW w:w="1417" w:type="dxa"/>
            <w:vMerge w:val="restart"/>
            <w:tcBorders>
              <w:top w:val="single" w:sz="15" w:space="0" w:color="000000"/>
              <w:left w:val="single" w:sz="4" w:space="0" w:color="000000"/>
              <w:right w:val="single" w:sz="4" w:space="0" w:color="000000"/>
            </w:tcBorders>
          </w:tcPr>
          <w:p>
            <w:pPr/>
          </w:p>
        </w:tc>
        <w:tc>
          <w:tcPr>
            <w:tcW w:w="1134" w:type="dxa"/>
            <w:vMerge w:val="restart"/>
            <w:tcBorders>
              <w:top w:val="single" w:sz="15" w:space="0" w:color="000000"/>
              <w:left w:val="single" w:sz="4" w:space="0" w:color="000000"/>
              <w:right w:val="single" w:sz="4" w:space="0" w:color="000000"/>
            </w:tcBorders>
          </w:tcPr>
          <w:p>
            <w:pPr/>
          </w:p>
        </w:tc>
        <w:tc>
          <w:tcPr>
            <w:tcW w:w="5104"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树维及其分公司对与其主营业务相关的知识产权合法取得、有效</w:t>
            </w:r>
          </w:p>
        </w:tc>
        <w:tc>
          <w:tcPr>
            <w:tcW w:w="1134" w:type="dxa"/>
            <w:vMerge w:val="restart"/>
            <w:tcBorders>
              <w:top w:val="single" w:sz="15" w:space="0" w:color="000000"/>
              <w:left w:val="single" w:sz="4" w:space="0" w:color="000000"/>
              <w:right w:val="single" w:sz="4" w:space="0" w:color="000000"/>
            </w:tcBorders>
          </w:tcPr>
          <w:p>
            <w:pPr>
              <w:pStyle w:val="TableParagraph"/>
              <w:spacing w:line="936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6"/>
                <w:sz w:val="20"/>
                <w:szCs w:val="20"/>
              </w:rPr>
              <w:pict>
                <v:group style="width:56.25pt;height:468pt;mso-position-horizontal-relative:char;mso-position-vertical-relative:line" coordorigin="0,0" coordsize="1125,9360">
                  <v:group style="position:absolute;left:0;top:0;width:1125;height:9360" coordorigin="0,0" coordsize="1125,9360">
                    <v:shape style="position:absolute;left:0;top:0;width:1125;height:9360" coordorigin="0,0" coordsize="1125,9360" path="m0,0l0,9360,1124,9360,1124,0,0,0xe" filled="true" fillcolor="#ffffff" stroked="false">
                      <v:path arrowok="t"/>
                      <v:fill type="solid"/>
                    </v:shape>
                  </v:group>
                </v:group>
              </w:pict>
            </w:r>
            <w:r>
              <w:rPr>
                <w:rFonts w:ascii="Times New Roman" w:hAnsi="Times New Roman" w:cs="Times New Roman" w:eastAsia="Times New Roman" w:hint="default"/>
                <w:position w:val="-186"/>
                <w:sz w:val="20"/>
                <w:szCs w:val="20"/>
              </w:rPr>
            </w:r>
          </w:p>
        </w:tc>
        <w:tc>
          <w:tcPr>
            <w:tcW w:w="1418" w:type="dxa"/>
            <w:vMerge w:val="restart"/>
            <w:tcBorders>
              <w:top w:val="single" w:sz="15" w:space="0" w:color="000000"/>
              <w:left w:val="single" w:sz="4" w:space="0" w:color="000000"/>
              <w:right w:val="single" w:sz="4" w:space="0" w:color="000000"/>
            </w:tcBorders>
          </w:tcPr>
          <w:p>
            <w:pPr/>
          </w:p>
        </w:tc>
        <w:tc>
          <w:tcPr>
            <w:tcW w:w="1559" w:type="dxa"/>
            <w:vMerge w:val="restart"/>
            <w:tcBorders>
              <w:top w:val="single" w:sz="15" w:space="0" w:color="000000"/>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拥有，未侵犯任何第三人合法权益的行为。</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、上海树维及其分公</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司完全是依照《公司法》及有关法律法规经营、运作和管理的，</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不存在违反《公司法》及其他法律、法规的情况，也不存在因违</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反《公司法》及其他法律法规而导致的行政责任、民事责任或其</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他责任。</w:t>
            </w:r>
            <w:r>
              <w:rPr>
                <w:rFonts w:ascii="Times New Roman" w:hAnsi="Times New Roman" w:cs="Times New Roman" w:eastAsia="Times New Roman" w:hint="default"/>
                <w:sz w:val="18"/>
                <w:szCs w:val="18"/>
              </w:rPr>
              <w:t>10</w:t>
            </w:r>
            <w:r>
              <w:rPr>
                <w:rFonts w:ascii="宋体" w:hAnsi="宋体" w:cs="宋体" w:eastAsia="宋体" w:hint="default"/>
                <w:sz w:val="18"/>
                <w:szCs w:val="18"/>
              </w:rPr>
              <w:t>、上海树维及其分公司向新开普提供的各项财务报表</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及账目反映了上海树维及其分公司在相关报表日的真实的业务状</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况，并且包括了应当予以记录之全部信息的完整、准确且无误导</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的记录内容；除上海树维及其分公司向新开普提供的各项财务报</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表及账目反映的情况外，上海树维及其分公司没有任何其他的未</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偿还贷款、应付帐款、其他应付款或其他形式的负债（包括对实</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际控制人的负债</w:t>
            </w:r>
            <w:r>
              <w:rPr>
                <w:rFonts w:ascii="宋体" w:hAnsi="宋体" w:cs="宋体" w:eastAsia="宋体" w:hint="default"/>
                <w:spacing w:val="-90"/>
                <w:sz w:val="18"/>
                <w:szCs w:val="18"/>
              </w:rPr>
              <w:t>）</w:t>
            </w:r>
            <w:r>
              <w:rPr>
                <w:rFonts w:ascii="宋体" w:hAnsi="宋体" w:cs="宋体" w:eastAsia="宋体" w:hint="default"/>
                <w:spacing w:val="-28"/>
                <w:sz w:val="18"/>
                <w:szCs w:val="18"/>
              </w:rPr>
              <w:t>，</w:t>
            </w:r>
            <w:r>
              <w:rPr>
                <w:rFonts w:ascii="宋体" w:hAnsi="宋体" w:cs="宋体" w:eastAsia="宋体" w:hint="default"/>
                <w:sz w:val="18"/>
                <w:szCs w:val="18"/>
              </w:rPr>
              <w:t>没有无对价支出</w:t>
            </w:r>
            <w:r>
              <w:rPr>
                <w:rFonts w:ascii="宋体" w:hAnsi="宋体" w:cs="宋体" w:eastAsia="宋体" w:hint="default"/>
                <w:spacing w:val="-28"/>
                <w:sz w:val="18"/>
                <w:szCs w:val="18"/>
              </w:rPr>
              <w:t>、</w:t>
            </w:r>
            <w:r>
              <w:rPr>
                <w:rFonts w:ascii="宋体" w:hAnsi="宋体" w:cs="宋体" w:eastAsia="宋体" w:hint="default"/>
                <w:sz w:val="18"/>
                <w:szCs w:val="18"/>
              </w:rPr>
              <w:t>非公允性支出等</w:t>
            </w:r>
            <w:r>
              <w:rPr>
                <w:rFonts w:ascii="宋体" w:hAnsi="宋体" w:cs="宋体" w:eastAsia="宋体" w:hint="default"/>
                <w:spacing w:val="-28"/>
                <w:sz w:val="18"/>
                <w:szCs w:val="18"/>
              </w:rPr>
              <w:t>，</w:t>
            </w:r>
            <w:r>
              <w:rPr>
                <w:rFonts w:ascii="宋体" w:hAnsi="宋体" w:cs="宋体" w:eastAsia="宋体" w:hint="default"/>
                <w:sz w:val="18"/>
                <w:szCs w:val="18"/>
              </w:rPr>
              <w:t>没有任何</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其他的对外担保或任何其他形式的保证责任</w:t>
            </w:r>
            <w:r>
              <w:rPr>
                <w:rFonts w:ascii="Times New Roman" w:hAnsi="Times New Roman" w:cs="Times New Roman" w:eastAsia="Times New Roman" w:hint="default"/>
                <w:sz w:val="18"/>
                <w:szCs w:val="18"/>
              </w:rPr>
              <w:t>(</w:t>
            </w:r>
            <w:r>
              <w:rPr>
                <w:rFonts w:ascii="宋体" w:hAnsi="宋体" w:cs="宋体" w:eastAsia="宋体" w:hint="default"/>
                <w:sz w:val="18"/>
                <w:szCs w:val="18"/>
              </w:rPr>
              <w:t>但日常经营中与客</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2"/>
                <w:sz w:val="18"/>
                <w:szCs w:val="18"/>
              </w:rPr>
              <w:t>户签订的合同、协议、备忘等类似文件中的相关保证除外</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；自评</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估基准日至本协议签署日，上海树维及其分公司的财务或经营状</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况或前景均未曾发生任何重大不利变化，并且未曾发生可能引起</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任何该等变化的事件、事实或情况。</w:t>
            </w:r>
            <w:r>
              <w:rPr>
                <w:rFonts w:ascii="Times New Roman" w:hAnsi="Times New Roman" w:cs="Times New Roman" w:eastAsia="Times New Roman" w:hint="default"/>
                <w:sz w:val="18"/>
                <w:szCs w:val="18"/>
              </w:rPr>
              <w:t>11</w:t>
            </w:r>
            <w:r>
              <w:rPr>
                <w:rFonts w:ascii="宋体" w:hAnsi="宋体" w:cs="宋体" w:eastAsia="宋体" w:hint="default"/>
                <w:sz w:val="18"/>
                <w:szCs w:val="18"/>
              </w:rPr>
              <w:t>、上海树维及其分公司主</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要财务制度、账册管理、凭证和发票使用以及税务申报、代扣代</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缴均符合中国财务会计和税务法律法规的规定，不存在因拖欠税</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款、迟缴税款、逃税、骗税、漏税、未完全或适时履行代扣代缴</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义务或其他违反税收法律法规的行为而被公开调查或处罚或可能</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被公开调查或处罚的情形；上海树维及其分公司亦不存在依据依</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国家及地方法律法规应交纳但尚未交纳或拖欠的各项费用、规费</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等，不存在可能被收回的政府补助；上海树维及其分公司不存在</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未依法缴纳的税款，如上海树维及其分公司因在交割日前未按规</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定缴纳任何税款而于交割日后被要求补缴和</w:t>
            </w:r>
            <w:r>
              <w:rPr>
                <w:rFonts w:ascii="Times New Roman" w:hAnsi="Times New Roman" w:cs="Times New Roman" w:eastAsia="Times New Roman" w:hint="default"/>
                <w:sz w:val="18"/>
                <w:szCs w:val="18"/>
              </w:rPr>
              <w:t>/</w:t>
            </w:r>
            <w:r>
              <w:rPr>
                <w:rFonts w:ascii="宋体" w:hAnsi="宋体" w:cs="宋体" w:eastAsia="宋体" w:hint="default"/>
                <w:sz w:val="18"/>
                <w:szCs w:val="18"/>
              </w:rPr>
              <w:t>或承担其他法律责</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任，</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如该等损失由上海树维及其分公司先行承担，交易对方应在上海</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树维及其分公司承担该等损失之日起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日内以除上海树维股权</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3" w:hRule="exact"/>
        </w:trPr>
        <w:tc>
          <w:tcPr>
            <w:tcW w:w="2127" w:type="dxa"/>
            <w:vMerge/>
            <w:tcBorders>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51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以外的其他合法财产对上海树维及其分公司承担全部补偿责任。</w:t>
            </w:r>
          </w:p>
        </w:tc>
        <w:tc>
          <w:tcPr>
            <w:tcW w:w="1134"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20" w:right="1340"/>
        </w:sectPr>
      </w:pPr>
    </w:p>
    <w:p>
      <w:pPr>
        <w:spacing w:line="240" w:lineRule="auto" w:before="4"/>
        <w:rPr>
          <w:rFonts w:ascii="Times New Roman" w:hAnsi="Times New Roman" w:cs="Times New Roman" w:eastAsia="Times New Roman" w:hint="default"/>
          <w:sz w:val="3"/>
          <w:szCs w:val="3"/>
        </w:rPr>
      </w:pPr>
      <w:r>
        <w:rPr/>
        <w:pict>
          <v:shape style="position:absolute;margin-left:393.170502pt;margin-top:57.18pt;width:224.35pt;height:468pt;mso-position-horizontal-relative:page;mso-position-vertical-relative:page;z-index:-11677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9"/>
                      <w:szCs w:val="19"/>
                    </w:rPr>
                  </w:pPr>
                </w:p>
                <w:p>
                  <w:pPr>
                    <w:spacing w:before="0"/>
                    <w:ind w:left="0" w:right="0" w:firstLine="358"/>
                    <w:jc w:val="left"/>
                    <w:rPr>
                      <w:rFonts w:ascii="宋体" w:hAnsi="宋体" w:cs="宋体" w:eastAsia="宋体" w:hint="default"/>
                      <w:sz w:val="18"/>
                      <w:szCs w:val="18"/>
                    </w:rPr>
                  </w:pPr>
                  <w:r>
                    <w:rPr>
                      <w:rFonts w:ascii="宋体" w:hAnsi="宋体" w:cs="宋体" w:eastAsia="宋体" w:hint="default"/>
                      <w:sz w:val="18"/>
                      <w:szCs w:val="18"/>
                    </w:rPr>
                    <w:t>资产出售或收购等重大资产变化情况。</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除向新开普已披露的或新开普已知悉的外，</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2127"/>
        <w:gridCol w:w="1417"/>
        <w:gridCol w:w="1134"/>
        <w:gridCol w:w="5104"/>
        <w:gridCol w:w="1134"/>
        <w:gridCol w:w="1418"/>
        <w:gridCol w:w="1559"/>
      </w:tblGrid>
      <w:tr>
        <w:trPr>
          <w:trHeight w:val="336" w:hRule="exact"/>
        </w:trPr>
        <w:tc>
          <w:tcPr>
            <w:tcW w:w="2127" w:type="dxa"/>
            <w:vMerge w:val="restart"/>
            <w:tcBorders>
              <w:top w:val="single" w:sz="15" w:space="0" w:color="000000"/>
              <w:left w:val="single" w:sz="4" w:space="0" w:color="000000"/>
              <w:right w:val="single" w:sz="4" w:space="0" w:color="000000"/>
            </w:tcBorders>
            <w:shd w:val="clear" w:color="auto" w:fill="D3D3D3"/>
          </w:tcPr>
          <w:p>
            <w:pPr/>
          </w:p>
        </w:tc>
        <w:tc>
          <w:tcPr>
            <w:tcW w:w="1417" w:type="dxa"/>
            <w:vMerge w:val="restart"/>
            <w:tcBorders>
              <w:top w:val="single" w:sz="15" w:space="0" w:color="000000"/>
              <w:left w:val="single" w:sz="4" w:space="0" w:color="000000"/>
              <w:right w:val="single" w:sz="4" w:space="0" w:color="000000"/>
            </w:tcBorders>
          </w:tcPr>
          <w:p>
            <w:pPr/>
          </w:p>
        </w:tc>
        <w:tc>
          <w:tcPr>
            <w:tcW w:w="1134" w:type="dxa"/>
            <w:vMerge w:val="restart"/>
            <w:tcBorders>
              <w:top w:val="single" w:sz="15" w:space="0" w:color="000000"/>
              <w:left w:val="single" w:sz="4" w:space="0" w:color="000000"/>
              <w:right w:val="single" w:sz="4" w:space="0" w:color="000000"/>
            </w:tcBorders>
          </w:tcPr>
          <w:p>
            <w:pPr/>
          </w:p>
        </w:tc>
        <w:tc>
          <w:tcPr>
            <w:tcW w:w="5104"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、截至本协议签署日，除了正常的业务合作之外，上海树维及</w:t>
            </w:r>
          </w:p>
        </w:tc>
        <w:tc>
          <w:tcPr>
            <w:tcW w:w="1134" w:type="dxa"/>
            <w:vMerge w:val="restart"/>
            <w:tcBorders>
              <w:top w:val="single" w:sz="15" w:space="0" w:color="000000"/>
              <w:left w:val="single" w:sz="4" w:space="0" w:color="000000"/>
              <w:right w:val="single" w:sz="4" w:space="0" w:color="000000"/>
            </w:tcBorders>
          </w:tcPr>
          <w:p>
            <w:pPr>
              <w:pStyle w:val="TableParagraph"/>
              <w:spacing w:line="936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6"/>
                <w:sz w:val="20"/>
                <w:szCs w:val="20"/>
              </w:rPr>
              <w:pict>
                <v:group style="width:56.25pt;height:468pt;mso-position-horizontal-relative:char;mso-position-vertical-relative:line" coordorigin="0,0" coordsize="1125,9360">
                  <v:group style="position:absolute;left:0;top:0;width:1125;height:9360" coordorigin="0,0" coordsize="1125,9360">
                    <v:shape style="position:absolute;left:0;top:0;width:1125;height:9360" coordorigin="0,0" coordsize="1125,9360" path="m0,0l0,9360,1124,9360,1124,0,0,0xe" filled="true" fillcolor="#ffffff" stroked="false">
                      <v:path arrowok="t"/>
                      <v:fill type="solid"/>
                    </v:shape>
                  </v:group>
                </v:group>
              </w:pict>
            </w:r>
            <w:r>
              <w:rPr>
                <w:rFonts w:ascii="Times New Roman" w:hAnsi="Times New Roman" w:cs="Times New Roman" w:eastAsia="Times New Roman" w:hint="default"/>
                <w:position w:val="-186"/>
                <w:sz w:val="20"/>
                <w:szCs w:val="20"/>
              </w:rPr>
            </w:r>
          </w:p>
        </w:tc>
        <w:tc>
          <w:tcPr>
            <w:tcW w:w="1418" w:type="dxa"/>
            <w:vMerge w:val="restart"/>
            <w:tcBorders>
              <w:top w:val="single" w:sz="15" w:space="0" w:color="000000"/>
              <w:left w:val="single" w:sz="4" w:space="0" w:color="000000"/>
              <w:right w:val="single" w:sz="4" w:space="0" w:color="000000"/>
            </w:tcBorders>
          </w:tcPr>
          <w:p>
            <w:pPr/>
          </w:p>
        </w:tc>
        <w:tc>
          <w:tcPr>
            <w:tcW w:w="1559" w:type="dxa"/>
            <w:vMerge w:val="restart"/>
            <w:tcBorders>
              <w:top w:val="single" w:sz="15" w:space="0" w:color="000000"/>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其分公司没有与任何第三方开展任何合资、合作及其他资本性交</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易等，或者通过口头或书面形式向第三方作出的准备合资、合作</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或类似行动的实质性承诺；上海树维及其分公司目前不存在拟进</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行的资产置换、资产剥离、</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上海树维及其分公司已向新开普提交了所有重要的正在履行</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的业务合同、合作合同，重要的正在履行的知识产权开发、许可</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或转让合同，所有的正在履行的借款、担保、抵押合同；该等合</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同均是真实、合法、有效的，并能得到有效执行。</w:t>
            </w:r>
            <w:r>
              <w:rPr>
                <w:rFonts w:ascii="Times New Roman" w:hAnsi="Times New Roman" w:cs="Times New Roman" w:eastAsia="Times New Roman" w:hint="default"/>
                <w:sz w:val="18"/>
                <w:szCs w:val="18"/>
              </w:rPr>
              <w:t>14</w:t>
            </w:r>
            <w:r>
              <w:rPr>
                <w:rFonts w:ascii="宋体" w:hAnsi="宋体" w:cs="宋体" w:eastAsia="宋体" w:hint="default"/>
                <w:sz w:val="18"/>
                <w:szCs w:val="18"/>
              </w:rPr>
              <w:t>、交易对方</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与上海树维及其分公司及其任何关联方（包括但不限于上海树维</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及其分公司董事、监事、管理人员、股东及上述人士以任何方式</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控制的其他自然人或实体）之间不存在任何损害上海树维及其分</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公司利益的关联交易。</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交易对方及其关联方（包括但不限于关联方的董事、监事、管理</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人员、股东及上述人士以任何方式控制的其他自然人或实体）不</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存在以任何形式在任何地区从事或参与任何与上海树维及其分公</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司目前所实际经营业务相同、相似、构成或可能构成直接或间接</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竞争关系的业务或活动。</w:t>
            </w:r>
            <w:r>
              <w:rPr>
                <w:rFonts w:ascii="Times New Roman" w:hAnsi="Times New Roman" w:cs="Times New Roman" w:eastAsia="Times New Roman" w:hint="default"/>
                <w:sz w:val="18"/>
                <w:szCs w:val="18"/>
              </w:rPr>
              <w:t>15</w:t>
            </w:r>
            <w:r>
              <w:rPr>
                <w:rFonts w:ascii="宋体" w:hAnsi="宋体" w:cs="宋体" w:eastAsia="宋体" w:hint="default"/>
                <w:sz w:val="18"/>
                <w:szCs w:val="18"/>
              </w:rPr>
              <w:t>、截至本协议签署日，上海树维及其</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分公司不存在任何可能对上海树维及其分公司业务及经营情况产</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生重大不利影响的情形。</w:t>
            </w:r>
            <w:r>
              <w:rPr>
                <w:rFonts w:ascii="Times New Roman" w:hAnsi="Times New Roman" w:cs="Times New Roman" w:eastAsia="Times New Roman" w:hint="default"/>
                <w:sz w:val="18"/>
                <w:szCs w:val="18"/>
              </w:rPr>
              <w:t>16</w:t>
            </w:r>
            <w:r>
              <w:rPr>
                <w:rFonts w:ascii="宋体" w:hAnsi="宋体" w:cs="宋体" w:eastAsia="宋体" w:hint="default"/>
                <w:sz w:val="18"/>
                <w:szCs w:val="18"/>
              </w:rPr>
              <w:t>、上海树维及其分公司已及时与其在</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职员工依法签署了劳动合同；除上海树维及其分公司在本协议签</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署日前实际一直持续实施的常规性奖励方案或制度或已向新开普</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披露的或新开普已知悉的外，上海树维及其分公司不存在（或拟</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采取）为其所有或任何董事、高级管理人员或其他雇员的任何股</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权激励方案、股权期权方案或利润分享、佣金或其他该等奖励方</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案，经新开普书面同意的除外；如上海树维及其分公司因在交割</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日前未依法为员工缴纳社会保险费或住房公积金而在交割日后受</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到任何处罚、追索、索赔或受到任何损失（包括但不限于依法需</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为员工补缴的社会保险费、住房公积金及任何滞纳金、罚款、损</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8" w:hRule="exact"/>
        </w:trPr>
        <w:tc>
          <w:tcPr>
            <w:tcW w:w="2127" w:type="dxa"/>
            <w:vMerge/>
            <w:tcBorders>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51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害赔偿金和</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或承担其他法律责任等</w:t>
            </w:r>
            <w:r>
              <w:rPr>
                <w:rFonts w:ascii="宋体" w:hAnsi="宋体" w:cs="宋体" w:eastAsia="宋体" w:hint="default"/>
                <w:spacing w:val="-90"/>
                <w:sz w:val="18"/>
                <w:szCs w:val="18"/>
              </w:rPr>
              <w:t>）</w:t>
            </w:r>
            <w:r>
              <w:rPr>
                <w:rFonts w:ascii="宋体" w:hAnsi="宋体" w:cs="宋体" w:eastAsia="宋体" w:hint="default"/>
                <w:sz w:val="18"/>
                <w:szCs w:val="18"/>
              </w:rPr>
              <w:t>，交易对方应就上海树维及</w:t>
            </w:r>
          </w:p>
        </w:tc>
        <w:tc>
          <w:tcPr>
            <w:tcW w:w="1134"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20" w:right="1340"/>
        </w:sectPr>
      </w:pPr>
    </w:p>
    <w:p>
      <w:pPr>
        <w:spacing w:line="240" w:lineRule="auto" w:before="4"/>
        <w:rPr>
          <w:rFonts w:ascii="Times New Roman" w:hAnsi="Times New Roman" w:cs="Times New Roman" w:eastAsia="Times New Roman" w:hint="default"/>
          <w:sz w:val="3"/>
          <w:szCs w:val="3"/>
        </w:rPr>
      </w:pPr>
      <w:r>
        <w:rPr/>
        <w:pict>
          <v:shape style="position:absolute;margin-left:447.170502pt;margin-top:57.18pt;width:170.35pt;height:468pt;mso-position-horizontal-relative:page;mso-position-vertical-relative:page;z-index:-11677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34"/>
                    <w:ind w:left="0" w:right="0" w:firstLine="0"/>
                    <w:jc w:val="left"/>
                    <w:rPr>
                      <w:rFonts w:ascii="宋体" w:hAnsi="宋体" w:cs="宋体" w:eastAsia="宋体" w:hint="default"/>
                      <w:sz w:val="18"/>
                      <w:szCs w:val="18"/>
                    </w:rPr>
                  </w:pPr>
                  <w:r>
                    <w:rPr>
                      <w:rFonts w:ascii="宋体" w:hAnsi="宋体" w:cs="宋体" w:eastAsia="宋体" w:hint="default"/>
                      <w:sz w:val="18"/>
                      <w:szCs w:val="18"/>
                    </w:rPr>
                    <w:t>（或以其财产或资产为标的）</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2127"/>
        <w:gridCol w:w="1417"/>
        <w:gridCol w:w="1134"/>
        <w:gridCol w:w="5104"/>
        <w:gridCol w:w="1134"/>
        <w:gridCol w:w="1418"/>
        <w:gridCol w:w="1559"/>
      </w:tblGrid>
      <w:tr>
        <w:trPr>
          <w:trHeight w:val="331" w:hRule="exact"/>
        </w:trPr>
        <w:tc>
          <w:tcPr>
            <w:tcW w:w="2127" w:type="dxa"/>
            <w:vMerge w:val="restart"/>
            <w:tcBorders>
              <w:top w:val="single" w:sz="15" w:space="0" w:color="000000"/>
              <w:left w:val="single" w:sz="4" w:space="0" w:color="000000"/>
              <w:right w:val="single" w:sz="4" w:space="0" w:color="000000"/>
            </w:tcBorders>
            <w:shd w:val="clear" w:color="auto" w:fill="D3D3D3"/>
          </w:tcPr>
          <w:p>
            <w:pPr/>
          </w:p>
        </w:tc>
        <w:tc>
          <w:tcPr>
            <w:tcW w:w="1417" w:type="dxa"/>
            <w:vMerge w:val="restart"/>
            <w:tcBorders>
              <w:top w:val="single" w:sz="15" w:space="0" w:color="000000"/>
              <w:left w:val="single" w:sz="4" w:space="0" w:color="000000"/>
              <w:right w:val="single" w:sz="4" w:space="0" w:color="000000"/>
            </w:tcBorders>
          </w:tcPr>
          <w:p>
            <w:pPr/>
          </w:p>
        </w:tc>
        <w:tc>
          <w:tcPr>
            <w:tcW w:w="1134" w:type="dxa"/>
            <w:vMerge w:val="restart"/>
            <w:tcBorders>
              <w:top w:val="single" w:sz="15" w:space="0" w:color="000000"/>
              <w:left w:val="single" w:sz="4" w:space="0" w:color="000000"/>
              <w:right w:val="single" w:sz="4" w:space="0" w:color="000000"/>
            </w:tcBorders>
          </w:tcPr>
          <w:p>
            <w:pPr/>
          </w:p>
        </w:tc>
        <w:tc>
          <w:tcPr>
            <w:tcW w:w="5104"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其分公司的该等损失承担赔偿责任；如该等损失由上海树维及其</w:t>
            </w:r>
          </w:p>
        </w:tc>
        <w:tc>
          <w:tcPr>
            <w:tcW w:w="1134" w:type="dxa"/>
            <w:vMerge w:val="restart"/>
            <w:tcBorders>
              <w:top w:val="single" w:sz="15" w:space="0" w:color="000000"/>
              <w:left w:val="single" w:sz="4" w:space="0" w:color="000000"/>
              <w:right w:val="single" w:sz="4" w:space="0" w:color="000000"/>
            </w:tcBorders>
          </w:tcPr>
          <w:p>
            <w:pPr>
              <w:pStyle w:val="TableParagraph"/>
              <w:spacing w:line="936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6"/>
                <w:sz w:val="20"/>
                <w:szCs w:val="20"/>
              </w:rPr>
              <w:pict>
                <v:group style="width:56.25pt;height:468pt;mso-position-horizontal-relative:char;mso-position-vertical-relative:line" coordorigin="0,0" coordsize="1125,9360">
                  <v:group style="position:absolute;left:0;top:0;width:1125;height:9360" coordorigin="0,0" coordsize="1125,9360">
                    <v:shape style="position:absolute;left:0;top:0;width:1125;height:9360" coordorigin="0,0" coordsize="1125,9360" path="m0,0l0,9360,1124,9360,1124,0,0,0xe" filled="true" fillcolor="#ffffff" stroked="false">
                      <v:path arrowok="t"/>
                      <v:fill type="solid"/>
                    </v:shape>
                  </v:group>
                </v:group>
              </w:pict>
            </w:r>
            <w:r>
              <w:rPr>
                <w:rFonts w:ascii="Times New Roman" w:hAnsi="Times New Roman" w:cs="Times New Roman" w:eastAsia="Times New Roman" w:hint="default"/>
                <w:position w:val="-186"/>
                <w:sz w:val="20"/>
                <w:szCs w:val="20"/>
              </w:rPr>
            </w:r>
          </w:p>
        </w:tc>
        <w:tc>
          <w:tcPr>
            <w:tcW w:w="1418" w:type="dxa"/>
            <w:vMerge w:val="restart"/>
            <w:tcBorders>
              <w:top w:val="single" w:sz="15" w:space="0" w:color="000000"/>
              <w:left w:val="single" w:sz="4" w:space="0" w:color="000000"/>
              <w:right w:val="single" w:sz="4" w:space="0" w:color="000000"/>
            </w:tcBorders>
          </w:tcPr>
          <w:p>
            <w:pPr/>
          </w:p>
        </w:tc>
        <w:tc>
          <w:tcPr>
            <w:tcW w:w="1559" w:type="dxa"/>
            <w:vMerge w:val="restart"/>
            <w:tcBorders>
              <w:top w:val="single" w:sz="15" w:space="0" w:color="000000"/>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分公司先行承担，交易对方应在上海树维及其分公司承担该等损</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失之日起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日内以除上海树维股权以外的其他合法财产对上海</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树维及其分公司承担全部补偿责任。</w:t>
            </w:r>
            <w:r>
              <w:rPr>
                <w:rFonts w:ascii="Times New Roman" w:hAnsi="Times New Roman" w:cs="Times New Roman" w:eastAsia="Times New Roman" w:hint="default"/>
                <w:sz w:val="18"/>
                <w:szCs w:val="18"/>
              </w:rPr>
              <w:t>17</w:t>
            </w:r>
            <w:r>
              <w:rPr>
                <w:rFonts w:ascii="宋体" w:hAnsi="宋体" w:cs="宋体" w:eastAsia="宋体" w:hint="default"/>
                <w:sz w:val="18"/>
                <w:szCs w:val="18"/>
              </w:rPr>
              <w:t>、上海树维及其分公司的</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经营活动符合相关法律法规的规定；上海树维及其分公司不存在</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严重违反工商、税务、海关、外汇、房产、土地使用和管理、环</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保、劳动及社会保障等方面法律法规和规范性文件的情形（前述</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所称</w:t>
            </w:r>
            <w:r>
              <w:rPr>
                <w:rFonts w:ascii="Times New Roman" w:hAnsi="Times New Roman" w:cs="Times New Roman" w:eastAsia="Times New Roman" w:hint="default"/>
                <w:sz w:val="18"/>
                <w:szCs w:val="18"/>
              </w:rPr>
              <w:t>"</w:t>
            </w:r>
            <w:r>
              <w:rPr>
                <w:rFonts w:ascii="宋体" w:hAnsi="宋体" w:cs="宋体" w:eastAsia="宋体" w:hint="default"/>
                <w:sz w:val="18"/>
                <w:szCs w:val="18"/>
              </w:rPr>
              <w:t>严重违反</w:t>
            </w:r>
            <w:r>
              <w:rPr>
                <w:rFonts w:ascii="Times New Roman" w:hAnsi="Times New Roman" w:cs="Times New Roman" w:eastAsia="Times New Roman" w:hint="default"/>
                <w:sz w:val="18"/>
                <w:szCs w:val="18"/>
              </w:rPr>
              <w:t>"</w:t>
            </w:r>
            <w:r>
              <w:rPr>
                <w:rFonts w:ascii="宋体" w:hAnsi="宋体" w:cs="宋体" w:eastAsia="宋体" w:hint="default"/>
                <w:sz w:val="18"/>
                <w:szCs w:val="18"/>
              </w:rPr>
              <w:t>是指依据前述相关法律法规或被主管部门认定为</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重大违法</w:t>
            </w:r>
            <w:r>
              <w:rPr>
                <w:rFonts w:ascii="Times New Roman" w:hAnsi="Times New Roman" w:cs="Times New Roman" w:eastAsia="Times New Roman" w:hint="default"/>
                <w:sz w:val="18"/>
                <w:szCs w:val="18"/>
              </w:rPr>
              <w:t>"</w:t>
            </w:r>
            <w:r>
              <w:rPr>
                <w:rFonts w:ascii="宋体" w:hAnsi="宋体" w:cs="宋体" w:eastAsia="宋体" w:hint="default"/>
                <w:sz w:val="18"/>
                <w:szCs w:val="18"/>
              </w:rPr>
              <w:t>，或违反前述法律法规和规范性文件的规定足以对上</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海树维及其分公司造成重大不利影响的情形</w:t>
            </w:r>
            <w:r>
              <w:rPr>
                <w:rFonts w:ascii="宋体" w:hAnsi="宋体" w:cs="宋体" w:eastAsia="宋体" w:hint="default"/>
                <w:spacing w:val="-90"/>
                <w:sz w:val="18"/>
                <w:szCs w:val="18"/>
              </w:rPr>
              <w:t>）</w:t>
            </w:r>
            <w:r>
              <w:rPr>
                <w:rFonts w:ascii="宋体" w:hAnsi="宋体" w:cs="宋体" w:eastAsia="宋体" w:hint="default"/>
                <w:spacing w:val="-83"/>
                <w:sz w:val="18"/>
                <w:szCs w:val="18"/>
              </w:rPr>
              <w:t>；</w:t>
            </w:r>
            <w:r>
              <w:rPr>
                <w:rFonts w:ascii="宋体" w:hAnsi="宋体" w:cs="宋体" w:eastAsia="宋体" w:hint="default"/>
                <w:sz w:val="18"/>
                <w:szCs w:val="18"/>
              </w:rPr>
              <w:t>除已向新开普书面</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披露的情形外，上海树维及其分公司不存在其他任何政府机关的</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行政处罚（包括但不限于工商、税务、海关、外汇、房产、土地</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使用和管理</w:t>
            </w:r>
            <w:r>
              <w:rPr>
                <w:rFonts w:ascii="宋体" w:hAnsi="宋体" w:cs="宋体" w:eastAsia="宋体" w:hint="default"/>
                <w:spacing w:val="-28"/>
                <w:sz w:val="18"/>
                <w:szCs w:val="18"/>
              </w:rPr>
              <w:t>、</w:t>
            </w:r>
            <w:r>
              <w:rPr>
                <w:rFonts w:ascii="宋体" w:hAnsi="宋体" w:cs="宋体" w:eastAsia="宋体" w:hint="default"/>
                <w:sz w:val="18"/>
                <w:szCs w:val="18"/>
              </w:rPr>
              <w:t>环保</w:t>
            </w:r>
            <w:r>
              <w:rPr>
                <w:rFonts w:ascii="宋体" w:hAnsi="宋体" w:cs="宋体" w:eastAsia="宋体" w:hint="default"/>
                <w:spacing w:val="-28"/>
                <w:sz w:val="18"/>
                <w:szCs w:val="18"/>
              </w:rPr>
              <w:t>、</w:t>
            </w:r>
            <w:r>
              <w:rPr>
                <w:rFonts w:ascii="宋体" w:hAnsi="宋体" w:cs="宋体" w:eastAsia="宋体" w:hint="default"/>
                <w:sz w:val="18"/>
                <w:szCs w:val="18"/>
              </w:rPr>
              <w:t>劳动及社会保障等方面的行政处罚</w:t>
            </w:r>
            <w:r>
              <w:rPr>
                <w:rFonts w:ascii="宋体" w:hAnsi="宋体" w:cs="宋体" w:eastAsia="宋体" w:hint="default"/>
                <w:spacing w:val="-90"/>
                <w:sz w:val="18"/>
                <w:szCs w:val="18"/>
              </w:rPr>
              <w:t>）</w:t>
            </w:r>
            <w:r>
              <w:rPr>
                <w:rFonts w:ascii="宋体" w:hAnsi="宋体" w:cs="宋体" w:eastAsia="宋体" w:hint="default"/>
                <w:spacing w:val="-28"/>
                <w:sz w:val="18"/>
                <w:szCs w:val="18"/>
              </w:rPr>
              <w:t>，</w:t>
            </w:r>
            <w:r>
              <w:rPr>
                <w:rFonts w:ascii="宋体" w:hAnsi="宋体" w:cs="宋体" w:eastAsia="宋体" w:hint="default"/>
                <w:sz w:val="18"/>
                <w:szCs w:val="18"/>
              </w:rPr>
              <w:t>不存在</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任何正在进行的或将要发生的为一方</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诉讼、仲裁、争议及索赔；自交割日起，若因上海树维及其分公</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司在交割日前的经营过程中存在违法违规情形、侵权行为或未能</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及时获得相关资质或许可的等原因而导致的一切民事、行政或刑</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事责任而直接或间接致使新开普遭受损失，交易对方将对新开普</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承担连带赔偿责任。</w:t>
            </w:r>
            <w:r>
              <w:rPr>
                <w:rFonts w:ascii="Times New Roman" w:hAnsi="Times New Roman" w:cs="Times New Roman" w:eastAsia="Times New Roman" w:hint="default"/>
                <w:sz w:val="18"/>
                <w:szCs w:val="18"/>
              </w:rPr>
              <w:t>18</w:t>
            </w:r>
            <w:r>
              <w:rPr>
                <w:rFonts w:ascii="宋体" w:hAnsi="宋体" w:cs="宋体" w:eastAsia="宋体" w:hint="default"/>
                <w:sz w:val="18"/>
                <w:szCs w:val="18"/>
              </w:rPr>
              <w:t>、上海树维及其分公司不存在由于违反任</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何劳动和社会保障方面的法律法规而受到任何政府机关的处罚的</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情形。</w:t>
            </w:r>
            <w:r>
              <w:rPr>
                <w:rFonts w:ascii="Times New Roman" w:hAnsi="Times New Roman" w:cs="Times New Roman" w:eastAsia="Times New Roman" w:hint="default"/>
                <w:sz w:val="18"/>
                <w:szCs w:val="18"/>
              </w:rPr>
              <w:t>19</w:t>
            </w:r>
            <w:r>
              <w:rPr>
                <w:rFonts w:ascii="宋体" w:hAnsi="宋体" w:cs="宋体" w:eastAsia="宋体" w:hint="default"/>
                <w:sz w:val="18"/>
                <w:szCs w:val="18"/>
              </w:rPr>
              <w:t>、上海树维及其分公司不存在尚未了结的其所提起的、</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或以上海树维及其分公司作为相对方的或与之相关的任何进行中</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的诉讼、仲裁、行政处罚、行政复议、申诉等法律程序，且上海</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树维及其分公司不存在依照法院、仲裁机构或其他司法、行政部</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门作出的判决、裁决或决定应承担法律责任或义务但尚未履行完</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毕的情况。</w:t>
            </w:r>
            <w:r>
              <w:rPr>
                <w:rFonts w:ascii="Times New Roman" w:hAnsi="Times New Roman" w:cs="Times New Roman" w:eastAsia="Times New Roman" w:hint="default"/>
                <w:sz w:val="18"/>
                <w:szCs w:val="18"/>
              </w:rPr>
              <w:t>20</w:t>
            </w:r>
            <w:r>
              <w:rPr>
                <w:rFonts w:ascii="宋体" w:hAnsi="宋体" w:cs="宋体" w:eastAsia="宋体" w:hint="default"/>
                <w:sz w:val="18"/>
                <w:szCs w:val="18"/>
              </w:rPr>
              <w:t>、交易对方已向新开普完全及正确披露了上海树维</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及其分公司截至本协议签署日的所有正在履行期限内的债务；交</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易对方及上海树维及其分公司不存在可能严重影响到按本协议项</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下条款和条件进行本次交易的未清偿债务和法律责任；并且，在</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8" w:hRule="exact"/>
        </w:trPr>
        <w:tc>
          <w:tcPr>
            <w:tcW w:w="2127" w:type="dxa"/>
            <w:vMerge/>
            <w:tcBorders>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51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未获得新开普事先书面同意之前，交易对方及上海树维及其分公</w:t>
            </w:r>
          </w:p>
        </w:tc>
        <w:tc>
          <w:tcPr>
            <w:tcW w:w="1134"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20" w:right="1340"/>
        </w:sectPr>
      </w:pPr>
    </w:p>
    <w:p>
      <w:pPr>
        <w:spacing w:line="240" w:lineRule="auto" w:before="4"/>
        <w:rPr>
          <w:rFonts w:ascii="Times New Roman" w:hAnsi="Times New Roman" w:cs="Times New Roman" w:eastAsia="Times New Roman" w:hint="default"/>
          <w:sz w:val="3"/>
          <w:szCs w:val="3"/>
        </w:rPr>
      </w:pPr>
      <w:r>
        <w:rPr/>
        <w:pict>
          <v:shape style="position:absolute;margin-left:243.289597pt;margin-top:356.100006pt;width:62.35pt;height:173.6pt;mso-position-horizontal-relative:page;mso-position-vertical-relative:page;z-index:-11677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42"/>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55.170471pt;margin-top:356.100006pt;width:62.35pt;height:173.6pt;mso-position-horizontal-relative:page;mso-position-vertical-relative:page;z-index:-11676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6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49.410995pt;margin-top:356.100006pt;width:56.25pt;height:173.6pt;mso-position-horizontal-relative:page;mso-position-vertical-relative:page;z-index:-1167664" coordorigin="4988,7122" coordsize="1125,3472">
            <v:group style="position:absolute;left:4988;top:7122;width:1125;height:3472" coordorigin="4988,7122" coordsize="1125,3472">
              <v:shape style="position:absolute;left:4988;top:7122;width:1125;height:3472" coordorigin="4988,7122" coordsize="1125,3472" path="m4988,7122l4988,10594,6113,10594,6113,7122,4988,7122xe" filled="true" fillcolor="#ffffff" stroked="false">
                <v:path arrowok="t"/>
                <v:fill type="solid"/>
              </v:shape>
            </v:group>
            <v:group style="position:absolute;left:5012;top:8662;width:1078;height:393" coordorigin="5012,8662" coordsize="1078,393">
              <v:shape style="position:absolute;left:5012;top:8662;width:1078;height:393" coordorigin="5012,8662" coordsize="1078,393" path="m5012,8662l5012,9054,6090,9054,6090,8662,5012,8662xe" filled="true" fillcolor="#ffffff" stroked="false">
                <v:path arrowok="t"/>
                <v:fill type="solid"/>
              </v:shape>
            </v:group>
            <w10:wrap type="none"/>
          </v:group>
        </w:pict>
      </w:r>
      <w:r>
        <w:rPr/>
        <w:pict>
          <v:group style="position:absolute;margin-left:561.291016pt;margin-top:356.100006pt;width:56.25pt;height:173.6pt;mso-position-horizontal-relative:page;mso-position-vertical-relative:page;z-index:-1167640" coordorigin="11226,7122" coordsize="1125,3472">
            <v:group style="position:absolute;left:11226;top:7122;width:1125;height:3472" coordorigin="11226,7122" coordsize="1125,3472">
              <v:shape style="position:absolute;left:11226;top:7122;width:1125;height:3472" coordorigin="11226,7122" coordsize="1125,3472" path="m11226,7122l11226,10594,12350,10594,12350,7122,11226,7122xe" filled="true" fillcolor="#ffffff" stroked="false">
                <v:path arrowok="t"/>
                <v:fill type="solid"/>
              </v:shape>
            </v:group>
            <v:group style="position:absolute;left:11249;top:8506;width:1078;height:353" coordorigin="11249,8506" coordsize="1078,353">
              <v:shape style="position:absolute;left:11249;top:8506;width:1078;height:353" coordorigin="11249,8506" coordsize="1078,353" path="m11249,8506l11249,8858,12326,8858,12326,8506,11249,8506xe" filled="true" fillcolor="#ffffff" stroked="false">
                <v:path arrowok="t"/>
                <v:fill type="solid"/>
              </v:shape>
            </v:group>
            <v:group style="position:absolute;left:11249;top:8858;width:1078;height:352" coordorigin="11249,8858" coordsize="1078,352">
              <v:shape style="position:absolute;left:11249;top:8858;width:1078;height:352" coordorigin="11249,8858" coordsize="1078,352" path="m11249,8858l11249,9210,12326,9210,12326,8858,11249,8858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2127"/>
        <w:gridCol w:w="1417"/>
        <w:gridCol w:w="1134"/>
        <w:gridCol w:w="5104"/>
        <w:gridCol w:w="1134"/>
        <w:gridCol w:w="1418"/>
        <w:gridCol w:w="1559"/>
      </w:tblGrid>
      <w:tr>
        <w:trPr>
          <w:trHeight w:val="336" w:hRule="exact"/>
        </w:trPr>
        <w:tc>
          <w:tcPr>
            <w:tcW w:w="2127" w:type="dxa"/>
            <w:vMerge w:val="restart"/>
            <w:tcBorders>
              <w:top w:val="single" w:sz="15" w:space="0" w:color="000000"/>
              <w:left w:val="single" w:sz="4" w:space="0" w:color="000000"/>
              <w:right w:val="single" w:sz="4" w:space="0" w:color="000000"/>
            </w:tcBorders>
            <w:shd w:val="clear" w:color="auto" w:fill="D3D3D3"/>
          </w:tcPr>
          <w:p>
            <w:pPr/>
          </w:p>
        </w:tc>
        <w:tc>
          <w:tcPr>
            <w:tcW w:w="1417" w:type="dxa"/>
            <w:vMerge w:val="restart"/>
            <w:tcBorders>
              <w:top w:val="single" w:sz="15" w:space="0" w:color="000000"/>
              <w:left w:val="single" w:sz="4" w:space="0" w:color="000000"/>
              <w:right w:val="single" w:sz="4" w:space="0" w:color="000000"/>
            </w:tcBorders>
          </w:tcPr>
          <w:p>
            <w:pPr/>
          </w:p>
        </w:tc>
        <w:tc>
          <w:tcPr>
            <w:tcW w:w="1134" w:type="dxa"/>
            <w:vMerge w:val="restart"/>
            <w:tcBorders>
              <w:top w:val="single" w:sz="15" w:space="0" w:color="000000"/>
              <w:left w:val="single" w:sz="4" w:space="0" w:color="000000"/>
              <w:right w:val="single" w:sz="4" w:space="0" w:color="000000"/>
            </w:tcBorders>
          </w:tcPr>
          <w:p>
            <w:pPr/>
          </w:p>
        </w:tc>
        <w:tc>
          <w:tcPr>
            <w:tcW w:w="5104"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司将不会发生该等未清偿债务和法律责任。</w:t>
            </w:r>
            <w:r>
              <w:rPr>
                <w:rFonts w:ascii="Times New Roman" w:hAnsi="Times New Roman" w:cs="Times New Roman" w:eastAsia="Times New Roman" w:hint="default"/>
                <w:sz w:val="18"/>
                <w:szCs w:val="18"/>
              </w:rPr>
              <w:t>21</w:t>
            </w:r>
            <w:r>
              <w:rPr>
                <w:rFonts w:ascii="宋体" w:hAnsi="宋体" w:cs="宋体" w:eastAsia="宋体" w:hint="default"/>
                <w:sz w:val="18"/>
                <w:szCs w:val="18"/>
              </w:rPr>
              <w:t>、截至本协议签署</w:t>
            </w:r>
          </w:p>
        </w:tc>
        <w:tc>
          <w:tcPr>
            <w:tcW w:w="1134" w:type="dxa"/>
            <w:vMerge w:val="restart"/>
            <w:tcBorders>
              <w:top w:val="single" w:sz="15" w:space="0" w:color="000000"/>
              <w:left w:val="single" w:sz="4" w:space="0" w:color="000000"/>
              <w:right w:val="single" w:sz="4" w:space="0" w:color="000000"/>
            </w:tcBorders>
          </w:tcPr>
          <w:p>
            <w:pPr/>
          </w:p>
        </w:tc>
        <w:tc>
          <w:tcPr>
            <w:tcW w:w="1418" w:type="dxa"/>
            <w:vMerge w:val="restart"/>
            <w:tcBorders>
              <w:top w:val="single" w:sz="15" w:space="0" w:color="000000"/>
              <w:left w:val="single" w:sz="4" w:space="0" w:color="000000"/>
              <w:right w:val="single" w:sz="4" w:space="0" w:color="000000"/>
            </w:tcBorders>
          </w:tcPr>
          <w:p>
            <w:pPr/>
          </w:p>
        </w:tc>
        <w:tc>
          <w:tcPr>
            <w:tcW w:w="1559" w:type="dxa"/>
            <w:vMerge w:val="restart"/>
            <w:tcBorders>
              <w:top w:val="single" w:sz="15" w:space="0" w:color="000000"/>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日，上海树维及其分公司业务独立于控股股东、实际控制人及其</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控制的其他企业，与控股股东、实际控制人及其控制的其他企业</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间不存在同业竞争，以及严重影响上海树维及其分公司独立性或</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显失公允的关联交易。</w:t>
            </w:r>
            <w:r>
              <w:rPr>
                <w:rFonts w:ascii="Times New Roman" w:hAnsi="Times New Roman" w:cs="Times New Roman" w:eastAsia="Times New Roman" w:hint="default"/>
                <w:sz w:val="18"/>
                <w:szCs w:val="18"/>
              </w:rPr>
              <w:t>22</w:t>
            </w:r>
            <w:r>
              <w:rPr>
                <w:rFonts w:ascii="宋体" w:hAnsi="宋体" w:cs="宋体" w:eastAsia="宋体" w:hint="default"/>
                <w:sz w:val="18"/>
                <w:szCs w:val="18"/>
              </w:rPr>
              <w:t>、自本协议签署日起至交割日，上海树</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维及其分公司的财务、业务、生产和其他经营状况将不会发生实</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质性不利变化。</w:t>
            </w:r>
            <w:r>
              <w:rPr>
                <w:rFonts w:ascii="Times New Roman" w:hAnsi="Times New Roman" w:cs="Times New Roman" w:eastAsia="Times New Roman" w:hint="default"/>
                <w:sz w:val="18"/>
                <w:szCs w:val="18"/>
              </w:rPr>
              <w:t>23</w:t>
            </w:r>
            <w:r>
              <w:rPr>
                <w:rFonts w:ascii="宋体" w:hAnsi="宋体" w:cs="宋体" w:eastAsia="宋体" w:hint="default"/>
                <w:sz w:val="18"/>
                <w:szCs w:val="18"/>
              </w:rPr>
              <w:t>、上海树维及其分公司作为协议一方的任何重</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大协议、合同和法律文件均合法有效并对相关方具有约束力；上</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海树维及其分公司不存在会导致重大不利影响的违约行为，并且</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不存在可能导致任何此类违约的情形。</w:t>
            </w:r>
            <w:r>
              <w:rPr>
                <w:rFonts w:ascii="Times New Roman" w:hAnsi="Times New Roman" w:cs="Times New Roman" w:eastAsia="Times New Roman" w:hint="default"/>
                <w:sz w:val="18"/>
                <w:szCs w:val="18"/>
              </w:rPr>
              <w:t>24</w:t>
            </w:r>
            <w:r>
              <w:rPr>
                <w:rFonts w:ascii="宋体" w:hAnsi="宋体" w:cs="宋体" w:eastAsia="宋体" w:hint="default"/>
                <w:sz w:val="18"/>
                <w:szCs w:val="18"/>
              </w:rPr>
              <w:t>、上海树维及其分公司</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之董事、监事、高级管理人员不存在任何违反法律、法规或规范</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性文件的行为，不存在任何影响上海树维及其分公司正常运营以</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及本协议项下交易的重大索赔、诉讼、仲裁、司法调查程序、行</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政调查或处罚。</w:t>
            </w:r>
            <w:r>
              <w:rPr>
                <w:rFonts w:ascii="Times New Roman" w:hAnsi="Times New Roman" w:cs="Times New Roman" w:eastAsia="Times New Roman" w:hint="default"/>
                <w:sz w:val="18"/>
                <w:szCs w:val="18"/>
              </w:rPr>
              <w:t>25</w:t>
            </w:r>
            <w:r>
              <w:rPr>
                <w:rFonts w:ascii="宋体" w:hAnsi="宋体" w:cs="宋体" w:eastAsia="宋体" w:hint="default"/>
                <w:sz w:val="18"/>
                <w:szCs w:val="18"/>
              </w:rPr>
              <w:t>、交易对方承诺并促使上海树维及其分公司自</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本协议签署之日起将不会从事任何对上海树维及其分公司的正常</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生产经营或本次交易具有实质性不利影响的行为。</w:t>
            </w:r>
            <w:r>
              <w:rPr>
                <w:rFonts w:ascii="Times New Roman" w:hAnsi="Times New Roman" w:cs="Times New Roman" w:eastAsia="Times New Roman" w:hint="default"/>
                <w:sz w:val="18"/>
                <w:szCs w:val="18"/>
              </w:rPr>
              <w:t>26</w:t>
            </w:r>
            <w:r>
              <w:rPr>
                <w:rFonts w:ascii="宋体" w:hAnsi="宋体" w:cs="宋体" w:eastAsia="宋体" w:hint="default"/>
                <w:sz w:val="18"/>
                <w:szCs w:val="18"/>
              </w:rPr>
              <w:t>、上海树维</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及其分公司不存在任何未向新开普披露的或有负债，且上海树维</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3"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及其分公司没有为任何实体和自然人作出任何形式的担保或保证</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5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51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（日常交易中的保证除外</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34"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r>
      <w:tr>
        <w:trPr>
          <w:trHeight w:val="362" w:hRule="exact"/>
        </w:trPr>
        <w:tc>
          <w:tcPr>
            <w:tcW w:w="2127" w:type="dxa"/>
            <w:vMerge/>
            <w:tcBorders>
              <w:left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51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3"/>
                <w:sz w:val="18"/>
                <w:szCs w:val="18"/>
              </w:rPr>
              <w:t>本次交易的交易对方承诺：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、本协议约定的内容并不违反上海树</w:t>
            </w:r>
          </w:p>
        </w:tc>
        <w:tc>
          <w:tcPr>
            <w:tcW w:w="1134"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r>
      <w:tr>
        <w:trPr>
          <w:trHeight w:val="297"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维及其分公司的章程或其他形式的文件或应适用于上海树维及其</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现金购买资产的</w:t>
            </w: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分公司及其股东的法律、法规和政府机关的行政命令，或其他任</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1561"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3" w:right="20"/>
              <w:jc w:val="left"/>
              <w:rPr>
                <w:rFonts w:ascii="宋体" w:hAnsi="宋体" w:cs="宋体" w:eastAsia="宋体" w:hint="default"/>
                <w:sz w:val="18"/>
                <w:szCs w:val="18"/>
              </w:rPr>
            </w:pPr>
            <w:r>
              <w:rPr>
                <w:rFonts w:ascii="宋体" w:hAnsi="宋体" w:cs="宋体" w:eastAsia="宋体" w:hint="default"/>
                <w:spacing w:val="-10"/>
                <w:sz w:val="18"/>
                <w:szCs w:val="18"/>
              </w:rPr>
              <w:t>交易对方何伟、乔</w:t>
            </w:r>
            <w:r>
              <w:rPr>
                <w:rFonts w:ascii="宋体" w:hAnsi="宋体" w:cs="宋体" w:eastAsia="宋体" w:hint="default"/>
                <w:sz w:val="18"/>
                <w:szCs w:val="18"/>
              </w:rPr>
              <w:t> </w:t>
            </w:r>
            <w:r>
              <w:rPr>
                <w:rFonts w:ascii="宋体" w:hAnsi="宋体" w:cs="宋体" w:eastAsia="宋体" w:hint="default"/>
                <w:spacing w:val="-10"/>
                <w:sz w:val="18"/>
                <w:szCs w:val="18"/>
              </w:rPr>
              <w:t>志刚、杨宏生、周</w:t>
            </w:r>
            <w:r>
              <w:rPr>
                <w:rFonts w:ascii="宋体" w:hAnsi="宋体" w:cs="宋体" w:eastAsia="宋体" w:hint="default"/>
                <w:sz w:val="18"/>
                <w:szCs w:val="18"/>
              </w:rPr>
              <w:t> </w:t>
            </w:r>
            <w:r>
              <w:rPr>
                <w:rFonts w:ascii="宋体" w:hAnsi="宋体" w:cs="宋体" w:eastAsia="宋体" w:hint="default"/>
                <w:spacing w:val="-22"/>
                <w:sz w:val="18"/>
                <w:szCs w:val="18"/>
              </w:rPr>
              <w:t>华、王建成、吴琼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上海君略投资管</w:t>
            </w:r>
            <w:r>
              <w:rPr>
                <w:rFonts w:ascii="宋体" w:hAnsi="宋体" w:cs="宋体" w:eastAsia="宋体" w:hint="default"/>
                <w:sz w:val="18"/>
                <w:szCs w:val="18"/>
              </w:rPr>
              <w:t> </w:t>
            </w:r>
            <w:r>
              <w:rPr>
                <w:rFonts w:ascii="宋体" w:hAnsi="宋体" w:cs="宋体" w:eastAsia="宋体" w:hint="default"/>
                <w:spacing w:val="-10"/>
                <w:sz w:val="18"/>
                <w:szCs w:val="18"/>
              </w:rPr>
              <w:t>理合伙企业（有限</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314" w:lineRule="auto" w:before="20"/>
              <w:ind w:left="23" w:right="29"/>
              <w:jc w:val="left"/>
              <w:rPr>
                <w:rFonts w:ascii="宋体" w:hAnsi="宋体" w:cs="宋体" w:eastAsia="宋体" w:hint="default"/>
                <w:sz w:val="18"/>
                <w:szCs w:val="18"/>
              </w:rPr>
            </w:pPr>
            <w:r>
              <w:rPr>
                <w:rFonts w:ascii="宋体" w:hAnsi="宋体" w:cs="宋体" w:eastAsia="宋体" w:hint="default"/>
                <w:sz w:val="18"/>
                <w:szCs w:val="18"/>
              </w:rPr>
              <w:t>何上海树维及其分公司及其股东为其中一方订立的合同或法律文 件。本协议约定的内容并不会解除任何第三方的义务或者授予其 </w:t>
            </w:r>
            <w:r>
              <w:rPr>
                <w:rFonts w:ascii="宋体" w:hAnsi="宋体" w:cs="宋体" w:eastAsia="宋体" w:hint="default"/>
                <w:spacing w:val="-6"/>
                <w:sz w:val="18"/>
                <w:szCs w:val="18"/>
              </w:rPr>
              <w:t>行使任何权利（包括任何终止权、优先取得权或其他选择权）。</w:t>
            </w:r>
            <w:r>
              <w:rPr>
                <w:rFonts w:ascii="Times New Roman" w:hAnsi="Times New Roman" w:cs="Times New Roman" w:eastAsia="Times New Roman" w:hint="default"/>
                <w:spacing w:val="-6"/>
                <w:sz w:val="18"/>
                <w:szCs w:val="18"/>
              </w:rPr>
              <w:t>2</w:t>
            </w:r>
            <w:r>
              <w:rPr>
                <w:rFonts w:ascii="Times New Roman" w:hAnsi="Times New Roman" w:cs="Times New Roman" w:eastAsia="Times New Roman" w:hint="default"/>
                <w:sz w:val="18"/>
                <w:szCs w:val="18"/>
              </w:rPr>
              <w:t> </w:t>
            </w:r>
            <w:r>
              <w:rPr>
                <w:rFonts w:ascii="宋体" w:hAnsi="宋体" w:cs="宋体" w:eastAsia="宋体" w:hint="default"/>
                <w:sz w:val="18"/>
                <w:szCs w:val="18"/>
              </w:rPr>
              <w:t>交易对方及上海树维及其分公司未从事或达成任何可能严重影响 到依本协议项下条款和条件所达成预期交易之合同、协议、文件</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02" w:lineRule="auto"/>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 </w:t>
            </w:r>
            <w:r>
              <w:rPr>
                <w:rFonts w:ascii="宋体" w:hAnsi="宋体" w:cs="宋体" w:eastAsia="宋体" w:hint="default"/>
                <w:sz w:val="18"/>
                <w:szCs w:val="18"/>
              </w:rPr>
              <w:t>长期有效</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319" w:lineRule="auto" w:before="157"/>
              <w:ind w:left="22" w:right="84"/>
              <w:jc w:val="both"/>
              <w:rPr>
                <w:rFonts w:ascii="宋体" w:hAnsi="宋体" w:cs="宋体" w:eastAsia="宋体" w:hint="default"/>
                <w:sz w:val="18"/>
                <w:szCs w:val="18"/>
              </w:rPr>
            </w:pPr>
            <w:r>
              <w:rPr>
                <w:rFonts w:ascii="宋体" w:hAnsi="宋体" w:cs="宋体" w:eastAsia="宋体" w:hint="default"/>
                <w:sz w:val="18"/>
                <w:szCs w:val="18"/>
              </w:rPr>
              <w:t>截至报告期末，上 述承诺人严格信守 承诺，未发生违反 承诺的情况。</w:t>
            </w:r>
          </w:p>
        </w:tc>
      </w:tr>
      <w:tr>
        <w:trPr>
          <w:trHeight w:val="321"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或安排；如存在前述合同、协议、文件或安排，交易对方承诺并</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保证相关合同、协议、文件或安排已经被依法终止、解除或已经</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127" w:type="dxa"/>
            <w:vMerge/>
            <w:tcBorders>
              <w:left w:val="single" w:sz="4" w:space="0" w:color="000000"/>
              <w:bottom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1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采取其他有效措施以避免前述合同、协议、文件或安排影响本协</w:t>
            </w:r>
          </w:p>
        </w:tc>
        <w:tc>
          <w:tcPr>
            <w:tcW w:w="1134"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20" w:right="1340"/>
        </w:sectPr>
      </w:pPr>
    </w:p>
    <w:p>
      <w:pPr>
        <w:spacing w:line="240" w:lineRule="auto" w:before="4"/>
        <w:rPr>
          <w:rFonts w:ascii="Times New Roman" w:hAnsi="Times New Roman" w:cs="Times New Roman" w:eastAsia="Times New Roman" w:hint="default"/>
          <w:sz w:val="3"/>
          <w:szCs w:val="3"/>
        </w:rPr>
      </w:pPr>
      <w:r>
        <w:rPr/>
        <w:pict>
          <v:shape style="position:absolute;margin-left:501.171417pt;margin-top:57.18pt;width:116.35pt;height:298.45pt;mso-position-horizontal-relative:page;mso-position-vertical-relative:page;z-index:-11675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27"/>
                    <w:ind w:left="0" w:right="0" w:firstLine="0"/>
                    <w:jc w:val="left"/>
                    <w:rPr>
                      <w:rFonts w:ascii="宋体" w:hAnsi="宋体" w:cs="宋体" w:eastAsia="宋体" w:hint="default"/>
                      <w:sz w:val="18"/>
                      <w:szCs w:val="18"/>
                    </w:rPr>
                  </w:pPr>
                  <w:r>
                    <w:rPr>
                      <w:rFonts w:ascii="宋体" w:hAnsi="宋体" w:cs="宋体" w:eastAsia="宋体" w:hint="default"/>
                      <w:sz w:val="18"/>
                      <w:szCs w:val="18"/>
                    </w:rPr>
                    <w:t>完整和可靠的。</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2127"/>
        <w:gridCol w:w="1417"/>
        <w:gridCol w:w="1134"/>
        <w:gridCol w:w="5104"/>
        <w:gridCol w:w="1134"/>
        <w:gridCol w:w="1418"/>
        <w:gridCol w:w="1559"/>
      </w:tblGrid>
      <w:tr>
        <w:trPr>
          <w:trHeight w:val="336" w:hRule="exact"/>
        </w:trPr>
        <w:tc>
          <w:tcPr>
            <w:tcW w:w="2127" w:type="dxa"/>
            <w:vMerge w:val="restart"/>
            <w:tcBorders>
              <w:top w:val="single" w:sz="15" w:space="0" w:color="000000"/>
              <w:left w:val="single" w:sz="4" w:space="0" w:color="000000"/>
              <w:right w:val="single" w:sz="4" w:space="0" w:color="000000"/>
            </w:tcBorders>
            <w:shd w:val="clear" w:color="auto" w:fill="D3D3D3"/>
          </w:tcPr>
          <w:p>
            <w:pPr/>
          </w:p>
        </w:tc>
        <w:tc>
          <w:tcPr>
            <w:tcW w:w="1417" w:type="dxa"/>
            <w:vMerge w:val="restart"/>
            <w:tcBorders>
              <w:top w:val="single" w:sz="15" w:space="0" w:color="000000"/>
              <w:left w:val="single" w:sz="4" w:space="0" w:color="000000"/>
              <w:right w:val="single" w:sz="4" w:space="0" w:color="000000"/>
            </w:tcBorders>
          </w:tcPr>
          <w:p>
            <w:pPr/>
          </w:p>
        </w:tc>
        <w:tc>
          <w:tcPr>
            <w:tcW w:w="1134" w:type="dxa"/>
            <w:vMerge w:val="restart"/>
            <w:tcBorders>
              <w:top w:val="single" w:sz="15" w:space="0" w:color="000000"/>
              <w:left w:val="single" w:sz="4" w:space="0" w:color="000000"/>
              <w:right w:val="single" w:sz="4" w:space="0" w:color="000000"/>
            </w:tcBorders>
          </w:tcPr>
          <w:p>
            <w:pPr/>
          </w:p>
        </w:tc>
        <w:tc>
          <w:tcPr>
            <w:tcW w:w="5104"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议项下条款和条件的达成。</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、交易对方及上海树维及其分公司向</w:t>
            </w:r>
          </w:p>
        </w:tc>
        <w:tc>
          <w:tcPr>
            <w:tcW w:w="1134" w:type="dxa"/>
            <w:vMerge w:val="restart"/>
            <w:tcBorders>
              <w:top w:val="single" w:sz="15" w:space="0" w:color="000000"/>
              <w:left w:val="single" w:sz="4" w:space="0" w:color="000000"/>
              <w:right w:val="single" w:sz="4" w:space="0" w:color="000000"/>
            </w:tcBorders>
          </w:tcPr>
          <w:p>
            <w:pPr>
              <w:pStyle w:val="TableParagraph"/>
              <w:spacing w:line="59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8"/>
                <w:sz w:val="20"/>
                <w:szCs w:val="20"/>
              </w:rPr>
              <w:pict>
                <v:group style="width:56.25pt;height:298.45pt;mso-position-horizontal-relative:char;mso-position-vertical-relative:line" coordorigin="0,0" coordsize="1125,5969">
                  <v:group style="position:absolute;left:0;top:0;width:1125;height:5969" coordorigin="0,0" coordsize="1125,5969">
                    <v:shape style="position:absolute;left:0;top:0;width:1125;height:5969" coordorigin="0,0" coordsize="1125,5969" path="m0,0l0,5969,1124,5969,1124,0,0,0xe" filled="true" fillcolor="#ffffff" stroked="false">
                      <v:path arrowok="t"/>
                      <v:fill type="solid"/>
                    </v:shape>
                  </v:group>
                </v:group>
              </w:pict>
            </w:r>
            <w:r>
              <w:rPr>
                <w:rFonts w:ascii="Times New Roman" w:hAnsi="Times New Roman" w:cs="Times New Roman" w:eastAsia="Times New Roman" w:hint="default"/>
                <w:position w:val="-118"/>
                <w:sz w:val="20"/>
                <w:szCs w:val="20"/>
              </w:rPr>
            </w:r>
          </w:p>
        </w:tc>
        <w:tc>
          <w:tcPr>
            <w:tcW w:w="1418" w:type="dxa"/>
            <w:vMerge w:val="restart"/>
            <w:tcBorders>
              <w:top w:val="single" w:sz="15" w:space="0" w:color="000000"/>
              <w:left w:val="single" w:sz="4" w:space="0" w:color="000000"/>
              <w:right w:val="single" w:sz="4" w:space="0" w:color="000000"/>
            </w:tcBorders>
          </w:tcPr>
          <w:p>
            <w:pPr/>
          </w:p>
        </w:tc>
        <w:tc>
          <w:tcPr>
            <w:tcW w:w="1559" w:type="dxa"/>
            <w:vMerge w:val="restart"/>
            <w:tcBorders>
              <w:top w:val="single" w:sz="15" w:space="0" w:color="000000"/>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新开普及其聘请的中介机构提供的与本协议所述交易有关的所有</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文件、资料和信息是真实、准确、完整和有效的，不存在任何重</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大遗漏或误导，并已经向新开普披露了新开普于交割日后正常行</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使标的资产所有权所需的关于标的资产及上海树维及其分公司的</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信息，并未保留任何一经披露便会影响本协议签署、履行或新开</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普决策的信息；所有提交文件的复印件与其原件均是一致的；所</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有文件均由相关当事方合法授权、签署和递交且文件上的签字、</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印章均是真实的；交易对方及上海树维及其分公司对新开普做出</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的有关事实的阐述、声明、保证均为真实、准确、</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pacing w:val="-83"/>
                <w:sz w:val="18"/>
                <w:szCs w:val="18"/>
              </w:rPr>
              <w:t>、</w:t>
            </w:r>
            <w:r>
              <w:rPr>
                <w:rFonts w:ascii="宋体" w:hAnsi="宋体" w:cs="宋体" w:eastAsia="宋体" w:hint="default"/>
                <w:sz w:val="18"/>
                <w:szCs w:val="18"/>
              </w:rPr>
              <w:t>交易对方保证将切实履行本协议约定的其在过渡期内的各项义</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务和责任，并承担应当由其承担的相关税项和费用；</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、交易对方</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保证承担并促使上海树维及其分公司承担本协议约定的相关义务</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和责任，并在新开普提出与本协议所述交易事项有关的其他合理</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要求时给予必要的协助。</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、交易对方保证不存在假借订立本协议</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进行恶意磋商或其他违背诚实信用原则的情形。</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、截至本协议签</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署日，除已向各方披露的情形外，交易对方均不存在针对其自身</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3"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任何可能影响其签署或履行本协议及本协议项下交易能力的诉</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5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51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讼、仲裁或行政处罚。</w:t>
            </w:r>
          </w:p>
        </w:tc>
        <w:tc>
          <w:tcPr>
            <w:tcW w:w="1134"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r>
      <w:tr>
        <w:trPr>
          <w:trHeight w:val="362" w:hRule="exact"/>
        </w:trPr>
        <w:tc>
          <w:tcPr>
            <w:tcW w:w="2127" w:type="dxa"/>
            <w:vMerge/>
            <w:tcBorders>
              <w:left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51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、为保证上海树维持续发展和持续竞争优势，本人承诺，自本承</w:t>
            </w:r>
          </w:p>
        </w:tc>
        <w:tc>
          <w:tcPr>
            <w:tcW w:w="1134"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诺函签署之日起至本次交易完成期间在上海树维或其下属公司任</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职，自本次交易完成之日起至少在上海树维或其下属公司任职</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48</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1555"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3" w:right="20"/>
              <w:jc w:val="left"/>
              <w:rPr>
                <w:rFonts w:ascii="宋体" w:hAnsi="宋体" w:cs="宋体" w:eastAsia="宋体" w:hint="default"/>
                <w:sz w:val="18"/>
                <w:szCs w:val="18"/>
              </w:rPr>
            </w:pPr>
            <w:r>
              <w:rPr>
                <w:rFonts w:ascii="宋体" w:hAnsi="宋体" w:cs="宋体" w:eastAsia="宋体" w:hint="default"/>
                <w:sz w:val="18"/>
                <w:szCs w:val="18"/>
              </w:rPr>
              <w:t>现金购买资产的 </w:t>
            </w:r>
            <w:r>
              <w:rPr>
                <w:rFonts w:ascii="宋体" w:hAnsi="宋体" w:cs="宋体" w:eastAsia="宋体" w:hint="default"/>
                <w:spacing w:val="-10"/>
                <w:sz w:val="18"/>
                <w:szCs w:val="18"/>
              </w:rPr>
              <w:t>交易对方何伟、杨</w:t>
            </w:r>
            <w:r>
              <w:rPr>
                <w:rFonts w:ascii="宋体" w:hAnsi="宋体" w:cs="宋体" w:eastAsia="宋体" w:hint="default"/>
                <w:sz w:val="18"/>
                <w:szCs w:val="18"/>
              </w:rPr>
              <w:t> 宏生、王建成</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319" w:lineRule="auto" w:before="142"/>
              <w:ind w:left="23" w:right="20"/>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21"/>
              <w:jc w:val="both"/>
              <w:rPr>
                <w:rFonts w:ascii="宋体" w:hAnsi="宋体" w:cs="宋体" w:eastAsia="宋体" w:hint="default"/>
                <w:sz w:val="18"/>
                <w:szCs w:val="18"/>
              </w:rPr>
            </w:pPr>
            <w:r>
              <w:rPr>
                <w:rFonts w:ascii="宋体" w:hAnsi="宋体" w:cs="宋体" w:eastAsia="宋体" w:hint="default"/>
                <w:sz w:val="18"/>
                <w:szCs w:val="18"/>
              </w:rPr>
              <w:t>个月，且在上海树维或其下属公司任职期限内未经新开普同意， 不得在新开普及其关联公司、上海树维及其下属公司以外的单位 </w:t>
            </w:r>
            <w:r>
              <w:rPr>
                <w:rFonts w:ascii="宋体" w:hAnsi="宋体" w:cs="宋体" w:eastAsia="宋体" w:hint="default"/>
                <w:spacing w:val="-6"/>
                <w:sz w:val="18"/>
                <w:szCs w:val="18"/>
              </w:rPr>
              <w:t>任职或担任任何形式的顾问（不包括担任董事职务），或从事与新</w:t>
            </w:r>
            <w:r>
              <w:rPr>
                <w:rFonts w:ascii="宋体" w:hAnsi="宋体" w:cs="宋体" w:eastAsia="宋体" w:hint="default"/>
                <w:sz w:val="18"/>
                <w:szCs w:val="18"/>
              </w:rPr>
              <w:t> 开普及其关联公司、上海树维及其下属公司相同或类似的业务或 通过直接或间接控制的其他经营主体从事该等业务，不得在其他</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02" w:lineRule="auto"/>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 </w:t>
            </w:r>
            <w:r>
              <w:rPr>
                <w:rFonts w:ascii="宋体" w:hAnsi="宋体" w:cs="宋体" w:eastAsia="宋体" w:hint="default"/>
                <w:sz w:val="18"/>
                <w:szCs w:val="18"/>
              </w:rPr>
              <w:t>长期有效</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319" w:lineRule="auto" w:before="142"/>
              <w:ind w:left="22" w:right="84"/>
              <w:jc w:val="both"/>
              <w:rPr>
                <w:rFonts w:ascii="宋体" w:hAnsi="宋体" w:cs="宋体" w:eastAsia="宋体" w:hint="default"/>
                <w:sz w:val="18"/>
                <w:szCs w:val="18"/>
              </w:rPr>
            </w:pPr>
            <w:r>
              <w:rPr>
                <w:rFonts w:ascii="宋体" w:hAnsi="宋体" w:cs="宋体" w:eastAsia="宋体" w:hint="default"/>
                <w:sz w:val="18"/>
                <w:szCs w:val="18"/>
              </w:rPr>
              <w:t>截至报告期末，上 述承诺人严格信守 承诺，未发生违反 承诺的情况。</w:t>
            </w: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与新开普及其关联公司、上海树维及其下属公司有竞争关系的公</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司任职或担任任何形式的顾</w:t>
            </w:r>
            <w:r>
              <w:rPr>
                <w:rFonts w:ascii="宋体" w:hAnsi="宋体" w:cs="宋体" w:eastAsia="宋体" w:hint="default"/>
                <w:spacing w:val="-42"/>
                <w:sz w:val="18"/>
                <w:szCs w:val="18"/>
              </w:rPr>
              <w:t>问</w:t>
            </w:r>
            <w:r>
              <w:rPr>
                <w:rFonts w:ascii="宋体" w:hAnsi="宋体" w:cs="宋体" w:eastAsia="宋体" w:hint="default"/>
                <w:sz w:val="18"/>
                <w:szCs w:val="18"/>
              </w:rPr>
              <w:t>（不包括担任董事职务</w:t>
            </w:r>
            <w:r>
              <w:rPr>
                <w:rFonts w:ascii="宋体" w:hAnsi="宋体" w:cs="宋体" w:eastAsia="宋体" w:hint="default"/>
                <w:spacing w:val="-90"/>
                <w:sz w:val="18"/>
                <w:szCs w:val="18"/>
              </w:rPr>
              <w:t>）</w:t>
            </w:r>
            <w:r>
              <w:rPr>
                <w:rFonts w:ascii="宋体" w:hAnsi="宋体" w:cs="宋体" w:eastAsia="宋体" w:hint="default"/>
                <w:spacing w:val="-42"/>
                <w:sz w:val="18"/>
                <w:szCs w:val="18"/>
              </w:rPr>
              <w:t>，</w:t>
            </w:r>
            <w:r>
              <w:rPr>
                <w:rFonts w:ascii="宋体" w:hAnsi="宋体" w:cs="宋体" w:eastAsia="宋体" w:hint="default"/>
                <w:sz w:val="18"/>
                <w:szCs w:val="18"/>
              </w:rPr>
              <w:t>违反前述</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127" w:type="dxa"/>
            <w:vMerge/>
            <w:tcBorders>
              <w:left w:val="single" w:sz="4" w:space="0" w:color="000000"/>
              <w:bottom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1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承诺将承担因此给新开普和上海树维造成的一切损失，但是，本</w:t>
            </w:r>
          </w:p>
        </w:tc>
        <w:tc>
          <w:tcPr>
            <w:tcW w:w="1134"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20" w:right="1340"/>
        </w:sectPr>
      </w:pPr>
    </w:p>
    <w:p>
      <w:pPr>
        <w:spacing w:line="240" w:lineRule="auto" w:before="4"/>
        <w:rPr>
          <w:rFonts w:ascii="Times New Roman" w:hAnsi="Times New Roman" w:cs="Times New Roman" w:eastAsia="Times New Roman" w:hint="default"/>
          <w:sz w:val="3"/>
          <w:szCs w:val="3"/>
        </w:rPr>
      </w:pPr>
      <w:r>
        <w:rPr/>
        <w:pict>
          <v:shape style="position:absolute;margin-left:384.170502pt;margin-top:57.18pt;width:233.35pt;height:468pt;mso-position-horizontal-relative:page;mso-position-vertical-relative:page;z-index:-11675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21"/>
                    <w:ind w:left="540" w:right="0" w:firstLine="0"/>
                    <w:jc w:val="left"/>
                    <w:rPr>
                      <w:rFonts w:ascii="宋体" w:hAnsi="宋体" w:cs="宋体" w:eastAsia="宋体" w:hint="default"/>
                      <w:sz w:val="18"/>
                      <w:szCs w:val="18"/>
                    </w:rPr>
                  </w:pPr>
                  <w:r>
                    <w:rPr>
                      <w:rFonts w:ascii="宋体" w:hAnsi="宋体" w:cs="宋体" w:eastAsia="宋体" w:hint="default"/>
                      <w:sz w:val="18"/>
                      <w:szCs w:val="18"/>
                    </w:rPr>
                    <w:t>不在主营业务同新开普及其关联公司、</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6"/>
                      <w:szCs w:val="16"/>
                    </w:rPr>
                  </w:pPr>
                </w:p>
                <w:p>
                  <w:pPr>
                    <w:spacing w:before="0"/>
                    <w:ind w:left="0" w:right="0" w:firstLine="342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或因新开普或上海树维调动本人的工作城市、</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2127"/>
        <w:gridCol w:w="1417"/>
        <w:gridCol w:w="1134"/>
        <w:gridCol w:w="5104"/>
        <w:gridCol w:w="1134"/>
        <w:gridCol w:w="1418"/>
        <w:gridCol w:w="1559"/>
      </w:tblGrid>
      <w:tr>
        <w:trPr>
          <w:trHeight w:val="331" w:hRule="exact"/>
        </w:trPr>
        <w:tc>
          <w:tcPr>
            <w:tcW w:w="2127" w:type="dxa"/>
            <w:vMerge w:val="restart"/>
            <w:tcBorders>
              <w:top w:val="single" w:sz="15" w:space="0" w:color="000000"/>
              <w:left w:val="single" w:sz="4" w:space="0" w:color="000000"/>
              <w:right w:val="single" w:sz="4" w:space="0" w:color="000000"/>
            </w:tcBorders>
            <w:shd w:val="clear" w:color="auto" w:fill="D3D3D3"/>
          </w:tcPr>
          <w:p>
            <w:pPr/>
          </w:p>
        </w:tc>
        <w:tc>
          <w:tcPr>
            <w:tcW w:w="1417" w:type="dxa"/>
            <w:vMerge w:val="restart"/>
            <w:tcBorders>
              <w:top w:val="single" w:sz="15" w:space="0" w:color="000000"/>
              <w:left w:val="single" w:sz="4" w:space="0" w:color="000000"/>
              <w:right w:val="single" w:sz="4" w:space="0" w:color="000000"/>
            </w:tcBorders>
          </w:tcPr>
          <w:p>
            <w:pPr/>
          </w:p>
        </w:tc>
        <w:tc>
          <w:tcPr>
            <w:tcW w:w="1134" w:type="dxa"/>
            <w:vMerge w:val="restart"/>
            <w:tcBorders>
              <w:top w:val="single" w:sz="15" w:space="0" w:color="000000"/>
              <w:left w:val="single" w:sz="4" w:space="0" w:color="000000"/>
              <w:right w:val="single" w:sz="4" w:space="0" w:color="000000"/>
            </w:tcBorders>
          </w:tcPr>
          <w:p>
            <w:pPr/>
          </w:p>
        </w:tc>
        <w:tc>
          <w:tcPr>
            <w:tcW w:w="5104"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人有权对与新开普无竞争关系的相关公司进行投资，且不构成对</w:t>
            </w:r>
          </w:p>
        </w:tc>
        <w:tc>
          <w:tcPr>
            <w:tcW w:w="1134" w:type="dxa"/>
            <w:vMerge w:val="restart"/>
            <w:tcBorders>
              <w:top w:val="single" w:sz="15" w:space="0" w:color="000000"/>
              <w:left w:val="single" w:sz="4" w:space="0" w:color="000000"/>
              <w:right w:val="single" w:sz="4" w:space="0" w:color="000000"/>
            </w:tcBorders>
          </w:tcPr>
          <w:p>
            <w:pPr>
              <w:pStyle w:val="TableParagraph"/>
              <w:spacing w:line="936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6"/>
                <w:sz w:val="20"/>
                <w:szCs w:val="20"/>
              </w:rPr>
              <w:pict>
                <v:group style="width:56.25pt;height:468pt;mso-position-horizontal-relative:char;mso-position-vertical-relative:line" coordorigin="0,0" coordsize="1125,9360">
                  <v:group style="position:absolute;left:0;top:0;width:1125;height:9360" coordorigin="0,0" coordsize="1125,9360">
                    <v:shape style="position:absolute;left:0;top:0;width:1125;height:9360" coordorigin="0,0" coordsize="1125,9360" path="m0,0l0,9360,1124,9360,1124,0,0,0xe" filled="true" fillcolor="#ffffff" stroked="false">
                      <v:path arrowok="t"/>
                      <v:fill type="solid"/>
                    </v:shape>
                  </v:group>
                </v:group>
              </w:pict>
            </w:r>
            <w:r>
              <w:rPr>
                <w:rFonts w:ascii="Times New Roman" w:hAnsi="Times New Roman" w:cs="Times New Roman" w:eastAsia="Times New Roman" w:hint="default"/>
                <w:position w:val="-186"/>
                <w:sz w:val="20"/>
                <w:szCs w:val="20"/>
              </w:rPr>
            </w:r>
          </w:p>
        </w:tc>
        <w:tc>
          <w:tcPr>
            <w:tcW w:w="1418" w:type="dxa"/>
            <w:vMerge w:val="restart"/>
            <w:tcBorders>
              <w:top w:val="single" w:sz="15" w:space="0" w:color="000000"/>
              <w:left w:val="single" w:sz="4" w:space="0" w:color="000000"/>
              <w:right w:val="single" w:sz="4" w:space="0" w:color="000000"/>
            </w:tcBorders>
          </w:tcPr>
          <w:p>
            <w:pPr/>
          </w:p>
        </w:tc>
        <w:tc>
          <w:tcPr>
            <w:tcW w:w="1559" w:type="dxa"/>
            <w:vMerge w:val="restart"/>
            <w:tcBorders>
              <w:top w:val="single" w:sz="15" w:space="0" w:color="000000"/>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本承诺的违反。</w:t>
            </w:r>
            <w:r>
              <w:rPr>
                <w:rFonts w:ascii="Times New Roman" w:hAnsi="Times New Roman" w:cs="Times New Roman" w:eastAsia="Times New Roman" w:hint="default"/>
                <w:sz w:val="18"/>
                <w:szCs w:val="18"/>
              </w:rPr>
              <w:t>2</w:t>
            </w:r>
            <w:r>
              <w:rPr>
                <w:rFonts w:ascii="宋体" w:hAnsi="宋体" w:cs="宋体" w:eastAsia="宋体" w:hint="default"/>
                <w:sz w:val="18"/>
                <w:szCs w:val="18"/>
              </w:rPr>
              <w:t>、本人承诺，自上海树维或其子公司离职后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个月内不得在新开普及其关联公司以及、上海树维及其下属公司</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以外，从事主营业务与新开普及其关联公司、上海树维及其下属</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公司于离职时相同或类似的经营业务或通过直接或间接控制的其</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他经营主体从事该等业务；</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上海树维及其下属公司于离职时存在相同或类似的经营业务的单</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位任职或者担任任何形式的顾</w:t>
            </w:r>
            <w:r>
              <w:rPr>
                <w:rFonts w:ascii="宋体" w:hAnsi="宋体" w:cs="宋体" w:eastAsia="宋体" w:hint="default"/>
                <w:spacing w:val="-42"/>
                <w:sz w:val="18"/>
                <w:szCs w:val="18"/>
              </w:rPr>
              <w:t>问</w:t>
            </w:r>
            <w:r>
              <w:rPr>
                <w:rFonts w:ascii="宋体" w:hAnsi="宋体" w:cs="宋体" w:eastAsia="宋体" w:hint="default"/>
                <w:sz w:val="18"/>
                <w:szCs w:val="18"/>
              </w:rPr>
              <w:t>（不包括担任董事职务</w:t>
            </w:r>
            <w:r>
              <w:rPr>
                <w:rFonts w:ascii="宋体" w:hAnsi="宋体" w:cs="宋体" w:eastAsia="宋体" w:hint="default"/>
                <w:spacing w:val="-90"/>
                <w:sz w:val="18"/>
                <w:szCs w:val="18"/>
              </w:rPr>
              <w:t>）</w:t>
            </w:r>
            <w:r>
              <w:rPr>
                <w:rFonts w:ascii="宋体" w:hAnsi="宋体" w:cs="宋体" w:eastAsia="宋体" w:hint="default"/>
                <w:spacing w:val="-42"/>
                <w:sz w:val="18"/>
                <w:szCs w:val="18"/>
              </w:rPr>
              <w:t>；</w:t>
            </w:r>
            <w:r>
              <w:rPr>
                <w:rFonts w:ascii="宋体" w:hAnsi="宋体" w:cs="宋体" w:eastAsia="宋体" w:hint="default"/>
                <w:sz w:val="18"/>
                <w:szCs w:val="18"/>
              </w:rPr>
              <w:t>不以上</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海树维及其下属公司以外的名义为上海树维及其下属公司现有及</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潜在客户提供与于离职时上海树维及其下属公司所从事的相同或</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类似的经营业务，违反前述承诺将承担因此给新开普和上海树维</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造成的一切损失。</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、本人承诺，严格遵守劳动合同的约定，尽责</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为上海树维提供相应的服务，并严格遵守新开普及上海树维的相</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关规章制度</w:t>
            </w:r>
            <w:r>
              <w:rPr>
                <w:rFonts w:ascii="宋体" w:hAnsi="宋体" w:cs="宋体" w:eastAsia="宋体" w:hint="default"/>
                <w:spacing w:val="-44"/>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44"/>
                <w:sz w:val="18"/>
                <w:szCs w:val="18"/>
              </w:rPr>
              <w:t>、</w:t>
            </w:r>
            <w:r>
              <w:rPr>
                <w:rFonts w:ascii="宋体" w:hAnsi="宋体" w:cs="宋体" w:eastAsia="宋体" w:hint="default"/>
                <w:sz w:val="18"/>
                <w:szCs w:val="18"/>
              </w:rPr>
              <w:t>存在以下情形的</w:t>
            </w:r>
            <w:r>
              <w:rPr>
                <w:rFonts w:ascii="宋体" w:hAnsi="宋体" w:cs="宋体" w:eastAsia="宋体" w:hint="default"/>
                <w:spacing w:val="-44"/>
                <w:sz w:val="18"/>
                <w:szCs w:val="18"/>
              </w:rPr>
              <w:t>，</w:t>
            </w:r>
            <w:r>
              <w:rPr>
                <w:rFonts w:ascii="宋体" w:hAnsi="宋体" w:cs="宋体" w:eastAsia="宋体" w:hint="default"/>
                <w:sz w:val="18"/>
                <w:szCs w:val="18"/>
              </w:rPr>
              <w:t>不视为本人违反本承诺函</w:t>
            </w:r>
            <w:r>
              <w:rPr>
                <w:rFonts w:ascii="宋体" w:hAnsi="宋体" w:cs="宋体" w:eastAsia="宋体" w:hint="default"/>
                <w:spacing w:val="-134"/>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本人丧失或部分丧失民事行为能力、被宣告失踪、死亡或被宣告</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死亡而当然与新开普或上海树维及其下属公司终止劳动关系的；</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83"/>
                <w:sz w:val="18"/>
                <w:szCs w:val="18"/>
              </w:rPr>
              <w:t>）</w:t>
            </w:r>
            <w:r>
              <w:rPr>
                <w:rFonts w:ascii="宋体" w:hAnsi="宋体" w:cs="宋体" w:eastAsia="宋体" w:hint="default"/>
                <w:sz w:val="18"/>
                <w:szCs w:val="18"/>
              </w:rPr>
              <w:t>因新开普或上海树维及其下属公司自身原因主动解聘本人或</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者批准本人离职的，</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减少薪酬导致劳动关系终止的，不视为本人违反本承诺函约定的</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任职期限承诺</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）新开普书面同意修改本承诺函约定的任职期</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限及竞业禁止承诺的。</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、本人承诺，截至本承诺函签署日，在上</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海树维及其子公司任职不存在违反上海树维的任何规章制度、不</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存在与其他单位签署的任何劳动合同的情形。</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、自本承诺函签署</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之日起，如本人自上海树维或其下属企业单方离职的，本人应当</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向新开普支付违约金，应支付的违约金为：本人任职未满承诺任</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职期限（自本承诺函签署之日起至本次交易完成届满四十八个月</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的期间的差额）月度数量</w:t>
            </w:r>
            <w:r>
              <w:rPr>
                <w:rFonts w:ascii="Times New Roman" w:hAnsi="Times New Roman" w:cs="Times New Roman" w:eastAsia="Times New Roman" w:hint="default"/>
                <w:sz w:val="18"/>
                <w:szCs w:val="18"/>
              </w:rPr>
              <w:t>×</w:t>
            </w:r>
            <w:r>
              <w:rPr>
                <w:rFonts w:ascii="宋体" w:hAnsi="宋体" w:cs="宋体" w:eastAsia="宋体" w:hint="default"/>
                <w:sz w:val="18"/>
                <w:szCs w:val="18"/>
              </w:rPr>
              <w:t>本人离职前一年从上海树维或其下属</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公司取得的平均年收入（包括但不限工资、奖金、绩效等全部收</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入）</w:t>
            </w:r>
            <w:r>
              <w:rPr>
                <w:rFonts w:ascii="Times New Roman" w:hAnsi="Times New Roman" w:cs="Times New Roman" w:eastAsia="Times New Roman" w:hint="default"/>
                <w:sz w:val="18"/>
                <w:szCs w:val="18"/>
              </w:rPr>
              <w:t>÷12</w:t>
            </w:r>
            <w:r>
              <w:rPr>
                <w:rFonts w:ascii="宋体" w:hAnsi="宋体" w:cs="宋体" w:eastAsia="宋体" w:hint="default"/>
                <w:sz w:val="18"/>
                <w:szCs w:val="18"/>
              </w:rPr>
              <w:t>；同时，本人承诺本人或本人控制的其他公司、企业或</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3" w:hRule="exact"/>
        </w:trPr>
        <w:tc>
          <w:tcPr>
            <w:tcW w:w="2127" w:type="dxa"/>
            <w:vMerge/>
            <w:tcBorders>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51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其他经营实体因违反上述声明与承诺所得的收入全部归新开普、</w:t>
            </w:r>
          </w:p>
        </w:tc>
        <w:tc>
          <w:tcPr>
            <w:tcW w:w="1134"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20" w:right="1340"/>
        </w:sectPr>
      </w:pPr>
    </w:p>
    <w:p>
      <w:pPr>
        <w:spacing w:line="240" w:lineRule="auto" w:before="4"/>
        <w:rPr>
          <w:rFonts w:ascii="Times New Roman" w:hAnsi="Times New Roman" w:cs="Times New Roman" w:eastAsia="Times New Roman" w:hint="default"/>
          <w:sz w:val="3"/>
          <w:szCs w:val="3"/>
        </w:rPr>
      </w:pPr>
      <w:r>
        <w:rPr/>
        <w:pict>
          <v:group style="position:absolute;margin-left:249.410995pt;margin-top:75.300003pt;width:56.25pt;height:144.450pt;mso-position-horizontal-relative:page;mso-position-vertical-relative:page;z-index:-1167520" coordorigin="4988,1506" coordsize="1125,2889">
            <v:group style="position:absolute;left:4988;top:1506;width:1125;height:2889" coordorigin="4988,1506" coordsize="1125,2889">
              <v:shape style="position:absolute;left:4988;top:1506;width:1125;height:2889" coordorigin="4988,1506" coordsize="1125,2889" path="m4988,1506l4988,4394,6113,4394,6113,1506,4988,1506xe" filled="true" fillcolor="#ffffff" stroked="false">
                <v:path arrowok="t"/>
                <v:fill type="solid"/>
              </v:shape>
            </v:group>
            <v:group style="position:absolute;left:5012;top:2286;width:1078;height:352" coordorigin="5012,2286" coordsize="1078,352">
              <v:shape style="position:absolute;left:5012;top:2286;width:1078;height:352" coordorigin="5012,2286" coordsize="1078,352" path="m5012,2286l5012,2638,6090,2638,6090,2286,5012,2286xe" filled="true" fillcolor="#ffffff" stroked="false">
                <v:path arrowok="t"/>
                <v:fill type="solid"/>
              </v:shape>
            </v:group>
            <v:group style="position:absolute;left:5012;top:2638;width:1078;height:312" coordorigin="5012,2638" coordsize="1078,312">
              <v:shape style="position:absolute;left:5012;top:2638;width:1078;height:312" coordorigin="5012,2638" coordsize="1078,312" path="m5012,2638l5012,2950,6090,2950,6090,2638,5012,2638xe" filled="true" fillcolor="#ffffff" stroked="false">
                <v:path arrowok="t"/>
                <v:fill type="solid"/>
              </v:shape>
            </v:group>
            <v:group style="position:absolute;left:5012;top:2950;width:1078;height:312" coordorigin="5012,2950" coordsize="1078,312">
              <v:shape style="position:absolute;left:5012;top:2950;width:1078;height:312" coordorigin="5012,2950" coordsize="1078,312" path="m5012,2950l5012,3262,6090,3262,6090,2950,5012,2950xe" filled="true" fillcolor="#ffffff" stroked="false">
                <v:path arrowok="t"/>
                <v:fill type="solid"/>
              </v:shape>
            </v:group>
            <v:group style="position:absolute;left:5012;top:3262;width:1078;height:353" coordorigin="5012,3262" coordsize="1078,353">
              <v:shape style="position:absolute;left:5012;top:3262;width:1078;height:353" coordorigin="5012,3262" coordsize="1078,353" path="m5012,3262l5012,3614,6090,3614,6090,3262,5012,3262xe" filled="true" fillcolor="#ffffff" stroked="false">
                <v:path arrowok="t"/>
                <v:fill type="solid"/>
              </v:shape>
            </v:group>
            <w10:wrap type="none"/>
          </v:group>
        </w:pict>
      </w:r>
      <w:r>
        <w:rPr/>
        <w:pict>
          <v:group style="position:absolute;margin-left:249.410995pt;margin-top:318.299988pt;width:56.25pt;height:160.050pt;mso-position-horizontal-relative:page;mso-position-vertical-relative:page;z-index:-1167496" coordorigin="4988,6366" coordsize="1125,3201">
            <v:group style="position:absolute;left:4988;top:6366;width:1125;height:3201" coordorigin="4988,6366" coordsize="1125,3201">
              <v:shape style="position:absolute;left:4988;top:6366;width:1125;height:3201" coordorigin="4988,6366" coordsize="1125,3201" path="m4988,6366l4988,9566,6113,9566,6113,6366,4988,6366xe" filled="true" fillcolor="#ffffff" stroked="false">
                <v:path arrowok="t"/>
                <v:fill type="solid"/>
              </v:shape>
            </v:group>
            <v:group style="position:absolute;left:5012;top:7770;width:1078;height:393" coordorigin="5012,7770" coordsize="1078,393">
              <v:shape style="position:absolute;left:5012;top:7770;width:1078;height:393" coordorigin="5012,7770" coordsize="1078,393" path="m5012,7770l5012,8162,6090,8162,6090,7770,5012,7770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2127"/>
        <w:gridCol w:w="1417"/>
        <w:gridCol w:w="1134"/>
        <w:gridCol w:w="5104"/>
        <w:gridCol w:w="1134"/>
        <w:gridCol w:w="1418"/>
        <w:gridCol w:w="1559"/>
      </w:tblGrid>
      <w:tr>
        <w:trPr>
          <w:trHeight w:val="377" w:hRule="exact"/>
        </w:trPr>
        <w:tc>
          <w:tcPr>
            <w:tcW w:w="2127" w:type="dxa"/>
            <w:vMerge w:val="restart"/>
            <w:tcBorders>
              <w:top w:val="single" w:sz="15" w:space="0" w:color="000000"/>
              <w:left w:val="single" w:sz="4" w:space="0" w:color="000000"/>
              <w:right w:val="single" w:sz="4" w:space="0" w:color="000000"/>
            </w:tcBorders>
            <w:shd w:val="clear" w:color="auto" w:fill="D3D3D3"/>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510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上海树维所有，并赔偿新开普及上海树维因此遭受的全部损失。</w:t>
            </w:r>
          </w:p>
        </w:tc>
        <w:tc>
          <w:tcPr>
            <w:tcW w:w="1134"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1559" w:type="dxa"/>
            <w:tcBorders>
              <w:top w:val="single" w:sz="15" w:space="0" w:color="000000"/>
              <w:left w:val="single" w:sz="4" w:space="0" w:color="000000"/>
              <w:bottom w:val="single" w:sz="4" w:space="0" w:color="000000"/>
              <w:right w:val="single" w:sz="4" w:space="0" w:color="000000"/>
            </w:tcBorders>
          </w:tcPr>
          <w:p>
            <w:pPr/>
          </w:p>
        </w:tc>
      </w:tr>
      <w:tr>
        <w:trPr>
          <w:trHeight w:val="362" w:hRule="exact"/>
        </w:trPr>
        <w:tc>
          <w:tcPr>
            <w:tcW w:w="2127" w:type="dxa"/>
            <w:vMerge/>
            <w:tcBorders>
              <w:left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51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、自本承诺函签署日起五年内，本人不再从事主营业务（包括直</w:t>
            </w:r>
          </w:p>
        </w:tc>
        <w:tc>
          <w:tcPr>
            <w:tcW w:w="1134"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接和间接）与上海树维在本协议签署日所从事业务（上海树维在</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3" w:right="121"/>
              <w:jc w:val="both"/>
              <w:rPr>
                <w:rFonts w:ascii="宋体" w:hAnsi="宋体" w:cs="宋体" w:eastAsia="宋体" w:hint="default"/>
                <w:sz w:val="18"/>
                <w:szCs w:val="18"/>
              </w:rPr>
            </w:pPr>
            <w:r>
              <w:rPr>
                <w:rFonts w:ascii="宋体" w:hAnsi="宋体" w:cs="宋体" w:eastAsia="宋体" w:hint="default"/>
                <w:sz w:val="18"/>
                <w:szCs w:val="18"/>
              </w:rPr>
              <w:t>现金购买资产的 交易对方乔志刚 吴琼</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310" w:lineRule="atLeast" w:before="93"/>
              <w:ind w:left="23" w:right="198"/>
              <w:jc w:val="left"/>
              <w:rPr>
                <w:rFonts w:ascii="宋体" w:hAnsi="宋体" w:cs="宋体" w:eastAsia="宋体" w:hint="default"/>
                <w:sz w:val="18"/>
                <w:szCs w:val="18"/>
              </w:rPr>
            </w:pPr>
            <w:r>
              <w:rPr>
                <w:rFonts w:ascii="宋体" w:hAnsi="宋体" w:cs="宋体" w:eastAsia="宋体" w:hint="default"/>
                <w:sz w:val="18"/>
                <w:szCs w:val="18"/>
              </w:rPr>
              <w:t>关于同业竞 争、关联交</w:t>
            </w:r>
          </w:p>
          <w:p>
            <w:pPr>
              <w:pStyle w:val="TableParagraph"/>
              <w:spacing w:line="116" w:lineRule="exact"/>
              <w:ind w:left="-13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易、资金占用</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方面的承诺</w:t>
            </w: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3" w:right="23"/>
              <w:jc w:val="both"/>
              <w:rPr>
                <w:rFonts w:ascii="宋体" w:hAnsi="宋体" w:cs="宋体" w:eastAsia="宋体" w:hint="default"/>
                <w:sz w:val="18"/>
                <w:szCs w:val="18"/>
              </w:rPr>
            </w:pPr>
            <w:r>
              <w:rPr>
                <w:rFonts w:ascii="宋体" w:hAnsi="宋体" w:cs="宋体" w:eastAsia="宋体" w:hint="default"/>
                <w:sz w:val="18"/>
                <w:szCs w:val="18"/>
              </w:rPr>
              <w:t>本协议签署日所从事的业务为：高校一卡通、高校数字化校园与 教务管理系统软件及服务）相竞争的业务。</w:t>
            </w:r>
            <w:r>
              <w:rPr>
                <w:rFonts w:ascii="Times New Roman" w:hAnsi="Times New Roman" w:cs="Times New Roman" w:eastAsia="Times New Roman" w:hint="default"/>
                <w:sz w:val="18"/>
                <w:szCs w:val="18"/>
              </w:rPr>
              <w:t>2</w:t>
            </w:r>
            <w:r>
              <w:rPr>
                <w:rFonts w:ascii="宋体" w:hAnsi="宋体" w:cs="宋体" w:eastAsia="宋体" w:hint="default"/>
                <w:sz w:val="18"/>
                <w:szCs w:val="18"/>
              </w:rPr>
              <w:t>、 自本承诺函签署 日起五年内，本人不得投资主营业务与竞争业务相同的企业、公 </w:t>
            </w:r>
            <w:r>
              <w:rPr>
                <w:rFonts w:ascii="宋体" w:hAnsi="宋体" w:cs="宋体" w:eastAsia="宋体" w:hint="default"/>
                <w:spacing w:val="-5"/>
                <w:sz w:val="18"/>
                <w:szCs w:val="18"/>
              </w:rPr>
              <w:t>司或其他组织（不包括二级市场购买股票）。以上承诺均有效期</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年，如违反上述承诺，本人愿意赔偿新开普及其关联公司、上海</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84"/>
              <w:jc w:val="both"/>
              <w:rPr>
                <w:rFonts w:ascii="宋体" w:hAnsi="宋体" w:cs="宋体" w:eastAsia="宋体" w:hint="default"/>
                <w:sz w:val="18"/>
                <w:szCs w:val="18"/>
              </w:rPr>
            </w:pPr>
            <w:r>
              <w:rPr>
                <w:rFonts w:ascii="宋体" w:hAnsi="宋体" w:cs="宋体" w:eastAsia="宋体" w:hint="default"/>
                <w:sz w:val="18"/>
                <w:szCs w:val="18"/>
              </w:rPr>
              <w:t>截至报告期末，上 述承诺人严格信守 承诺，未发生违反 承诺的情况。</w:t>
            </w:r>
          </w:p>
        </w:tc>
      </w:tr>
      <w:tr>
        <w:trPr>
          <w:trHeight w:val="313"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树维及其下属企业所遭受的一切经济损失及因此而支出的额外费</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127" w:type="dxa"/>
            <w:vMerge/>
            <w:tcBorders>
              <w:left w:val="single" w:sz="4" w:space="0" w:color="000000"/>
              <w:bottom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1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用并承担相应的法律责任。</w:t>
            </w:r>
          </w:p>
        </w:tc>
        <w:tc>
          <w:tcPr>
            <w:tcW w:w="1134"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2127" w:type="dxa"/>
            <w:tcBorders>
              <w:top w:val="single" w:sz="4" w:space="0" w:color="000000"/>
              <w:left w:val="single" w:sz="4" w:space="0" w:color="000000"/>
              <w:bottom w:val="nil" w:sz="6" w:space="0" w:color="auto"/>
              <w:right w:val="single" w:sz="4" w:space="0" w:color="000000"/>
            </w:tcBorders>
            <w:shd w:val="clear" w:color="auto" w:fill="D3D3D3"/>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51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公司的所有募集资金将存放于专户管理，并用于公司主营业务。</w:t>
            </w:r>
          </w:p>
        </w:tc>
        <w:tc>
          <w:tcPr>
            <w:tcW w:w="1134"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2127" w:type="dxa"/>
            <w:tcBorders>
              <w:top w:val="nil" w:sz="6" w:space="0" w:color="auto"/>
              <w:left w:val="single" w:sz="4" w:space="0" w:color="000000"/>
              <w:bottom w:val="nil" w:sz="6" w:space="0" w:color="auto"/>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对于尚没有具体使用项目的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其他与主营业务相关的营运资金</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截至报告期末，承</w:t>
            </w:r>
          </w:p>
        </w:tc>
      </w:tr>
      <w:tr>
        <w:trPr>
          <w:trHeight w:val="313" w:hRule="exact"/>
        </w:trPr>
        <w:tc>
          <w:tcPr>
            <w:tcW w:w="2127" w:type="dxa"/>
            <w:tcBorders>
              <w:top w:val="nil" w:sz="6" w:space="0" w:color="auto"/>
              <w:left w:val="single" w:sz="4" w:space="0" w:color="000000"/>
              <w:bottom w:val="nil" w:sz="6" w:space="0" w:color="auto"/>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新开普电子股份</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募集资金使</w:t>
            </w: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本公司最晚于募集资金到帐后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个月内，根据公司的发展规划及</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诺人严格信守承</w:t>
            </w:r>
          </w:p>
        </w:tc>
      </w:tr>
      <w:tr>
        <w:trPr>
          <w:trHeight w:val="312" w:hRule="exact"/>
        </w:trPr>
        <w:tc>
          <w:tcPr>
            <w:tcW w:w="2127" w:type="dxa"/>
            <w:tcBorders>
              <w:top w:val="nil" w:sz="6" w:space="0" w:color="auto"/>
              <w:left w:val="single" w:sz="4" w:space="0" w:color="000000"/>
              <w:bottom w:val="nil" w:sz="6" w:space="0" w:color="auto"/>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用承诺</w:t>
            </w: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实际生产经营需求，妥善安排该部分资金的使用计划，提交董事</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长期有效。</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诺，未发生违反承</w:t>
            </w:r>
          </w:p>
        </w:tc>
      </w:tr>
      <w:tr>
        <w:trPr>
          <w:trHeight w:val="308" w:hRule="exact"/>
        </w:trPr>
        <w:tc>
          <w:tcPr>
            <w:tcW w:w="2127" w:type="dxa"/>
            <w:tcBorders>
              <w:top w:val="nil" w:sz="6" w:space="0" w:color="auto"/>
              <w:left w:val="single" w:sz="4" w:space="0" w:color="000000"/>
              <w:bottom w:val="nil" w:sz="6" w:space="0" w:color="auto"/>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会审议通过后及时披露。公司实际使用该部分资金前，将履行相</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诺的情况。</w:t>
            </w:r>
          </w:p>
        </w:tc>
      </w:tr>
      <w:tr>
        <w:trPr>
          <w:trHeight w:val="356" w:hRule="exact"/>
        </w:trPr>
        <w:tc>
          <w:tcPr>
            <w:tcW w:w="2127" w:type="dxa"/>
            <w:tcBorders>
              <w:top w:val="nil" w:sz="6" w:space="0" w:color="auto"/>
              <w:left w:val="single" w:sz="4" w:space="0" w:color="000000"/>
              <w:bottom w:val="nil" w:sz="6" w:space="0" w:color="auto"/>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1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应的董事会或股东大会审议程序，并及时披露。</w:t>
            </w:r>
          </w:p>
        </w:tc>
        <w:tc>
          <w:tcPr>
            <w:tcW w:w="1134"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2127" w:type="dxa"/>
            <w:tcBorders>
              <w:top w:val="nil" w:sz="6" w:space="0" w:color="auto"/>
              <w:left w:val="single" w:sz="4" w:space="0" w:color="000000"/>
              <w:bottom w:val="nil" w:sz="6" w:space="0" w:color="auto"/>
              <w:right w:val="single" w:sz="4" w:space="0" w:color="000000"/>
            </w:tcBorders>
            <w:shd w:val="clear" w:color="auto" w:fill="D3D3D3"/>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51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严格遵守《公司法》和深圳证券交易所关于上市公司董事、监事</w:t>
            </w:r>
          </w:p>
        </w:tc>
        <w:tc>
          <w:tcPr>
            <w:tcW w:w="1134"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127" w:type="dxa"/>
            <w:tcBorders>
              <w:top w:val="nil" w:sz="6" w:space="0" w:color="auto"/>
              <w:left w:val="single" w:sz="4" w:space="0" w:color="000000"/>
              <w:bottom w:val="nil" w:sz="6" w:space="0" w:color="auto"/>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与高级管理人员买卖本公司股份行为的相关规定，在任职期间每</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21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12"/>
              <w:jc w:val="left"/>
              <w:rPr>
                <w:rFonts w:ascii="宋体" w:hAnsi="宋体" w:cs="宋体" w:eastAsia="宋体" w:hint="default"/>
                <w:sz w:val="18"/>
                <w:szCs w:val="18"/>
              </w:rPr>
            </w:pPr>
            <w:r>
              <w:rPr>
                <w:rFonts w:ascii="宋体" w:hAnsi="宋体" w:cs="宋体" w:eastAsia="宋体" w:hint="default"/>
                <w:sz w:val="18"/>
                <w:szCs w:val="18"/>
              </w:rPr>
              <w:t>首次公开发行或再融资时 所作承诺</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4" w:lineRule="auto"/>
              <w:ind w:left="23" w:right="-34"/>
              <w:jc w:val="left"/>
              <w:rPr>
                <w:rFonts w:ascii="宋体" w:hAnsi="宋体" w:cs="宋体" w:eastAsia="宋体" w:hint="default"/>
                <w:sz w:val="18"/>
                <w:szCs w:val="18"/>
              </w:rPr>
            </w:pPr>
            <w:r>
              <w:rPr>
                <w:rFonts w:ascii="宋体" w:hAnsi="宋体" w:cs="宋体" w:eastAsia="宋体" w:hint="default"/>
                <w:sz w:val="18"/>
                <w:szCs w:val="18"/>
              </w:rPr>
              <w:t>杨维国、尚卫国 付秋生、赵利宾 </w:t>
            </w:r>
            <w:r>
              <w:rPr>
                <w:rFonts w:ascii="宋体" w:hAnsi="宋体" w:cs="宋体" w:eastAsia="宋体" w:hint="default"/>
                <w:spacing w:val="-3"/>
                <w:sz w:val="18"/>
                <w:szCs w:val="18"/>
              </w:rPr>
              <w:t>华梦阳、刘恩臣、</w:t>
            </w:r>
            <w:r>
              <w:rPr>
                <w:rFonts w:ascii="宋体" w:hAnsi="宋体" w:cs="宋体" w:eastAsia="宋体" w:hint="default"/>
                <w:spacing w:val="-23"/>
                <w:sz w:val="18"/>
                <w:szCs w:val="18"/>
              </w:rPr>
              <w:t> </w:t>
            </w:r>
            <w:r>
              <w:rPr>
                <w:rFonts w:ascii="宋体" w:hAnsi="宋体" w:cs="宋体" w:eastAsia="宋体" w:hint="default"/>
                <w:sz w:val="18"/>
                <w:szCs w:val="18"/>
              </w:rPr>
              <w:t>王葆玲等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w:t>
            </w:r>
            <w:r>
              <w:rPr>
                <w:rFonts w:ascii="宋体" w:hAnsi="宋体" w:cs="宋体" w:eastAsia="宋体" w:hint="default"/>
                <w:spacing w:val="1"/>
                <w:sz w:val="18"/>
                <w:szCs w:val="18"/>
              </w:rPr>
              <w:t> </w:t>
            </w:r>
            <w:r>
              <w:rPr>
                <w:rFonts w:ascii="宋体" w:hAnsi="宋体" w:cs="宋体" w:eastAsia="宋体" w:hint="default"/>
                <w:sz w:val="18"/>
                <w:szCs w:val="18"/>
              </w:rPr>
              <w:t>然人股东。</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5"/>
              <w:ind w:left="-13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9"/>
              <w:jc w:val="left"/>
              <w:rPr>
                <w:rFonts w:ascii="宋体" w:hAnsi="宋体" w:cs="宋体" w:eastAsia="宋体" w:hint="default"/>
                <w:sz w:val="18"/>
                <w:szCs w:val="18"/>
              </w:rPr>
            </w:pPr>
            <w:r>
              <w:rPr>
                <w:rFonts w:ascii="宋体" w:hAnsi="宋体" w:cs="宋体" w:eastAsia="宋体" w:hint="default"/>
                <w:sz w:val="18"/>
                <w:szCs w:val="18"/>
              </w:rPr>
              <w:t>年转让的股份不超过本人所持有发行人股份总数的百分之二十 五；所持发行人股份自发行人股票上市交易之日起十二个月内不 得转让；在公司首次公开发行股票上市之日起六个月内申报离职 的，自申报离职之日起十八个月内不转让本人直接持有的发行人 股份；在公司首次公开发行股票上市之日起第七个月至第十二个 月之间申报离职的，自申报离职之日起十二个月内不转让本人直</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长期有效。</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84"/>
              <w:jc w:val="both"/>
              <w:rPr>
                <w:rFonts w:ascii="宋体" w:hAnsi="宋体" w:cs="宋体" w:eastAsia="宋体" w:hint="default"/>
                <w:sz w:val="18"/>
                <w:szCs w:val="18"/>
              </w:rPr>
            </w:pPr>
            <w:r>
              <w:rPr>
                <w:rFonts w:ascii="宋体" w:hAnsi="宋体" w:cs="宋体" w:eastAsia="宋体" w:hint="default"/>
                <w:sz w:val="18"/>
                <w:szCs w:val="18"/>
              </w:rPr>
              <w:t>截至报告期末，上 述承诺人严格信守 承诺，未发生违反 承诺的情况。</w:t>
            </w:r>
          </w:p>
        </w:tc>
      </w:tr>
      <w:tr>
        <w:trPr>
          <w:trHeight w:val="313" w:hRule="exact"/>
        </w:trPr>
        <w:tc>
          <w:tcPr>
            <w:tcW w:w="2127" w:type="dxa"/>
            <w:tcBorders>
              <w:top w:val="nil" w:sz="6" w:space="0" w:color="auto"/>
              <w:left w:val="single" w:sz="4" w:space="0" w:color="000000"/>
              <w:bottom w:val="nil" w:sz="6" w:space="0" w:color="auto"/>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接持有的发行人股份；在离职后六个月内，不转让本人所持有的</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127" w:type="dxa"/>
            <w:tcBorders>
              <w:top w:val="nil" w:sz="6" w:space="0" w:color="auto"/>
              <w:left w:val="single" w:sz="4" w:space="0" w:color="000000"/>
              <w:bottom w:val="nil" w:sz="6" w:space="0" w:color="auto"/>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1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发行人股份。</w:t>
            </w:r>
          </w:p>
        </w:tc>
        <w:tc>
          <w:tcPr>
            <w:tcW w:w="1134"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2127" w:type="dxa"/>
            <w:tcBorders>
              <w:top w:val="nil" w:sz="6" w:space="0" w:color="auto"/>
              <w:left w:val="single" w:sz="4" w:space="0" w:color="000000"/>
              <w:bottom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1"/>
              <w:jc w:val="both"/>
              <w:rPr>
                <w:rFonts w:ascii="宋体" w:hAnsi="宋体" w:cs="宋体" w:eastAsia="宋体" w:hint="default"/>
                <w:sz w:val="18"/>
                <w:szCs w:val="18"/>
              </w:rPr>
            </w:pPr>
            <w:r>
              <w:rPr>
                <w:rFonts w:ascii="宋体" w:hAnsi="宋体" w:cs="宋体" w:eastAsia="宋体" w:hint="default"/>
                <w:sz w:val="18"/>
                <w:szCs w:val="18"/>
              </w:rPr>
              <w:t>公司控股股东暨 实际控制人杨维 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20"/>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71"/>
              <w:ind w:left="23" w:right="21"/>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、截至本承诺函出具日，本人未控制任何与新开普存在有相同或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类似业务的公司、企业或其他经营实体，未经营也没有为他人经 营与新开普相同或类似的产品或业务；本人与新开普不存在同业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长期有效。</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84"/>
              <w:jc w:val="both"/>
              <w:rPr>
                <w:rFonts w:ascii="宋体" w:hAnsi="宋体" w:cs="宋体" w:eastAsia="宋体" w:hint="default"/>
                <w:sz w:val="18"/>
                <w:szCs w:val="18"/>
              </w:rPr>
            </w:pPr>
            <w:r>
              <w:rPr>
                <w:rFonts w:ascii="宋体" w:hAnsi="宋体" w:cs="宋体" w:eastAsia="宋体" w:hint="default"/>
                <w:sz w:val="18"/>
                <w:szCs w:val="18"/>
              </w:rPr>
              <w:t>截至报告期末，上 述承诺人严格信守 承诺，未发生违反</w:t>
            </w:r>
          </w:p>
        </w:tc>
      </w:tr>
    </w:tbl>
    <w:p>
      <w:pPr>
        <w:spacing w:after="0" w:line="316" w:lineRule="auto"/>
        <w:jc w:val="both"/>
        <w:rPr>
          <w:rFonts w:ascii="宋体" w:hAnsi="宋体" w:cs="宋体" w:eastAsia="宋体" w:hint="default"/>
          <w:sz w:val="18"/>
          <w:szCs w:val="18"/>
        </w:rPr>
        <w:sectPr>
          <w:pgSz w:w="16840" w:h="11910" w:orient="landscape"/>
          <w:pgMar w:header="867" w:footer="978" w:top="1060" w:bottom="1160" w:left="1320" w:right="1340"/>
        </w:sectPr>
      </w:pPr>
    </w:p>
    <w:p>
      <w:pPr>
        <w:spacing w:line="240" w:lineRule="auto" w:before="4"/>
        <w:rPr>
          <w:rFonts w:ascii="Times New Roman" w:hAnsi="Times New Roman" w:cs="Times New Roman" w:eastAsia="Times New Roman" w:hint="default"/>
          <w:sz w:val="3"/>
          <w:szCs w:val="3"/>
        </w:rPr>
      </w:pPr>
      <w:r>
        <w:rPr/>
        <w:pict>
          <v:shape style="position:absolute;margin-left:465.170502pt;margin-top:57.18pt;width:152.35pt;height:236.05pt;mso-position-horizontal-relative:page;mso-position-vertical-relative:page;z-index:-1167448" type="#_x0000_t202" filled="false" stroked="false">
            <v:textbox inset="0,0,0,0">
              <w:txbxContent>
                <w:p>
                  <w:pPr>
                    <w:spacing w:before="10"/>
                    <w:ind w:left="0" w:right="0" w:firstLine="0"/>
                    <w:jc w:val="left"/>
                    <w:rPr>
                      <w:rFonts w:ascii="宋体" w:hAnsi="宋体" w:cs="宋体" w:eastAsia="宋体" w:hint="default"/>
                      <w:sz w:val="18"/>
                      <w:szCs w:val="18"/>
                    </w:rPr>
                  </w:pPr>
                  <w:r>
                    <w:rPr>
                      <w:rFonts w:ascii="宋体" w:hAnsi="宋体" w:cs="宋体" w:eastAsia="宋体" w:hint="default"/>
                      <w:sz w:val="18"/>
                      <w:szCs w:val="18"/>
                    </w:rPr>
                    <w:t>将不在中国境内外投资、</w:t>
                  </w:r>
                </w:p>
              </w:txbxContent>
            </v:textbox>
            <w10:wrap type="none"/>
          </v:shape>
        </w:pict>
      </w:r>
      <w:r>
        <w:rPr/>
        <w:pict>
          <v:group style="position:absolute;margin-left:249.410995pt;margin-top:293.700012pt;width:56.25pt;height:236pt;mso-position-horizontal-relative:page;mso-position-vertical-relative:page;z-index:-1167424" coordorigin="4988,5874" coordsize="1125,4720">
            <v:group style="position:absolute;left:4988;top:5874;width:1125;height:4720" coordorigin="4988,5874" coordsize="1125,4720">
              <v:shape style="position:absolute;left:4988;top:5874;width:1125;height:4720" coordorigin="4988,5874" coordsize="1125,4720" path="m4988,5874l4988,10594,6113,10594,6113,5874,4988,5874xe" filled="true" fillcolor="#ffffff" stroked="false">
                <v:path arrowok="t"/>
                <v:fill type="solid"/>
              </v:shape>
            </v:group>
            <v:group style="position:absolute;left:5012;top:8038;width:1078;height:393" coordorigin="5012,8038" coordsize="1078,393">
              <v:shape style="position:absolute;left:5012;top:8038;width:1078;height:393" coordorigin="5012,8038" coordsize="1078,393" path="m5012,8038l5012,8430,6090,8430,6090,8038,5012,8038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2127"/>
        <w:gridCol w:w="1417"/>
        <w:gridCol w:w="1134"/>
        <w:gridCol w:w="5104"/>
        <w:gridCol w:w="1134"/>
        <w:gridCol w:w="1418"/>
        <w:gridCol w:w="1559"/>
      </w:tblGrid>
      <w:tr>
        <w:trPr>
          <w:trHeight w:val="336" w:hRule="exact"/>
        </w:trPr>
        <w:tc>
          <w:tcPr>
            <w:tcW w:w="2127" w:type="dxa"/>
            <w:vMerge w:val="restart"/>
            <w:tcBorders>
              <w:top w:val="single" w:sz="15" w:space="0" w:color="000000"/>
              <w:left w:val="single" w:sz="4" w:space="0" w:color="000000"/>
              <w:right w:val="single" w:sz="4" w:space="0" w:color="000000"/>
            </w:tcBorders>
            <w:shd w:val="clear" w:color="auto" w:fill="D3D3D3"/>
          </w:tcPr>
          <w:p>
            <w:pPr/>
          </w:p>
        </w:tc>
        <w:tc>
          <w:tcPr>
            <w:tcW w:w="1417" w:type="dxa"/>
            <w:vMerge w:val="restart"/>
            <w:tcBorders>
              <w:top w:val="single" w:sz="15" w:space="0" w:color="000000"/>
              <w:left w:val="single" w:sz="4" w:space="0" w:color="000000"/>
              <w:right w:val="single" w:sz="4" w:space="0" w:color="000000"/>
            </w:tcBorders>
          </w:tcPr>
          <w:p>
            <w:pPr/>
          </w:p>
        </w:tc>
        <w:tc>
          <w:tcPr>
            <w:tcW w:w="1134"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方面的承诺</w:t>
            </w:r>
          </w:p>
        </w:tc>
        <w:tc>
          <w:tcPr>
            <w:tcW w:w="5104"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7"/>
                <w:sz w:val="18"/>
                <w:szCs w:val="18"/>
              </w:rPr>
              <w:t>竞争。</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、本人保证自本承诺函出具日起，</w:t>
            </w:r>
          </w:p>
        </w:tc>
        <w:tc>
          <w:tcPr>
            <w:tcW w:w="1134" w:type="dxa"/>
            <w:vMerge w:val="restart"/>
            <w:tcBorders>
              <w:top w:val="single" w:sz="15" w:space="0" w:color="000000"/>
              <w:left w:val="single" w:sz="4" w:space="0" w:color="000000"/>
              <w:right w:val="single" w:sz="4" w:space="0" w:color="000000"/>
            </w:tcBorders>
          </w:tcPr>
          <w:p>
            <w:pPr>
              <w:pStyle w:val="TableParagraph"/>
              <w:spacing w:line="472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3"/>
                <w:sz w:val="20"/>
                <w:szCs w:val="20"/>
              </w:rPr>
              <w:pict>
                <v:group style="width:56.25pt;height:236.05pt;mso-position-horizontal-relative:char;mso-position-vertical-relative:line" coordorigin="0,0" coordsize="1125,4721">
                  <v:group style="position:absolute;left:0;top:0;width:1125;height:4721" coordorigin="0,0" coordsize="1125,4721">
                    <v:shape style="position:absolute;left:0;top:0;width:1125;height:4721" coordorigin="0,0" coordsize="1125,4721" path="m0,0l0,4721,1124,4721,1124,0,0,0xe" filled="true" fillcolor="#ffffff" stroked="false">
                      <v:path arrowok="t"/>
                      <v:fill type="solid"/>
                    </v:shape>
                  </v:group>
                </v:group>
              </w:pict>
            </w:r>
            <w:r>
              <w:rPr>
                <w:rFonts w:ascii="Times New Roman" w:hAnsi="Times New Roman" w:cs="Times New Roman" w:eastAsia="Times New Roman" w:hint="default"/>
                <w:position w:val="-93"/>
                <w:sz w:val="20"/>
                <w:szCs w:val="20"/>
              </w:rPr>
            </w:r>
          </w:p>
        </w:tc>
        <w:tc>
          <w:tcPr>
            <w:tcW w:w="1418" w:type="dxa"/>
            <w:vMerge w:val="restart"/>
            <w:tcBorders>
              <w:top w:val="single" w:sz="15" w:space="0" w:color="000000"/>
              <w:left w:val="single" w:sz="4" w:space="0" w:color="000000"/>
              <w:right w:val="single" w:sz="4" w:space="0" w:color="000000"/>
            </w:tcBorders>
          </w:tcPr>
          <w:p>
            <w:pPr/>
          </w:p>
        </w:tc>
        <w:tc>
          <w:tcPr>
            <w:tcW w:w="155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承诺的情况。</w:t>
            </w: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收购、兼并、经营与新开普生产、经营存在有相同或类似业务的</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公司、企业或其他经营实体，不在中国境内外从事任何与新开普</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业务直接竞争或可能竞争的任何活动，以避免对新开普的生产经</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营构成直接或间接的业务竞争。</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、本人承诺不会利用新开普的控</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股股东和实际控制人地位损害新开普及新开普其他股东的合法权</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益。</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、本人保证自本承诺函出具日起，若本人控制的公司、企业</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或其他经营实体出现与新开普业务有竞争的经营业务情况时，新</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开普可以采取优先收购或委托经营的方式将相关公司、企业或其</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他经营实体的竞争业务集中到新开普经营。</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、本人保证自本承诺</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函出具日起，若本人控制的公司、企业或其他经营实体在出售或</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转让与新开普主营业务相关的资产、业务或权益时，在同等条件</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下给予新开普优先购买的权利。</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、如本人及其控制的公司、企业</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或其他经营实体有任何违反上述承诺的事项发生，本人将承担因</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1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此给新开普造成的一切损失（含直接损失和间接损失</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34"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2127" w:type="dxa"/>
            <w:vMerge/>
            <w:tcBorders>
              <w:left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51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月，郑州新开普电子技术有限公司注册资本由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134"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万元，但该次增资并未及时到位，而是于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297"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月前陆续到位。为此，杨维国、尚卫国、赵利宾、华梦阳、郎金</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杨维国、尚卫国</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文、杜建平、傅常顺、葛晓阁和刘恩臣等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名增资股东于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赵利宾、华梦阳</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pacing w:val="-4"/>
                <w:sz w:val="18"/>
                <w:szCs w:val="18"/>
              </w:rPr>
              <w:t>日共同作出书面承诺：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2002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月增</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1555"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郎金文、杜建平 </w:t>
            </w:r>
            <w:r>
              <w:rPr>
                <w:rFonts w:ascii="宋体" w:hAnsi="宋体" w:cs="宋体" w:eastAsia="宋体" w:hint="default"/>
                <w:spacing w:val="-10"/>
                <w:sz w:val="18"/>
                <w:szCs w:val="18"/>
              </w:rPr>
              <w:t>傅常顺、葛晓阁和</w:t>
            </w:r>
            <w:r>
              <w:rPr>
                <w:rFonts w:ascii="宋体" w:hAnsi="宋体" w:cs="宋体" w:eastAsia="宋体" w:hint="default"/>
                <w:sz w:val="18"/>
                <w:szCs w:val="18"/>
              </w:rPr>
              <w:t> 刘恩臣等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p>
            <w:pPr>
              <w:pStyle w:val="TableParagraph"/>
              <w:spacing w:line="300" w:lineRule="auto"/>
              <w:ind w:left="23"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月郑州 新开普电子技术</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13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316" w:lineRule="auto" w:before="15"/>
              <w:ind w:left="23" w:right="29"/>
              <w:jc w:val="both"/>
              <w:rPr>
                <w:rFonts w:ascii="宋体" w:hAnsi="宋体" w:cs="宋体" w:eastAsia="宋体" w:hint="default"/>
                <w:sz w:val="18"/>
                <w:szCs w:val="18"/>
              </w:rPr>
            </w:pPr>
            <w:r>
              <w:rPr>
                <w:rFonts w:ascii="宋体" w:hAnsi="宋体" w:cs="宋体" w:eastAsia="宋体" w:hint="default"/>
                <w:sz w:val="18"/>
                <w:szCs w:val="18"/>
              </w:rPr>
              <w:t>资时，增资股东用于出资的资金和实物资产均系增资股东自筹资 金或自有实物资产，前述资金和实物资产来源真实合法，不存在 违法违规的情形，不存在被有关部门收缴、追索等法律风险；如 因前述资金和实物资产来源而引起的一切法律责任由杨维国、尚 卫国、赵利宾、华梦阳、郎金文、杜建平、傅常顺、葛晓阁和刘</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长期有效。</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319" w:lineRule="auto" w:before="152"/>
              <w:ind w:left="22" w:right="84"/>
              <w:jc w:val="both"/>
              <w:rPr>
                <w:rFonts w:ascii="宋体" w:hAnsi="宋体" w:cs="宋体" w:eastAsia="宋体" w:hint="default"/>
                <w:sz w:val="18"/>
                <w:szCs w:val="18"/>
              </w:rPr>
            </w:pPr>
            <w:r>
              <w:rPr>
                <w:rFonts w:ascii="宋体" w:hAnsi="宋体" w:cs="宋体" w:eastAsia="宋体" w:hint="default"/>
                <w:sz w:val="18"/>
                <w:szCs w:val="18"/>
              </w:rPr>
              <w:t>截至报告期末，上 述承诺人严格信守 承诺，未发生违反 承诺的情况。</w:t>
            </w:r>
          </w:p>
        </w:tc>
      </w:tr>
      <w:tr>
        <w:trPr>
          <w:trHeight w:val="318"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有限公司增资股</w:t>
            </w: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恩臣等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r>
              <w:rPr>
                <w:rFonts w:ascii="宋体" w:hAnsi="宋体" w:cs="宋体" w:eastAsia="宋体" w:hint="default"/>
                <w:spacing w:val="1"/>
                <w:sz w:val="18"/>
                <w:szCs w:val="18"/>
              </w:rPr>
              <w:t>承</w:t>
            </w:r>
            <w:r>
              <w:rPr>
                <w:rFonts w:ascii="宋体" w:hAnsi="宋体" w:cs="宋体" w:eastAsia="宋体" w:hint="default"/>
                <w:sz w:val="18"/>
                <w:szCs w:val="18"/>
              </w:rPr>
              <w:t>担</w:t>
            </w:r>
            <w:r>
              <w:rPr>
                <w:rFonts w:ascii="宋体" w:hAnsi="宋体" w:cs="宋体" w:eastAsia="宋体" w:hint="default"/>
                <w:spacing w:val="-132"/>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42"/>
                <w:sz w:val="18"/>
                <w:szCs w:val="18"/>
              </w:rPr>
              <w:t>）</w:t>
            </w:r>
            <w:r>
              <w:rPr>
                <w:rFonts w:ascii="宋体" w:hAnsi="宋体" w:cs="宋体" w:eastAsia="宋体" w:hint="default"/>
                <w:sz w:val="18"/>
                <w:szCs w:val="18"/>
              </w:rPr>
              <w:t>各增</w:t>
            </w:r>
            <w:r>
              <w:rPr>
                <w:rFonts w:ascii="宋体" w:hAnsi="宋体" w:cs="宋体" w:eastAsia="宋体" w:hint="default"/>
                <w:spacing w:val="1"/>
                <w:sz w:val="18"/>
                <w:szCs w:val="18"/>
              </w:rPr>
              <w:t>资</w:t>
            </w:r>
            <w:r>
              <w:rPr>
                <w:rFonts w:ascii="宋体" w:hAnsi="宋体" w:cs="宋体" w:eastAsia="宋体" w:hint="default"/>
                <w:sz w:val="18"/>
                <w:szCs w:val="18"/>
              </w:rPr>
              <w:t>股东对前述有限公司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月增</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23" w:right="0"/>
              <w:jc w:val="left"/>
              <w:rPr>
                <w:rFonts w:ascii="宋体" w:hAnsi="宋体" w:cs="宋体" w:eastAsia="宋体" w:hint="default"/>
                <w:sz w:val="18"/>
                <w:szCs w:val="18"/>
              </w:rPr>
            </w:pPr>
            <w:r>
              <w:rPr>
                <w:rFonts w:ascii="宋体" w:hAnsi="宋体" w:cs="宋体" w:eastAsia="宋体" w:hint="default"/>
                <w:sz w:val="18"/>
                <w:szCs w:val="18"/>
              </w:rPr>
              <w:t>东。</w:t>
            </w: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3" w:right="0"/>
              <w:jc w:val="left"/>
              <w:rPr>
                <w:rFonts w:ascii="宋体" w:hAnsi="宋体" w:cs="宋体" w:eastAsia="宋体" w:hint="default"/>
                <w:sz w:val="18"/>
                <w:szCs w:val="18"/>
              </w:rPr>
            </w:pPr>
            <w:r>
              <w:rPr>
                <w:rFonts w:ascii="宋体" w:hAnsi="宋体" w:cs="宋体" w:eastAsia="宋体" w:hint="default"/>
                <w:sz w:val="18"/>
                <w:szCs w:val="18"/>
              </w:rPr>
              <w:t>资时其他增资股东的出资方式和出资金额均无任何争议，也不存</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在任何纠纷或潜在纠纷</w:t>
            </w:r>
            <w:r>
              <w:rPr>
                <w:rFonts w:ascii="宋体" w:hAnsi="宋体" w:cs="宋体" w:eastAsia="宋体" w:hint="default"/>
                <w:spacing w:val="-132"/>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41"/>
                <w:sz w:val="18"/>
                <w:szCs w:val="18"/>
              </w:rPr>
              <w:t>）</w:t>
            </w:r>
            <w:r>
              <w:rPr>
                <w:rFonts w:ascii="宋体" w:hAnsi="宋体" w:cs="宋体" w:eastAsia="宋体" w:hint="default"/>
                <w:sz w:val="18"/>
                <w:szCs w:val="18"/>
              </w:rPr>
              <w:t>若因前述有限公司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月增资</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时股东出资没有及时全额到位的问题，致使郑州新开普电子股份</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127" w:type="dxa"/>
            <w:vMerge/>
            <w:tcBorders>
              <w:left w:val="single" w:sz="4" w:space="0" w:color="000000"/>
              <w:bottom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1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有限公司遭受任何处罚，杨维国、尚卫国、赵利宾、华梦阳、郎</w:t>
            </w:r>
          </w:p>
        </w:tc>
        <w:tc>
          <w:tcPr>
            <w:tcW w:w="1134"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20" w:right="134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127"/>
        <w:gridCol w:w="1417"/>
        <w:gridCol w:w="1134"/>
        <w:gridCol w:w="5104"/>
        <w:gridCol w:w="1134"/>
        <w:gridCol w:w="1418"/>
        <w:gridCol w:w="1559"/>
      </w:tblGrid>
      <w:tr>
        <w:trPr>
          <w:trHeight w:val="689" w:hRule="exact"/>
        </w:trPr>
        <w:tc>
          <w:tcPr>
            <w:tcW w:w="2127" w:type="dxa"/>
            <w:vMerge w:val="restart"/>
            <w:tcBorders>
              <w:top w:val="single" w:sz="15" w:space="0" w:color="000000"/>
              <w:left w:val="single" w:sz="4" w:space="0" w:color="000000"/>
              <w:right w:val="single" w:sz="4" w:space="0" w:color="000000"/>
            </w:tcBorders>
            <w:shd w:val="clear" w:color="auto" w:fill="D3D3D3"/>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5104" w:type="dxa"/>
            <w:tcBorders>
              <w:top w:val="single" w:sz="15" w:space="0" w:color="000000"/>
              <w:left w:val="single" w:sz="4" w:space="0" w:color="000000"/>
              <w:bottom w:val="single" w:sz="4" w:space="0" w:color="000000"/>
              <w:right w:val="single" w:sz="4" w:space="0" w:color="000000"/>
            </w:tcBorders>
          </w:tcPr>
          <w:p>
            <w:pPr>
              <w:pStyle w:val="TableParagraph"/>
              <w:spacing w:line="302" w:lineRule="auto" w:before="10"/>
              <w:ind w:left="23" w:right="27"/>
              <w:jc w:val="left"/>
              <w:rPr>
                <w:rFonts w:ascii="Times New Roman" w:hAnsi="Times New Roman" w:cs="Times New Roman" w:eastAsia="Times New Roman" w:hint="default"/>
                <w:sz w:val="18"/>
                <w:szCs w:val="18"/>
              </w:rPr>
            </w:pPr>
            <w:r>
              <w:rPr>
                <w:rFonts w:ascii="宋体" w:hAnsi="宋体" w:cs="宋体" w:eastAsia="宋体" w:hint="default"/>
                <w:sz w:val="18"/>
                <w:szCs w:val="18"/>
              </w:rPr>
              <w:t>金文、杜建平、傅常顺、葛晓阁和刘恩臣等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人将无条件全额承 担因此而产生的任何费用支出、经济赔偿或其他损失。</w:t>
            </w:r>
            <w:r>
              <w:rPr>
                <w:rFonts w:ascii="Times New Roman" w:hAnsi="Times New Roman" w:cs="Times New Roman" w:eastAsia="Times New Roman" w:hint="default"/>
                <w:sz w:val="18"/>
                <w:szCs w:val="18"/>
              </w:rPr>
              <w:t>"</w:t>
            </w:r>
          </w:p>
        </w:tc>
        <w:tc>
          <w:tcPr>
            <w:tcW w:w="1134"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1559" w:type="dxa"/>
            <w:tcBorders>
              <w:top w:val="single" w:sz="15" w:space="0" w:color="000000"/>
              <w:left w:val="single" w:sz="4" w:space="0" w:color="000000"/>
              <w:bottom w:val="single" w:sz="4" w:space="0" w:color="000000"/>
              <w:right w:val="single" w:sz="4" w:space="0" w:color="000000"/>
            </w:tcBorders>
          </w:tcPr>
          <w:p>
            <w:pPr/>
          </w:p>
        </w:tc>
      </w:tr>
      <w:tr>
        <w:trPr>
          <w:trHeight w:val="2274" w:hRule="exact"/>
        </w:trPr>
        <w:tc>
          <w:tcPr>
            <w:tcW w:w="2127" w:type="dxa"/>
            <w:vMerge/>
            <w:tcBorders>
              <w:left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21"/>
              <w:jc w:val="both"/>
              <w:rPr>
                <w:rFonts w:ascii="宋体" w:hAnsi="宋体" w:cs="宋体" w:eastAsia="宋体" w:hint="default"/>
                <w:sz w:val="18"/>
                <w:szCs w:val="18"/>
              </w:rPr>
            </w:pPr>
            <w:r>
              <w:rPr>
                <w:rFonts w:ascii="宋体" w:hAnsi="宋体" w:cs="宋体" w:eastAsia="宋体" w:hint="default"/>
                <w:sz w:val="18"/>
                <w:szCs w:val="18"/>
              </w:rPr>
              <w:t>公司控股股东暨 实际控制人杨维 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9"/>
              <w:jc w:val="both"/>
              <w:rPr>
                <w:rFonts w:ascii="宋体" w:hAnsi="宋体" w:cs="宋体" w:eastAsia="宋体" w:hint="default"/>
                <w:sz w:val="18"/>
                <w:szCs w:val="18"/>
              </w:rPr>
            </w:pPr>
            <w:r>
              <w:rPr>
                <w:rFonts w:ascii="宋体" w:hAnsi="宋体" w:cs="宋体" w:eastAsia="宋体" w:hint="default"/>
                <w:sz w:val="18"/>
                <w:szCs w:val="18"/>
              </w:rPr>
              <w:t>若根据有权部门的要求或决定，郑州新开普电子股份有限公司及 其控股子公司需要为员工补缴社会保险金或住房公积金，或因未 足额缴纳社会保险金或住房公积金需承担任何罚款或损失，本人 将足额补偿郑州新开普电子股份有限公司及其控股子公司因此发 生的支出或所受损失，且在承担后不向郑州新开普电子股份有限 公司或其控股子公司追偿，确保郑州新开普电子股份有限公司及 其控股子公司不会因此遭受任何损失。</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长期有效。</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84"/>
              <w:jc w:val="both"/>
              <w:rPr>
                <w:rFonts w:ascii="宋体" w:hAnsi="宋体" w:cs="宋体" w:eastAsia="宋体" w:hint="default"/>
                <w:sz w:val="18"/>
                <w:szCs w:val="18"/>
              </w:rPr>
            </w:pPr>
            <w:r>
              <w:rPr>
                <w:rFonts w:ascii="宋体" w:hAnsi="宋体" w:cs="宋体" w:eastAsia="宋体" w:hint="default"/>
                <w:sz w:val="18"/>
                <w:szCs w:val="18"/>
              </w:rPr>
              <w:t>截至报告期末，上 述承诺人严格信守 承诺，未发生违反 承诺的情况。</w:t>
            </w:r>
          </w:p>
        </w:tc>
      </w:tr>
      <w:tr>
        <w:trPr>
          <w:trHeight w:val="3210" w:hRule="exact"/>
        </w:trPr>
        <w:tc>
          <w:tcPr>
            <w:tcW w:w="2127" w:type="dxa"/>
            <w:vMerge/>
            <w:tcBorders>
              <w:left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傅常顺</w:t>
            </w:r>
            <w:r>
              <w:rPr>
                <w:rFonts w:ascii="宋体" w:hAnsi="宋体" w:cs="宋体" w:eastAsia="宋体" w:hint="default"/>
                <w:spacing w:val="-80"/>
                <w:sz w:val="18"/>
                <w:szCs w:val="18"/>
              </w:rPr>
              <w:t>、</w:t>
            </w:r>
            <w:r>
              <w:rPr>
                <w:rFonts w:ascii="宋体" w:hAnsi="宋体" w:cs="宋体" w:eastAsia="宋体" w:hint="default"/>
                <w:sz w:val="18"/>
                <w:szCs w:val="18"/>
              </w:rPr>
              <w:t>杜建平等</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名自然人股东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严格遵守《公司法》和深圳证券交易所关于上市公司董事、监事 与高级管理人员买卖本公司股份行为的相关规定，在任职期间每 年转让的股份不超过本人所持有发行人股份总数的百分之二十 五；所持发行人股份自发行人股票上市交易之日起十二个月内不 得转让；在公司首次公开发行股票上市之日起六个月内申报离职 的，自申报离职之日起十八个月内不转让本人直接持有的发行人 股份；在公司首次公开发行股票上市之日起第七个月至第十二个 月之间申报离职的，自申报离职之日起十二个月内不转让本人直 接持有的发行人股份；在离职后六个月内，不转让本人所持有的 发行人股份。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长期有效。</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84"/>
              <w:jc w:val="both"/>
              <w:rPr>
                <w:rFonts w:ascii="宋体" w:hAnsi="宋体" w:cs="宋体" w:eastAsia="宋体" w:hint="default"/>
                <w:sz w:val="18"/>
                <w:szCs w:val="18"/>
              </w:rPr>
            </w:pPr>
            <w:r>
              <w:rPr>
                <w:rFonts w:ascii="宋体" w:hAnsi="宋体" w:cs="宋体" w:eastAsia="宋体" w:hint="default"/>
                <w:sz w:val="18"/>
                <w:szCs w:val="18"/>
              </w:rPr>
              <w:t>截至报告期末，上 述承诺人严格信守 承诺，未发生违反 承诺的情况。</w:t>
            </w:r>
          </w:p>
        </w:tc>
      </w:tr>
      <w:tr>
        <w:trPr>
          <w:trHeight w:val="2274" w:hRule="exact"/>
        </w:trPr>
        <w:tc>
          <w:tcPr>
            <w:tcW w:w="2127" w:type="dxa"/>
            <w:vMerge/>
            <w:tcBorders>
              <w:left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21"/>
              <w:jc w:val="both"/>
              <w:rPr>
                <w:rFonts w:ascii="宋体" w:hAnsi="宋体" w:cs="宋体" w:eastAsia="宋体" w:hint="default"/>
                <w:sz w:val="18"/>
                <w:szCs w:val="18"/>
              </w:rPr>
            </w:pPr>
            <w:r>
              <w:rPr>
                <w:rFonts w:ascii="宋体" w:hAnsi="宋体" w:cs="宋体" w:eastAsia="宋体" w:hint="default"/>
                <w:sz w:val="18"/>
                <w:szCs w:val="18"/>
              </w:rPr>
              <w:t>公司控股股东暨 实际控制人杨维 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根据中国证监会《关于首发及再融资、重大资产重组摊薄即期回 </w:t>
            </w:r>
            <w:r>
              <w:rPr>
                <w:rFonts w:ascii="宋体" w:hAnsi="宋体" w:cs="宋体" w:eastAsia="宋体" w:hint="default"/>
                <w:spacing w:val="-5"/>
                <w:sz w:val="18"/>
                <w:szCs w:val="18"/>
              </w:rPr>
              <w:t>报有关事项的指导意见》（证监会公告</w:t>
            </w:r>
            <w:r>
              <w:rPr>
                <w:rFonts w:ascii="Times New Roman" w:hAnsi="Times New Roman" w:cs="Times New Roman" w:eastAsia="Times New Roman" w:hint="default"/>
                <w:spacing w:val="-5"/>
                <w:sz w:val="18"/>
                <w:szCs w:val="18"/>
              </w:rPr>
              <w:t>[2015]31</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号）等文件的有关</w:t>
            </w:r>
            <w:r>
              <w:rPr>
                <w:rFonts w:ascii="宋体" w:hAnsi="宋体" w:cs="宋体" w:eastAsia="宋体" w:hint="default"/>
                <w:sz w:val="18"/>
                <w:szCs w:val="18"/>
              </w:rPr>
              <w:t> </w:t>
            </w:r>
            <w:r>
              <w:rPr>
                <w:rFonts w:ascii="宋体" w:hAnsi="宋体" w:cs="宋体" w:eastAsia="宋体" w:hint="default"/>
                <w:spacing w:val="-14"/>
                <w:sz w:val="18"/>
                <w:szCs w:val="18"/>
              </w:rPr>
              <w:t>规定，公司就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年度非公开发行股票事宜对即期回报摊薄的影 响进行了认真分析，并提出了具体的填补回报措施，作为相关责 任主体，公司控股股东、实际控制人对公司填补回报措施能够得 到切实履行作出了承诺，承诺不越权干预公司经营管理活动，不 侵占公司利益。</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长期有效</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84"/>
              <w:jc w:val="both"/>
              <w:rPr>
                <w:rFonts w:ascii="宋体" w:hAnsi="宋体" w:cs="宋体" w:eastAsia="宋体" w:hint="default"/>
                <w:sz w:val="18"/>
                <w:szCs w:val="18"/>
              </w:rPr>
            </w:pPr>
            <w:r>
              <w:rPr>
                <w:rFonts w:ascii="宋体" w:hAnsi="宋体" w:cs="宋体" w:eastAsia="宋体" w:hint="default"/>
                <w:sz w:val="18"/>
                <w:szCs w:val="18"/>
              </w:rPr>
              <w:t>上述承诺人严格信 守承诺，未发生违 反承诺的情况。</w:t>
            </w:r>
          </w:p>
        </w:tc>
      </w:tr>
      <w:tr>
        <w:trPr>
          <w:trHeight w:val="1026" w:hRule="exact"/>
        </w:trPr>
        <w:tc>
          <w:tcPr>
            <w:tcW w:w="2127" w:type="dxa"/>
            <w:vMerge/>
            <w:tcBorders>
              <w:left w:val="single" w:sz="4" w:space="0" w:color="000000"/>
              <w:bottom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3" w:right="22"/>
              <w:jc w:val="left"/>
              <w:rPr>
                <w:rFonts w:ascii="宋体" w:hAnsi="宋体" w:cs="宋体" w:eastAsia="宋体" w:hint="default"/>
                <w:sz w:val="18"/>
                <w:szCs w:val="18"/>
              </w:rPr>
            </w:pPr>
            <w:r>
              <w:rPr>
                <w:rFonts w:ascii="宋体" w:hAnsi="宋体" w:cs="宋体" w:eastAsia="宋体" w:hint="default"/>
                <w:sz w:val="18"/>
                <w:szCs w:val="18"/>
              </w:rPr>
              <w:t>杨维国</w:t>
            </w:r>
            <w:r>
              <w:rPr>
                <w:rFonts w:ascii="Times New Roman" w:hAnsi="Times New Roman" w:cs="Times New Roman" w:eastAsia="Times New Roman" w:hint="default"/>
                <w:sz w:val="18"/>
                <w:szCs w:val="18"/>
              </w:rPr>
              <w:t>;</w:t>
            </w:r>
            <w:r>
              <w:rPr>
                <w:rFonts w:ascii="宋体" w:hAnsi="宋体" w:cs="宋体" w:eastAsia="宋体" w:hint="default"/>
                <w:sz w:val="18"/>
                <w:szCs w:val="18"/>
              </w:rPr>
              <w:t>付秋生</w:t>
            </w:r>
            <w:r>
              <w:rPr>
                <w:rFonts w:ascii="Times New Roman" w:hAnsi="Times New Roman" w:cs="Times New Roman" w:eastAsia="Times New Roman" w:hint="default"/>
                <w:sz w:val="18"/>
                <w:szCs w:val="18"/>
              </w:rPr>
              <w:t>;</w:t>
            </w:r>
            <w:r>
              <w:rPr>
                <w:rFonts w:ascii="宋体" w:hAnsi="宋体" w:cs="宋体" w:eastAsia="宋体" w:hint="default"/>
                <w:sz w:val="18"/>
                <w:szCs w:val="18"/>
              </w:rPr>
              <w:t>尚 卫国</w:t>
            </w:r>
            <w:r>
              <w:rPr>
                <w:rFonts w:ascii="Times New Roman" w:hAnsi="Times New Roman" w:cs="Times New Roman" w:eastAsia="Times New Roman" w:hint="default"/>
                <w:sz w:val="18"/>
                <w:szCs w:val="18"/>
              </w:rPr>
              <w:t>;</w:t>
            </w:r>
            <w:r>
              <w:rPr>
                <w:rFonts w:ascii="宋体" w:hAnsi="宋体" w:cs="宋体" w:eastAsia="宋体" w:hint="default"/>
                <w:sz w:val="18"/>
                <w:szCs w:val="18"/>
              </w:rPr>
              <w:t>罗会军</w:t>
            </w:r>
            <w:r>
              <w:rPr>
                <w:rFonts w:ascii="Times New Roman" w:hAnsi="Times New Roman" w:cs="Times New Roman" w:eastAsia="Times New Roman" w:hint="default"/>
                <w:sz w:val="18"/>
                <w:szCs w:val="18"/>
              </w:rPr>
              <w:t>;</w:t>
            </w:r>
            <w:r>
              <w:rPr>
                <w:rFonts w:ascii="宋体" w:hAnsi="宋体" w:cs="宋体" w:eastAsia="宋体" w:hint="default"/>
                <w:sz w:val="18"/>
                <w:szCs w:val="18"/>
              </w:rPr>
              <w:t>甘 勇</w:t>
            </w:r>
            <w:r>
              <w:rPr>
                <w:rFonts w:ascii="Times New Roman" w:hAnsi="Times New Roman" w:cs="Times New Roman" w:eastAsia="Times New Roman" w:hint="default"/>
                <w:sz w:val="18"/>
                <w:szCs w:val="18"/>
              </w:rPr>
              <w:t>;</w:t>
            </w:r>
            <w:r>
              <w:rPr>
                <w:rFonts w:ascii="宋体" w:hAnsi="宋体" w:cs="宋体" w:eastAsia="宋体" w:hint="default"/>
                <w:sz w:val="18"/>
                <w:szCs w:val="18"/>
              </w:rPr>
              <w:t>王世卿</w:t>
            </w:r>
            <w:r>
              <w:rPr>
                <w:rFonts w:ascii="Times New Roman" w:hAnsi="Times New Roman" w:cs="Times New Roman" w:eastAsia="Times New Roman" w:hint="default"/>
                <w:sz w:val="18"/>
                <w:szCs w:val="18"/>
              </w:rPr>
              <w:t>;</w:t>
            </w:r>
            <w:r>
              <w:rPr>
                <w:rFonts w:ascii="宋体" w:hAnsi="宋体" w:cs="宋体" w:eastAsia="宋体" w:hint="default"/>
                <w:sz w:val="18"/>
                <w:szCs w:val="18"/>
              </w:rPr>
              <w:t>赵利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71"/>
              <w:ind w:left="23" w:right="20"/>
              <w:jc w:val="both"/>
              <w:rPr>
                <w:rFonts w:ascii="宋体" w:hAnsi="宋体" w:cs="宋体" w:eastAsia="宋体" w:hint="default"/>
                <w:sz w:val="18"/>
                <w:szCs w:val="18"/>
              </w:rPr>
            </w:pPr>
            <w:r>
              <w:rPr>
                <w:rFonts w:ascii="宋体" w:hAnsi="宋体" w:cs="宋体" w:eastAsia="宋体" w:hint="default"/>
                <w:sz w:val="18"/>
                <w:szCs w:val="18"/>
              </w:rPr>
              <w:t>根据中国证监会《关于首发及再融资、重大资产重组摊薄即期回 </w:t>
            </w:r>
            <w:r>
              <w:rPr>
                <w:rFonts w:ascii="宋体" w:hAnsi="宋体" w:cs="宋体" w:eastAsia="宋体" w:hint="default"/>
                <w:spacing w:val="-5"/>
                <w:sz w:val="18"/>
                <w:szCs w:val="18"/>
              </w:rPr>
              <w:t>报有关事项的指导意见》（证监会公告</w:t>
            </w:r>
            <w:r>
              <w:rPr>
                <w:rFonts w:ascii="Times New Roman" w:hAnsi="Times New Roman" w:cs="Times New Roman" w:eastAsia="Times New Roman" w:hint="default"/>
                <w:spacing w:val="-5"/>
                <w:sz w:val="18"/>
                <w:szCs w:val="18"/>
              </w:rPr>
              <w:t>[2015]31</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号）等文件的有关</w:t>
            </w:r>
            <w:r>
              <w:rPr>
                <w:rFonts w:ascii="宋体" w:hAnsi="宋体" w:cs="宋体" w:eastAsia="宋体" w:hint="default"/>
                <w:sz w:val="18"/>
                <w:szCs w:val="18"/>
              </w:rPr>
              <w:t> </w:t>
            </w:r>
            <w:r>
              <w:rPr>
                <w:rFonts w:ascii="宋体" w:hAnsi="宋体" w:cs="宋体" w:eastAsia="宋体" w:hint="default"/>
                <w:spacing w:val="-14"/>
                <w:sz w:val="18"/>
                <w:szCs w:val="18"/>
              </w:rPr>
              <w:t>规定，公司就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年度非公开发行股票事宜对即期回报摊薄的影</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长期有效</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上述承诺人严格信 守承诺，未发生违 反承诺的情况。</w:t>
            </w:r>
          </w:p>
        </w:tc>
      </w:tr>
    </w:tbl>
    <w:p>
      <w:pPr>
        <w:spacing w:after="0" w:line="316" w:lineRule="auto"/>
        <w:jc w:val="both"/>
        <w:rPr>
          <w:rFonts w:ascii="宋体" w:hAnsi="宋体" w:cs="宋体" w:eastAsia="宋体" w:hint="default"/>
          <w:sz w:val="18"/>
          <w:szCs w:val="18"/>
        </w:rPr>
        <w:sectPr>
          <w:pgSz w:w="16840" w:h="11910" w:orient="landscape"/>
          <w:pgMar w:header="867" w:footer="978" w:top="1060" w:bottom="1160" w:left="1320" w:right="1340"/>
        </w:sectPr>
      </w:pPr>
    </w:p>
    <w:p>
      <w:pPr>
        <w:spacing w:line="240" w:lineRule="auto" w:before="4"/>
        <w:rPr>
          <w:rFonts w:ascii="Times New Roman" w:hAnsi="Times New Roman" w:cs="Times New Roman" w:eastAsia="Times New Roman" w:hint="default"/>
          <w:sz w:val="3"/>
          <w:szCs w:val="3"/>
        </w:rPr>
      </w:pPr>
      <w:r>
        <w:rPr/>
        <w:pict>
          <v:shape style="position:absolute;margin-left:357.170502pt;margin-top:57.18pt;width:260.3500pt;height:142.450pt;mso-position-horizontal-relative:page;mso-position-vertical-relative:page;z-index:-11674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21"/>
                    <w:ind w:left="0" w:right="0" w:firstLine="0"/>
                    <w:jc w:val="left"/>
                    <w:rPr>
                      <w:rFonts w:ascii="宋体" w:hAnsi="宋体" w:cs="宋体" w:eastAsia="宋体" w:hint="default"/>
                      <w:sz w:val="18"/>
                      <w:szCs w:val="18"/>
                    </w:rPr>
                  </w:pPr>
                  <w:r>
                    <w:rPr>
                      <w:rFonts w:ascii="宋体" w:hAnsi="宋体" w:cs="宋体" w:eastAsia="宋体" w:hint="default"/>
                      <w:sz w:val="18"/>
                      <w:szCs w:val="18"/>
                    </w:rPr>
                    <w:t>承诺不动用公司资产从事与其履行职责无关的投资、</w:t>
                  </w:r>
                </w:p>
              </w:txbxContent>
            </v:textbox>
            <w10:wrap type="none"/>
          </v:shape>
        </w:pict>
      </w:r>
      <w:r>
        <w:rPr/>
        <w:pict>
          <v:shape style="position:absolute;margin-left:357.170502pt;margin-top:200.100006pt;width:260.3500pt;height:191.25pt;mso-position-horizontal-relative:page;mso-position-vertical-relative:page;z-index:-11673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承诺不动用公司资产从事与其履行职责无关的投资、</w:t>
                  </w:r>
                </w:p>
              </w:txbxContent>
            </v:textbox>
            <w10:wrap type="none"/>
          </v:shape>
        </w:pict>
      </w:r>
      <w:r>
        <w:rPr/>
        <w:pict>
          <v:group style="position:absolute;margin-left:561.291016pt;margin-top:57.18pt;width:56.25pt;height:334.15pt;mso-position-horizontal-relative:page;mso-position-vertical-relative:page;z-index:-1167352" coordorigin="11226,1144" coordsize="1125,6683">
            <v:group style="position:absolute;left:11226;top:1144;width:1125;height:2849" coordorigin="11226,1144" coordsize="1125,2849">
              <v:shape style="position:absolute;left:11226;top:1144;width:1125;height:2849" coordorigin="11226,1144" coordsize="1125,2849" path="m11226,1144l11226,3992,12350,3992,12350,1144,11226,1144xe" filled="true" fillcolor="#ffffff" stroked="false">
                <v:path arrowok="t"/>
                <v:fill type="solid"/>
              </v:shape>
            </v:group>
            <v:group style="position:absolute;left:11226;top:4002;width:1125;height:3825" coordorigin="11226,4002" coordsize="1125,3825">
              <v:shape style="position:absolute;left:11226;top:4002;width:1125;height:3825" coordorigin="11226,4002" coordsize="1125,3825" path="m11226,4002l11226,7826,12350,7826,12350,4002,11226,4002xe" filled="true" fillcolor="#ffffff" stroked="false">
                <v:path arrowok="t"/>
                <v:fill type="solid"/>
              </v:shape>
            </v:group>
            <v:group style="position:absolute;left:11249;top:5562;width:1078;height:352" coordorigin="11249,5562" coordsize="1078,352">
              <v:shape style="position:absolute;left:11249;top:5562;width:1078;height:352" coordorigin="11249,5562" coordsize="1078,352" path="m11249,5562l11249,5914,12326,5914,12326,5562,11249,5562xe" filled="true" fillcolor="#ffffff" stroked="false">
                <v:path arrowok="t"/>
                <v:fill type="solid"/>
              </v:shape>
            </v:group>
            <v:group style="position:absolute;left:11249;top:5914;width:1078;height:353" coordorigin="11249,5914" coordsize="1078,353">
              <v:shape style="position:absolute;left:11249;top:5914;width:1078;height:353" coordorigin="11249,5914" coordsize="1078,353" path="m11249,5914l11249,6266,12326,6266,12326,5914,11249,5914xe" filled="true" fillcolor="#ffffff" stroked="false">
                <v:path arrowok="t"/>
                <v:fill type="solid"/>
              </v:shape>
            </v:group>
            <w10:wrap type="none"/>
          </v:group>
        </w:pict>
      </w:r>
      <w:r>
        <w:rPr/>
        <w:pict>
          <v:group style="position:absolute;margin-left:561.291016pt;margin-top:411.899994pt;width:56.25pt;height:111.2pt;mso-position-horizontal-relative:page;mso-position-vertical-relative:page;z-index:-1167328" coordorigin="11226,8238" coordsize="1125,2224">
            <v:group style="position:absolute;left:11226;top:8238;width:1125;height:2224" coordorigin="11226,8238" coordsize="1125,2224">
              <v:shape style="position:absolute;left:11226;top:8238;width:1125;height:2224" coordorigin="11226,8238" coordsize="1125,2224" path="m11226,8238l11226,10462,12350,10462,12350,8238,11226,8238xe" filled="true" fillcolor="#ffffff" stroked="false">
                <v:path arrowok="t"/>
                <v:fill type="solid"/>
              </v:shape>
            </v:group>
            <v:group style="position:absolute;left:11249;top:8998;width:1078;height:353" coordorigin="11249,8998" coordsize="1078,353">
              <v:shape style="position:absolute;left:11249;top:8998;width:1078;height:353" coordorigin="11249,8998" coordsize="1078,353" path="m11249,8998l11249,9350,12326,9350,12326,8998,11249,8998xe" filled="true" fillcolor="#ffffff" stroked="false">
                <v:path arrowok="t"/>
                <v:fill type="solid"/>
              </v:shape>
            </v:group>
            <v:group style="position:absolute;left:11249;top:9350;width:1078;height:352" coordorigin="11249,9350" coordsize="1078,352">
              <v:shape style="position:absolute;left:11249;top:9350;width:1078;height:352" coordorigin="11249,9350" coordsize="1078,352" path="m11249,9350l11249,9702,12326,9702,12326,9350,11249,9350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2127"/>
        <w:gridCol w:w="1417"/>
        <w:gridCol w:w="1134"/>
        <w:gridCol w:w="5104"/>
        <w:gridCol w:w="1134"/>
        <w:gridCol w:w="1418"/>
        <w:gridCol w:w="1559"/>
      </w:tblGrid>
      <w:tr>
        <w:trPr>
          <w:trHeight w:val="336" w:hRule="exact"/>
        </w:trPr>
        <w:tc>
          <w:tcPr>
            <w:tcW w:w="2127" w:type="dxa"/>
            <w:vMerge w:val="restart"/>
            <w:tcBorders>
              <w:top w:val="single" w:sz="15" w:space="0" w:color="000000"/>
              <w:left w:val="single" w:sz="4" w:space="0" w:color="000000"/>
              <w:right w:val="single" w:sz="4" w:space="0" w:color="000000"/>
            </w:tcBorders>
            <w:shd w:val="clear" w:color="auto" w:fill="D3D3D3"/>
          </w:tcPr>
          <w:p>
            <w:pPr/>
          </w:p>
        </w:tc>
        <w:tc>
          <w:tcPr>
            <w:tcW w:w="1417"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宾</w:t>
            </w:r>
            <w:r>
              <w:rPr>
                <w:rFonts w:ascii="Times New Roman" w:hAnsi="Times New Roman" w:cs="Times New Roman" w:eastAsia="Times New Roman" w:hint="default"/>
                <w:sz w:val="18"/>
                <w:szCs w:val="18"/>
              </w:rPr>
              <w:t>;</w:t>
            </w:r>
            <w:r>
              <w:rPr>
                <w:rFonts w:ascii="宋体" w:hAnsi="宋体" w:cs="宋体" w:eastAsia="宋体" w:hint="default"/>
                <w:sz w:val="18"/>
                <w:szCs w:val="18"/>
              </w:rPr>
              <w:t>祝田山</w:t>
            </w:r>
            <w:r>
              <w:rPr>
                <w:rFonts w:ascii="Times New Roman" w:hAnsi="Times New Roman" w:cs="Times New Roman" w:eastAsia="Times New Roman" w:hint="default"/>
                <w:sz w:val="18"/>
                <w:szCs w:val="18"/>
              </w:rPr>
              <w:t>;</w:t>
            </w:r>
            <w:r>
              <w:rPr>
                <w:rFonts w:ascii="宋体" w:hAnsi="宋体" w:cs="宋体" w:eastAsia="宋体" w:hint="default"/>
                <w:sz w:val="18"/>
                <w:szCs w:val="18"/>
              </w:rPr>
              <w:t>华梦</w:t>
            </w:r>
          </w:p>
        </w:tc>
        <w:tc>
          <w:tcPr>
            <w:tcW w:w="1134" w:type="dxa"/>
            <w:vMerge w:val="restart"/>
            <w:tcBorders>
              <w:top w:val="single" w:sz="15" w:space="0" w:color="000000"/>
              <w:left w:val="single" w:sz="4" w:space="0" w:color="000000"/>
              <w:right w:val="single" w:sz="4" w:space="0" w:color="000000"/>
            </w:tcBorders>
          </w:tcPr>
          <w:p>
            <w:pPr/>
          </w:p>
        </w:tc>
        <w:tc>
          <w:tcPr>
            <w:tcW w:w="5104"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响进行了认真分析，并提出了具体的填补回报措施，作为相关责</w:t>
            </w:r>
          </w:p>
        </w:tc>
        <w:tc>
          <w:tcPr>
            <w:tcW w:w="1134" w:type="dxa"/>
            <w:vMerge w:val="restart"/>
            <w:tcBorders>
              <w:top w:val="single" w:sz="15" w:space="0" w:color="000000"/>
              <w:left w:val="single" w:sz="4" w:space="0" w:color="000000"/>
              <w:right w:val="single" w:sz="4" w:space="0" w:color="000000"/>
            </w:tcBorders>
          </w:tcPr>
          <w:p>
            <w:pPr/>
          </w:p>
        </w:tc>
        <w:tc>
          <w:tcPr>
            <w:tcW w:w="1418" w:type="dxa"/>
            <w:vMerge w:val="restart"/>
            <w:tcBorders>
              <w:top w:val="single" w:sz="15" w:space="0" w:color="000000"/>
              <w:left w:val="single" w:sz="4" w:space="0" w:color="000000"/>
              <w:right w:val="single" w:sz="4" w:space="0" w:color="000000"/>
            </w:tcBorders>
          </w:tcPr>
          <w:p>
            <w:pPr/>
          </w:p>
        </w:tc>
        <w:tc>
          <w:tcPr>
            <w:tcW w:w="1559" w:type="dxa"/>
            <w:vMerge w:val="restart"/>
            <w:tcBorders>
              <w:top w:val="single" w:sz="15" w:space="0" w:color="000000"/>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阳</w:t>
            </w:r>
            <w:r>
              <w:rPr>
                <w:rFonts w:ascii="Times New Roman" w:hAnsi="Times New Roman" w:cs="Times New Roman" w:eastAsia="Times New Roman" w:hint="default"/>
                <w:sz w:val="18"/>
                <w:szCs w:val="18"/>
              </w:rPr>
              <w:t>;</w:t>
            </w:r>
            <w:r>
              <w:rPr>
                <w:rFonts w:ascii="宋体" w:hAnsi="宋体" w:cs="宋体" w:eastAsia="宋体" w:hint="default"/>
                <w:sz w:val="18"/>
                <w:szCs w:val="18"/>
              </w:rPr>
              <w:t>李玉玲</w:t>
            </w:r>
            <w:r>
              <w:rPr>
                <w:rFonts w:ascii="Times New Roman" w:hAnsi="Times New Roman" w:cs="Times New Roman" w:eastAsia="Times New Roman" w:hint="default"/>
                <w:sz w:val="18"/>
                <w:szCs w:val="18"/>
              </w:rPr>
              <w:t>;</w:t>
            </w:r>
            <w:r>
              <w:rPr>
                <w:rFonts w:ascii="宋体" w:hAnsi="宋体" w:cs="宋体" w:eastAsia="宋体" w:hint="default"/>
                <w:sz w:val="18"/>
                <w:szCs w:val="18"/>
              </w:rPr>
              <w:t>傅常</w:t>
            </w: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任主体，公司全体董事、高级管理人员对公司填补回报措施能够</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3"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顺</w:t>
            </w:r>
            <w:r>
              <w:rPr>
                <w:rFonts w:ascii="Times New Roman" w:hAnsi="Times New Roman" w:cs="Times New Roman" w:eastAsia="Times New Roman" w:hint="default"/>
                <w:sz w:val="18"/>
                <w:szCs w:val="18"/>
              </w:rPr>
              <w:t>;</w:t>
            </w:r>
            <w:r>
              <w:rPr>
                <w:rFonts w:ascii="宋体" w:hAnsi="宋体" w:cs="宋体" w:eastAsia="宋体" w:hint="default"/>
                <w:sz w:val="18"/>
                <w:szCs w:val="18"/>
              </w:rPr>
              <w:t>杜建平</w:t>
            </w:r>
            <w:r>
              <w:rPr>
                <w:rFonts w:ascii="Times New Roman" w:hAnsi="Times New Roman" w:cs="Times New Roman" w:eastAsia="Times New Roman" w:hint="default"/>
                <w:sz w:val="18"/>
                <w:szCs w:val="18"/>
              </w:rPr>
              <w:t>;</w:t>
            </w:r>
            <w:r>
              <w:rPr>
                <w:rFonts w:ascii="宋体" w:hAnsi="宋体" w:cs="宋体" w:eastAsia="宋体" w:hint="default"/>
                <w:sz w:val="18"/>
                <w:szCs w:val="18"/>
              </w:rPr>
              <w:t>刘永春</w:t>
            </w: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得到切实履行作出了承诺</w:t>
            </w:r>
            <w:r>
              <w:rPr>
                <w:rFonts w:ascii="宋体" w:hAnsi="宋体" w:cs="宋体" w:eastAsia="宋体" w:hint="default"/>
                <w:spacing w:val="-28"/>
                <w:sz w:val="18"/>
                <w:szCs w:val="18"/>
              </w:rPr>
              <w:t>，</w:t>
            </w:r>
            <w:r>
              <w:rPr>
                <w:rFonts w:ascii="宋体" w:hAnsi="宋体" w:cs="宋体" w:eastAsia="宋体" w:hint="default"/>
                <w:sz w:val="18"/>
                <w:szCs w:val="18"/>
              </w:rPr>
              <w:t>具体承诺如下</w:t>
            </w:r>
            <w:r>
              <w:rPr>
                <w:rFonts w:ascii="宋体" w:hAnsi="宋体" w:cs="宋体" w:eastAsia="宋体" w:hint="default"/>
                <w:spacing w:val="-118"/>
                <w:sz w:val="18"/>
                <w:szCs w:val="18"/>
              </w:rPr>
              <w:t>：</w:t>
            </w:r>
            <w:r>
              <w:rPr>
                <w:rFonts w:ascii="宋体" w:hAnsi="宋体" w:cs="宋体" w:eastAsia="宋体" w:hint="default"/>
                <w:sz w:val="18"/>
                <w:szCs w:val="18"/>
              </w:rPr>
              <w:t>（一</w:t>
            </w:r>
            <w:r>
              <w:rPr>
                <w:rFonts w:ascii="宋体" w:hAnsi="宋体" w:cs="宋体" w:eastAsia="宋体" w:hint="default"/>
                <w:spacing w:val="-28"/>
                <w:sz w:val="18"/>
                <w:szCs w:val="18"/>
              </w:rPr>
              <w:t>）</w:t>
            </w:r>
            <w:r>
              <w:rPr>
                <w:rFonts w:ascii="宋体" w:hAnsi="宋体" w:cs="宋体" w:eastAsia="宋体" w:hint="default"/>
                <w:sz w:val="18"/>
                <w:szCs w:val="18"/>
              </w:rPr>
              <w:t>承诺不无偿或以</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06"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不公平条件向其他单位或者个人输送利益，也不采用其他方式损</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害公司利益</w:t>
            </w:r>
            <w:r>
              <w:rPr>
                <w:rFonts w:ascii="宋体" w:hAnsi="宋体" w:cs="宋体" w:eastAsia="宋体" w:hint="default"/>
                <w:spacing w:val="-132"/>
                <w:sz w:val="18"/>
                <w:szCs w:val="18"/>
              </w:rPr>
              <w:t>。</w:t>
            </w:r>
            <w:r>
              <w:rPr>
                <w:rFonts w:ascii="宋体" w:hAnsi="宋体" w:cs="宋体" w:eastAsia="宋体" w:hint="default"/>
                <w:sz w:val="18"/>
                <w:szCs w:val="18"/>
              </w:rPr>
              <w:t>（二</w:t>
            </w:r>
            <w:r>
              <w:rPr>
                <w:rFonts w:ascii="宋体" w:hAnsi="宋体" w:cs="宋体" w:eastAsia="宋体" w:hint="default"/>
                <w:spacing w:val="-42"/>
                <w:sz w:val="18"/>
                <w:szCs w:val="18"/>
              </w:rPr>
              <w:t>）</w:t>
            </w:r>
            <w:r>
              <w:rPr>
                <w:rFonts w:ascii="宋体" w:hAnsi="宋体" w:cs="宋体" w:eastAsia="宋体" w:hint="default"/>
                <w:sz w:val="18"/>
                <w:szCs w:val="18"/>
              </w:rPr>
              <w:t>承诺对董事和高级管理人员的职务消费行为进</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行约束</w:t>
            </w:r>
            <w:r>
              <w:rPr>
                <w:rFonts w:ascii="宋体" w:hAnsi="宋体" w:cs="宋体" w:eastAsia="宋体" w:hint="default"/>
                <w:spacing w:val="-177"/>
                <w:sz w:val="18"/>
                <w:szCs w:val="18"/>
              </w:rPr>
              <w:t>。</w:t>
            </w:r>
            <w:r>
              <w:rPr>
                <w:rFonts w:ascii="宋体" w:hAnsi="宋体" w:cs="宋体" w:eastAsia="宋体" w:hint="default"/>
                <w:sz w:val="18"/>
                <w:szCs w:val="18"/>
              </w:rPr>
              <w:t>（三）</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消费活动</w:t>
            </w:r>
            <w:r>
              <w:rPr>
                <w:rFonts w:ascii="宋体" w:hAnsi="宋体" w:cs="宋体" w:eastAsia="宋体" w:hint="default"/>
                <w:spacing w:val="-132"/>
                <w:sz w:val="18"/>
                <w:szCs w:val="18"/>
              </w:rPr>
              <w:t>。</w:t>
            </w:r>
            <w:r>
              <w:rPr>
                <w:rFonts w:ascii="宋体" w:hAnsi="宋体" w:cs="宋体" w:eastAsia="宋体" w:hint="default"/>
                <w:sz w:val="18"/>
                <w:szCs w:val="18"/>
              </w:rPr>
              <w:t>（四</w:t>
            </w:r>
            <w:r>
              <w:rPr>
                <w:rFonts w:ascii="宋体" w:hAnsi="宋体" w:cs="宋体" w:eastAsia="宋体" w:hint="default"/>
                <w:spacing w:val="-42"/>
                <w:sz w:val="18"/>
                <w:szCs w:val="18"/>
              </w:rPr>
              <w:t>）</w:t>
            </w:r>
            <w:r>
              <w:rPr>
                <w:rFonts w:ascii="宋体" w:hAnsi="宋体" w:cs="宋体" w:eastAsia="宋体" w:hint="default"/>
                <w:sz w:val="18"/>
                <w:szCs w:val="18"/>
              </w:rPr>
              <w:t>承诺由董事会或薪酬委员会制定的薪酬制度与公</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13"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司填补回报措施的执行情况相挂钩</w:t>
            </w:r>
            <w:r>
              <w:rPr>
                <w:rFonts w:ascii="宋体" w:hAnsi="宋体" w:cs="宋体" w:eastAsia="宋体" w:hint="default"/>
                <w:spacing w:val="-132"/>
                <w:sz w:val="18"/>
                <w:szCs w:val="18"/>
              </w:rPr>
              <w:t>。</w:t>
            </w:r>
            <w:r>
              <w:rPr>
                <w:rFonts w:ascii="宋体" w:hAnsi="宋体" w:cs="宋体" w:eastAsia="宋体" w:hint="default"/>
                <w:sz w:val="18"/>
                <w:szCs w:val="18"/>
              </w:rPr>
              <w:t>（五</w:t>
            </w:r>
            <w:r>
              <w:rPr>
                <w:rFonts w:ascii="宋体" w:hAnsi="宋体" w:cs="宋体" w:eastAsia="宋体" w:hint="default"/>
                <w:spacing w:val="-41"/>
                <w:sz w:val="18"/>
                <w:szCs w:val="18"/>
              </w:rPr>
              <w:t>）</w:t>
            </w:r>
            <w:r>
              <w:rPr>
                <w:rFonts w:ascii="宋体" w:hAnsi="宋体" w:cs="宋体" w:eastAsia="宋体" w:hint="default"/>
                <w:sz w:val="18"/>
                <w:szCs w:val="18"/>
              </w:rPr>
              <w:t>承诺拟公布的公司股权</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57"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51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激励的行权条件与公司填补回报措施的执行情况相挂钩。</w:t>
            </w:r>
          </w:p>
        </w:tc>
        <w:tc>
          <w:tcPr>
            <w:tcW w:w="1134"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r>
      <w:tr>
        <w:trPr>
          <w:trHeight w:val="357" w:hRule="exact"/>
        </w:trPr>
        <w:tc>
          <w:tcPr>
            <w:tcW w:w="2127" w:type="dxa"/>
            <w:vMerge/>
            <w:tcBorders>
              <w:left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51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根据中国证监会《关于首发及再融资、重大资产重组摊薄即期回</w:t>
            </w:r>
          </w:p>
        </w:tc>
        <w:tc>
          <w:tcPr>
            <w:tcW w:w="1134"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报有关事项的指导意见</w:t>
            </w:r>
            <w:r>
              <w:rPr>
                <w:rFonts w:ascii="宋体" w:hAnsi="宋体" w:cs="宋体" w:eastAsia="宋体" w:hint="default"/>
                <w:spacing w:val="-124"/>
                <w:sz w:val="18"/>
                <w:szCs w:val="18"/>
              </w:rPr>
              <w:t>》</w:t>
            </w:r>
            <w:r>
              <w:rPr>
                <w:rFonts w:ascii="宋体" w:hAnsi="宋体" w:cs="宋体" w:eastAsia="宋体" w:hint="default"/>
                <w:sz w:val="18"/>
                <w:szCs w:val="18"/>
              </w:rPr>
              <w:t>（证监会公告</w:t>
            </w:r>
            <w:r>
              <w:rPr>
                <w:rFonts w:ascii="Times New Roman" w:hAnsi="Times New Roman" w:cs="Times New Roman" w:eastAsia="Times New Roman" w:hint="default"/>
                <w:sz w:val="18"/>
                <w:szCs w:val="18"/>
              </w:rPr>
              <w:t>[2015]31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34"/>
                <w:sz w:val="18"/>
                <w:szCs w:val="18"/>
              </w:rPr>
              <w:t>）</w:t>
            </w:r>
            <w:r>
              <w:rPr>
                <w:rFonts w:ascii="宋体" w:hAnsi="宋体" w:cs="宋体" w:eastAsia="宋体" w:hint="default"/>
                <w:sz w:val="18"/>
                <w:szCs w:val="18"/>
              </w:rPr>
              <w:t>等文件的有关</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规定</w:t>
            </w:r>
            <w:r>
              <w:rPr>
                <w:rFonts w:ascii="宋体" w:hAnsi="宋体" w:cs="宋体" w:eastAsia="宋体" w:hint="default"/>
                <w:spacing w:val="-83"/>
                <w:sz w:val="18"/>
                <w:szCs w:val="18"/>
              </w:rPr>
              <w:t>，</w:t>
            </w:r>
            <w:r>
              <w:rPr>
                <w:rFonts w:ascii="宋体" w:hAnsi="宋体" w:cs="宋体" w:eastAsia="宋体" w:hint="default"/>
                <w:sz w:val="18"/>
                <w:szCs w:val="18"/>
              </w:rPr>
              <w:t>公司就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年度非公开发行股票事宜对即期回报摊薄的影</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响进行了认真分析，并提出了具体的填补回报措施，作为相关责</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王玉辉</w:t>
            </w:r>
            <w:r>
              <w:rPr>
                <w:rFonts w:ascii="Times New Roman" w:hAnsi="Times New Roman" w:cs="Times New Roman" w:eastAsia="Times New Roman" w:hint="default"/>
                <w:sz w:val="18"/>
                <w:szCs w:val="18"/>
              </w:rPr>
              <w:t>;</w:t>
            </w:r>
            <w:r>
              <w:rPr>
                <w:rFonts w:ascii="宋体" w:hAnsi="宋体" w:cs="宋体" w:eastAsia="宋体" w:hint="default"/>
                <w:sz w:val="18"/>
                <w:szCs w:val="18"/>
              </w:rPr>
              <w:t>张英瑶</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both"/>
              <w:rPr>
                <w:rFonts w:ascii="宋体" w:hAnsi="宋体" w:cs="宋体" w:eastAsia="宋体" w:hint="default"/>
                <w:sz w:val="18"/>
                <w:szCs w:val="18"/>
              </w:rPr>
            </w:pPr>
            <w:r>
              <w:rPr>
                <w:rFonts w:ascii="宋体" w:hAnsi="宋体" w:cs="宋体" w:eastAsia="宋体" w:hint="default"/>
                <w:sz w:val="18"/>
                <w:szCs w:val="18"/>
              </w:rPr>
              <w:t>任主体，公司全体董事、高级管理人员对公司填补回报措施能够 </w:t>
            </w:r>
            <w:r>
              <w:rPr>
                <w:rFonts w:ascii="宋体" w:hAnsi="宋体" w:cs="宋体" w:eastAsia="宋体" w:hint="default"/>
                <w:spacing w:val="-6"/>
                <w:sz w:val="18"/>
                <w:szCs w:val="18"/>
              </w:rPr>
              <w:t>得到切实履行作出了承诺，具体承诺如下：（一）承诺不无偿或以</w:t>
            </w:r>
            <w:r>
              <w:rPr>
                <w:rFonts w:ascii="宋体" w:hAnsi="宋体" w:cs="宋体" w:eastAsia="宋体" w:hint="default"/>
                <w:sz w:val="18"/>
                <w:szCs w:val="18"/>
              </w:rPr>
              <w:t> 不公平条件向其他单位或者个人输送利益，也不采用其他方式损 </w:t>
            </w:r>
            <w:r>
              <w:rPr>
                <w:rFonts w:ascii="宋体" w:hAnsi="宋体" w:cs="宋体" w:eastAsia="宋体" w:hint="default"/>
                <w:spacing w:val="-6"/>
                <w:sz w:val="18"/>
                <w:szCs w:val="18"/>
              </w:rPr>
              <w:t>害公司利益。（二）承诺对董事和高级管理人员的职务消费行为进</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长期有效</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84"/>
              <w:jc w:val="both"/>
              <w:rPr>
                <w:rFonts w:ascii="宋体" w:hAnsi="宋体" w:cs="宋体" w:eastAsia="宋体" w:hint="default"/>
                <w:sz w:val="18"/>
                <w:szCs w:val="18"/>
              </w:rPr>
            </w:pPr>
            <w:r>
              <w:rPr>
                <w:rFonts w:ascii="宋体" w:hAnsi="宋体" w:cs="宋体" w:eastAsia="宋体" w:hint="default"/>
                <w:sz w:val="18"/>
                <w:szCs w:val="18"/>
              </w:rPr>
              <w:t>上述承诺人严格信 守承诺，未发生违 反承诺的情况。</w:t>
            </w: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行约束</w:t>
            </w:r>
            <w:r>
              <w:rPr>
                <w:rFonts w:ascii="宋体" w:hAnsi="宋体" w:cs="宋体" w:eastAsia="宋体" w:hint="default"/>
                <w:spacing w:val="-177"/>
                <w:sz w:val="18"/>
                <w:szCs w:val="18"/>
              </w:rPr>
              <w:t>。</w:t>
            </w:r>
            <w:r>
              <w:rPr>
                <w:rFonts w:ascii="宋体" w:hAnsi="宋体" w:cs="宋体" w:eastAsia="宋体" w:hint="default"/>
                <w:sz w:val="18"/>
                <w:szCs w:val="18"/>
              </w:rPr>
              <w:t>（三）</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消费活动</w:t>
            </w:r>
            <w:r>
              <w:rPr>
                <w:rFonts w:ascii="宋体" w:hAnsi="宋体" w:cs="宋体" w:eastAsia="宋体" w:hint="default"/>
                <w:spacing w:val="-132"/>
                <w:sz w:val="18"/>
                <w:szCs w:val="18"/>
              </w:rPr>
              <w:t>。</w:t>
            </w:r>
            <w:r>
              <w:rPr>
                <w:rFonts w:ascii="宋体" w:hAnsi="宋体" w:cs="宋体" w:eastAsia="宋体" w:hint="default"/>
                <w:sz w:val="18"/>
                <w:szCs w:val="18"/>
              </w:rPr>
              <w:t>（四</w:t>
            </w:r>
            <w:r>
              <w:rPr>
                <w:rFonts w:ascii="宋体" w:hAnsi="宋体" w:cs="宋体" w:eastAsia="宋体" w:hint="default"/>
                <w:spacing w:val="-42"/>
                <w:sz w:val="18"/>
                <w:szCs w:val="18"/>
              </w:rPr>
              <w:t>）</w:t>
            </w:r>
            <w:r>
              <w:rPr>
                <w:rFonts w:ascii="宋体" w:hAnsi="宋体" w:cs="宋体" w:eastAsia="宋体" w:hint="default"/>
                <w:sz w:val="18"/>
                <w:szCs w:val="18"/>
              </w:rPr>
              <w:t>承诺由董事会或薪酬委员会制定的薪酬制度与公</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司填补回报措施的执行情况相挂钩</w:t>
            </w:r>
            <w:r>
              <w:rPr>
                <w:rFonts w:ascii="宋体" w:hAnsi="宋体" w:cs="宋体" w:eastAsia="宋体" w:hint="default"/>
                <w:spacing w:val="-132"/>
                <w:sz w:val="18"/>
                <w:szCs w:val="18"/>
              </w:rPr>
              <w:t>。</w:t>
            </w:r>
            <w:r>
              <w:rPr>
                <w:rFonts w:ascii="宋体" w:hAnsi="宋体" w:cs="宋体" w:eastAsia="宋体" w:hint="default"/>
                <w:sz w:val="18"/>
                <w:szCs w:val="18"/>
              </w:rPr>
              <w:t>（五</w:t>
            </w:r>
            <w:r>
              <w:rPr>
                <w:rFonts w:ascii="宋体" w:hAnsi="宋体" w:cs="宋体" w:eastAsia="宋体" w:hint="default"/>
                <w:spacing w:val="-41"/>
                <w:sz w:val="18"/>
                <w:szCs w:val="18"/>
              </w:rPr>
              <w:t>）</w:t>
            </w:r>
            <w:r>
              <w:rPr>
                <w:rFonts w:ascii="宋体" w:hAnsi="宋体" w:cs="宋体" w:eastAsia="宋体" w:hint="default"/>
                <w:sz w:val="18"/>
                <w:szCs w:val="18"/>
              </w:rPr>
              <w:t>承诺拟公布的公司股权</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127" w:type="dxa"/>
            <w:vMerge/>
            <w:tcBorders>
              <w:left w:val="single" w:sz="4" w:space="0" w:color="000000"/>
              <w:bottom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1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激励的行权条件与公司填补回报措施的执行情况相挂钩。</w:t>
            </w:r>
          </w:p>
        </w:tc>
        <w:tc>
          <w:tcPr>
            <w:tcW w:w="1134"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10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127" w:type="dxa"/>
            <w:tcBorders>
              <w:top w:val="single" w:sz="4" w:space="0" w:color="000000"/>
              <w:left w:val="single" w:sz="4" w:space="0" w:color="000000"/>
              <w:bottom w:val="nil" w:sz="6" w:space="0" w:color="auto"/>
              <w:right w:val="single" w:sz="4" w:space="0" w:color="000000"/>
            </w:tcBorders>
            <w:shd w:val="clear" w:color="auto" w:fill="D3D3D3"/>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51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pacing w:val="-6"/>
                <w:sz w:val="18"/>
                <w:szCs w:val="18"/>
              </w:rPr>
              <w:t>日，公司第三届董事会第八次会议审议通过了《关</w:t>
            </w:r>
          </w:p>
        </w:tc>
        <w:tc>
          <w:tcPr>
            <w:tcW w:w="1134"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r>
      <w:tr>
        <w:trPr>
          <w:trHeight w:val="1559" w:hRule="exact"/>
        </w:trPr>
        <w:tc>
          <w:tcPr>
            <w:tcW w:w="21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9" w:lineRule="auto"/>
              <w:ind w:left="22" w:right="112"/>
              <w:jc w:val="left"/>
              <w:rPr>
                <w:rFonts w:ascii="宋体" w:hAnsi="宋体" w:cs="宋体" w:eastAsia="宋体" w:hint="default"/>
                <w:sz w:val="18"/>
                <w:szCs w:val="18"/>
              </w:rPr>
            </w:pPr>
            <w:r>
              <w:rPr>
                <w:rFonts w:ascii="宋体" w:hAnsi="宋体" w:cs="宋体" w:eastAsia="宋体" w:hint="default"/>
                <w:sz w:val="18"/>
                <w:szCs w:val="18"/>
              </w:rPr>
              <w:t>其他对公司中小股东所作 承诺</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9" w:lineRule="auto"/>
              <w:ind w:left="23" w:right="121"/>
              <w:jc w:val="left"/>
              <w:rPr>
                <w:rFonts w:ascii="宋体" w:hAnsi="宋体" w:cs="宋体" w:eastAsia="宋体" w:hint="default"/>
                <w:sz w:val="18"/>
                <w:szCs w:val="18"/>
              </w:rPr>
            </w:pPr>
            <w:r>
              <w:rPr>
                <w:rFonts w:ascii="宋体" w:hAnsi="宋体" w:cs="宋体" w:eastAsia="宋体" w:hint="default"/>
                <w:sz w:val="18"/>
                <w:szCs w:val="18"/>
              </w:rPr>
              <w:t>新开普电子股份 有限公司</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9" w:lineRule="auto"/>
              <w:ind w:left="23" w:right="198"/>
              <w:jc w:val="left"/>
              <w:rPr>
                <w:rFonts w:ascii="宋体" w:hAnsi="宋体" w:cs="宋体" w:eastAsia="宋体" w:hint="default"/>
                <w:sz w:val="18"/>
                <w:szCs w:val="18"/>
              </w:rPr>
            </w:pPr>
            <w:r>
              <w:rPr>
                <w:rFonts w:ascii="宋体" w:hAnsi="宋体" w:cs="宋体" w:eastAsia="宋体" w:hint="default"/>
                <w:sz w:val="18"/>
                <w:szCs w:val="18"/>
              </w:rPr>
              <w:t>募集资金使 用承诺</w:t>
            </w: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307" w:lineRule="auto" w:before="5"/>
              <w:ind w:left="23" w:right="20"/>
              <w:jc w:val="left"/>
              <w:rPr>
                <w:rFonts w:ascii="宋体" w:hAnsi="宋体" w:cs="宋体" w:eastAsia="宋体" w:hint="default"/>
                <w:sz w:val="18"/>
                <w:szCs w:val="18"/>
              </w:rPr>
            </w:pPr>
            <w:r>
              <w:rPr>
                <w:rFonts w:ascii="宋体" w:hAnsi="宋体" w:cs="宋体" w:eastAsia="宋体" w:hint="default"/>
                <w:spacing w:val="-4"/>
                <w:sz w:val="18"/>
                <w:szCs w:val="18"/>
              </w:rPr>
              <w:t>于募集资金投资项目结项及结余资金永久补充流动资金的议案》</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同意对公司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智能一卡通整体解决方案技术升级及产业化项目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2"/>
                <w:sz w:val="18"/>
                <w:szCs w:val="18"/>
              </w:rPr>
              <w:t> </w:t>
            </w:r>
            <w:r>
              <w:rPr>
                <w:rFonts w:ascii="宋体" w:hAnsi="宋体" w:cs="宋体" w:eastAsia="宋体" w:hint="default"/>
                <w:spacing w:val="-2"/>
                <w:sz w:val="18"/>
                <w:szCs w:val="18"/>
              </w:rPr>
              <w:t>研发中心升级扩建项目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营销与客服网络扩建项目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三个募集资</w:t>
            </w:r>
            <w:r>
              <w:rPr>
                <w:rFonts w:ascii="宋体" w:hAnsi="宋体" w:cs="宋体" w:eastAsia="宋体" w:hint="default"/>
                <w:spacing w:val="-67"/>
                <w:sz w:val="18"/>
                <w:szCs w:val="18"/>
              </w:rPr>
              <w:t> </w:t>
            </w:r>
            <w:r>
              <w:rPr>
                <w:rFonts w:ascii="宋体" w:hAnsi="宋体" w:cs="宋体" w:eastAsia="宋体" w:hint="default"/>
                <w:sz w:val="18"/>
                <w:szCs w:val="18"/>
              </w:rPr>
              <w:t>金投资项目进行结项，并将账户剩余的募集资金共计约</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926.24</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w:t>
            </w:r>
          </w:p>
          <w:p>
            <w:pPr>
              <w:pStyle w:val="TableParagraph"/>
              <w:spacing w:line="240" w:lineRule="auto" w:before="7"/>
              <w:ind w:left="23" w:right="0"/>
              <w:jc w:val="left"/>
              <w:rPr>
                <w:rFonts w:ascii="宋体" w:hAnsi="宋体" w:cs="宋体" w:eastAsia="宋体" w:hint="default"/>
                <w:sz w:val="18"/>
                <w:szCs w:val="18"/>
              </w:rPr>
            </w:pPr>
            <w:r>
              <w:rPr>
                <w:rFonts w:ascii="宋体" w:hAnsi="宋体" w:cs="宋体" w:eastAsia="宋体" w:hint="default"/>
                <w:spacing w:val="-4"/>
                <w:sz w:val="18"/>
                <w:szCs w:val="18"/>
              </w:rPr>
              <w:t>元（含节余资金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117.74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万元、应付未付金额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808.50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万元）永久性</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319" w:lineRule="auto" w:before="141"/>
              <w:ind w:left="22" w:right="84"/>
              <w:jc w:val="both"/>
              <w:rPr>
                <w:rFonts w:ascii="宋体" w:hAnsi="宋体" w:cs="宋体" w:eastAsia="宋体" w:hint="default"/>
                <w:sz w:val="18"/>
                <w:szCs w:val="18"/>
              </w:rPr>
            </w:pPr>
            <w:r>
              <w:rPr>
                <w:rFonts w:ascii="宋体" w:hAnsi="宋体" w:cs="宋体" w:eastAsia="宋体" w:hint="default"/>
                <w:sz w:val="18"/>
                <w:szCs w:val="18"/>
              </w:rPr>
              <w:t>截至报告期末，上 述承诺人严格信守 承诺，未发生违反 承诺的情况。</w:t>
            </w:r>
          </w:p>
        </w:tc>
      </w:tr>
      <w:tr>
        <w:trPr>
          <w:trHeight w:val="313" w:hRule="exact"/>
        </w:trPr>
        <w:tc>
          <w:tcPr>
            <w:tcW w:w="2127" w:type="dxa"/>
            <w:tcBorders>
              <w:top w:val="nil" w:sz="6" w:space="0" w:color="auto"/>
              <w:left w:val="single" w:sz="4" w:space="0" w:color="000000"/>
              <w:bottom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1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补充流动资金。该事项已经由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日召开的公司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tc>
        <w:tc>
          <w:tcPr>
            <w:tcW w:w="1134"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20" w:right="1340"/>
        </w:sectPr>
      </w:pPr>
    </w:p>
    <w:p>
      <w:pPr>
        <w:spacing w:line="240" w:lineRule="auto" w:before="4"/>
        <w:rPr>
          <w:rFonts w:ascii="Times New Roman" w:hAnsi="Times New Roman" w:cs="Times New Roman" w:eastAsia="Times New Roman" w:hint="default"/>
          <w:sz w:val="3"/>
          <w:szCs w:val="3"/>
        </w:rPr>
      </w:pPr>
      <w:r>
        <w:rPr/>
        <w:pict>
          <v:shape style="position:absolute;margin-left:73.370499pt;margin-top:224.699997pt;width:693pt;height:66.45pt;mso-position-horizontal-relative:page;mso-position-vertical-relative:page;z-index:-1167280"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如承诺超期未履行完毕的，</w:t>
                  </w:r>
                </w:p>
              </w:txbxContent>
            </v:textbox>
            <w10:wrap type="none"/>
          </v:shape>
        </w:pict>
      </w:r>
      <w:r>
        <w:rPr/>
        <w:pict>
          <v:group style="position:absolute;margin-left:178.611008pt;margin-top:267.720001pt;width:587.8pt;height:23.4pt;mso-position-horizontal-relative:page;mso-position-vertical-relative:page;z-index:-1167256" coordorigin="3572,5354" coordsize="11756,468">
            <v:shape style="position:absolute;left:3572;top:5354;width:11756;height:468" coordorigin="3572,5354" coordsize="11756,468" path="m3572,5354l3572,5822,15327,5822,15327,5354,3572,5354xe" filled="true" fillcolor="#ffffff" stroked="false">
              <v:path arrowok="t"/>
              <v:fill type="solid"/>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2127"/>
        <w:gridCol w:w="1417"/>
        <w:gridCol w:w="1134"/>
        <w:gridCol w:w="5104"/>
        <w:gridCol w:w="1134"/>
        <w:gridCol w:w="1418"/>
        <w:gridCol w:w="1559"/>
      </w:tblGrid>
      <w:tr>
        <w:trPr>
          <w:trHeight w:val="331" w:hRule="exact"/>
        </w:trPr>
        <w:tc>
          <w:tcPr>
            <w:tcW w:w="2127" w:type="dxa"/>
            <w:vMerge w:val="restart"/>
            <w:tcBorders>
              <w:top w:val="single" w:sz="15" w:space="0" w:color="000000"/>
              <w:left w:val="single" w:sz="4" w:space="0" w:color="000000"/>
              <w:right w:val="single" w:sz="4" w:space="0" w:color="000000"/>
            </w:tcBorders>
            <w:shd w:val="clear" w:color="auto" w:fill="D3D3D3"/>
          </w:tcPr>
          <w:p>
            <w:pPr/>
          </w:p>
        </w:tc>
        <w:tc>
          <w:tcPr>
            <w:tcW w:w="1417" w:type="dxa"/>
            <w:vMerge w:val="restart"/>
            <w:tcBorders>
              <w:top w:val="single" w:sz="15" w:space="0" w:color="000000"/>
              <w:left w:val="single" w:sz="4" w:space="0" w:color="000000"/>
              <w:right w:val="single" w:sz="4" w:space="0" w:color="000000"/>
            </w:tcBorders>
          </w:tcPr>
          <w:p>
            <w:pPr/>
          </w:p>
        </w:tc>
        <w:tc>
          <w:tcPr>
            <w:tcW w:w="1134" w:type="dxa"/>
            <w:vMerge w:val="restart"/>
            <w:tcBorders>
              <w:top w:val="single" w:sz="15" w:space="0" w:color="000000"/>
              <w:left w:val="single" w:sz="4" w:space="0" w:color="000000"/>
              <w:right w:val="single" w:sz="4" w:space="0" w:color="000000"/>
            </w:tcBorders>
          </w:tcPr>
          <w:p>
            <w:pPr/>
          </w:p>
        </w:tc>
        <w:tc>
          <w:tcPr>
            <w:tcW w:w="5104"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年年度股东大会审议通过。公司承诺本次使用募集资金投资项目</w:t>
            </w:r>
          </w:p>
        </w:tc>
        <w:tc>
          <w:tcPr>
            <w:tcW w:w="1134" w:type="dxa"/>
            <w:vMerge w:val="restart"/>
            <w:tcBorders>
              <w:top w:val="single" w:sz="15" w:space="0" w:color="000000"/>
              <w:left w:val="single" w:sz="4" w:space="0" w:color="000000"/>
              <w:right w:val="single" w:sz="4" w:space="0" w:color="000000"/>
            </w:tcBorders>
          </w:tcPr>
          <w:p>
            <w:pPr/>
          </w:p>
        </w:tc>
        <w:tc>
          <w:tcPr>
            <w:tcW w:w="1418" w:type="dxa"/>
            <w:vMerge w:val="restart"/>
            <w:tcBorders>
              <w:top w:val="single" w:sz="15" w:space="0" w:color="000000"/>
              <w:left w:val="single" w:sz="4" w:space="0" w:color="000000"/>
              <w:right w:val="single" w:sz="4" w:space="0" w:color="000000"/>
            </w:tcBorders>
          </w:tcPr>
          <w:p>
            <w:pPr/>
          </w:p>
        </w:tc>
        <w:tc>
          <w:tcPr>
            <w:tcW w:w="1559" w:type="dxa"/>
            <w:vMerge w:val="restart"/>
            <w:tcBorders>
              <w:top w:val="single" w:sz="15" w:space="0" w:color="000000"/>
              <w:left w:val="single" w:sz="4" w:space="0" w:color="000000"/>
              <w:right w:val="single" w:sz="4" w:space="0" w:color="000000"/>
            </w:tcBorders>
          </w:tcPr>
          <w:p>
            <w:pPr/>
          </w:p>
        </w:tc>
      </w:tr>
      <w:tr>
        <w:trPr>
          <w:trHeight w:val="318"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节余资金永久补充流动资金后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r>
              <w:rPr>
                <w:rFonts w:ascii="宋体" w:hAnsi="宋体" w:cs="宋体" w:eastAsia="宋体" w:hint="default"/>
                <w:spacing w:val="1"/>
                <w:sz w:val="18"/>
                <w:szCs w:val="18"/>
              </w:rPr>
              <w:t>不</w:t>
            </w:r>
            <w:r>
              <w:rPr>
                <w:rFonts w:ascii="宋体" w:hAnsi="宋体" w:cs="宋体" w:eastAsia="宋体" w:hint="default"/>
                <w:sz w:val="18"/>
                <w:szCs w:val="18"/>
              </w:rPr>
              <w:t>进行证券投资</w:t>
            </w:r>
            <w:r>
              <w:rPr>
                <w:rFonts w:ascii="宋体" w:hAnsi="宋体" w:cs="宋体" w:eastAsia="宋体" w:hint="default"/>
                <w:spacing w:val="-83"/>
                <w:sz w:val="18"/>
                <w:szCs w:val="18"/>
              </w:rPr>
              <w:t>、</w:t>
            </w:r>
            <w:r>
              <w:rPr>
                <w:rFonts w:ascii="宋体" w:hAnsi="宋体" w:cs="宋体" w:eastAsia="宋体" w:hint="default"/>
                <w:sz w:val="18"/>
                <w:szCs w:val="18"/>
              </w:rPr>
              <w:t>委托理</w:t>
            </w:r>
          </w:p>
        </w:tc>
        <w:tc>
          <w:tcPr>
            <w:tcW w:w="1134"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352" w:hRule="exact"/>
        </w:trPr>
        <w:tc>
          <w:tcPr>
            <w:tcW w:w="2127"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51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财、衍生品投资、创业投资等高风险投资。</w:t>
            </w:r>
          </w:p>
        </w:tc>
        <w:tc>
          <w:tcPr>
            <w:tcW w:w="1134"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r>
      <w:tr>
        <w:trPr>
          <w:trHeight w:val="362" w:hRule="exact"/>
        </w:trPr>
        <w:tc>
          <w:tcPr>
            <w:tcW w:w="2127" w:type="dxa"/>
            <w:vMerge/>
            <w:tcBorders>
              <w:left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51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pacing w:val="-6"/>
                <w:sz w:val="18"/>
                <w:szCs w:val="18"/>
              </w:rPr>
              <w:t>日，公司第三届董事会第八次会议审议通过了《关</w:t>
            </w:r>
          </w:p>
        </w:tc>
        <w:tc>
          <w:tcPr>
            <w:tcW w:w="1134"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于使用部分超募资金永久补充流动资金的议案</w:t>
            </w:r>
            <w:r>
              <w:rPr>
                <w:rFonts w:ascii="宋体" w:hAnsi="宋体" w:cs="宋体" w:eastAsia="宋体" w:hint="default"/>
                <w:spacing w:val="-90"/>
                <w:sz w:val="18"/>
                <w:szCs w:val="18"/>
              </w:rPr>
              <w:t>》</w:t>
            </w:r>
            <w:r>
              <w:rPr>
                <w:rFonts w:ascii="宋体" w:hAnsi="宋体" w:cs="宋体" w:eastAsia="宋体" w:hint="default"/>
                <w:spacing w:val="-83"/>
                <w:sz w:val="18"/>
                <w:szCs w:val="18"/>
              </w:rPr>
              <w:t>，</w:t>
            </w:r>
            <w:r>
              <w:rPr>
                <w:rFonts w:ascii="宋体" w:hAnsi="宋体" w:cs="宋体" w:eastAsia="宋体" w:hint="default"/>
                <w:sz w:val="18"/>
                <w:szCs w:val="18"/>
              </w:rPr>
              <w:t>同意公司使用超</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截至报告期末，上</w:t>
            </w:r>
          </w:p>
        </w:tc>
      </w:tr>
      <w:tr>
        <w:trPr>
          <w:trHeight w:val="317"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新开普电子股份</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募集资金使</w:t>
            </w: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募资金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万元永久补充流动资金。该事项已经由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述承诺人严格信守</w:t>
            </w: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用承诺</w:t>
            </w: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年年度股东大会审议通过。公司承诺本</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承诺，未发生违反</w:t>
            </w:r>
          </w:p>
        </w:tc>
      </w:tr>
      <w:tr>
        <w:trPr>
          <w:trHeight w:val="312" w:hRule="exact"/>
        </w:trPr>
        <w:tc>
          <w:tcPr>
            <w:tcW w:w="2127" w:type="dxa"/>
            <w:vMerge/>
            <w:tcBorders>
              <w:left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次使用超募资金永久补充流动资金后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个月内不进行证券投资</w:t>
            </w:r>
          </w:p>
        </w:tc>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承诺的情况。</w:t>
            </w:r>
          </w:p>
        </w:tc>
      </w:tr>
      <w:tr>
        <w:trPr>
          <w:trHeight w:val="352" w:hRule="exact"/>
        </w:trPr>
        <w:tc>
          <w:tcPr>
            <w:tcW w:w="2127" w:type="dxa"/>
            <w:vMerge/>
            <w:tcBorders>
              <w:left w:val="single" w:sz="4" w:space="0" w:color="000000"/>
              <w:bottom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1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等高风险投资以及为他人提供财务资助。</w:t>
            </w:r>
          </w:p>
        </w:tc>
        <w:tc>
          <w:tcPr>
            <w:tcW w:w="1134"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76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81" w:hRule="exact"/>
        </w:trPr>
        <w:tc>
          <w:tcPr>
            <w:tcW w:w="212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22" w:right="112"/>
              <w:jc w:val="left"/>
              <w:rPr>
                <w:rFonts w:ascii="宋体" w:hAnsi="宋体" w:cs="宋体" w:eastAsia="宋体" w:hint="default"/>
                <w:sz w:val="18"/>
                <w:szCs w:val="18"/>
              </w:rPr>
            </w:pPr>
            <w:r>
              <w:rPr>
                <w:rFonts w:ascii="宋体" w:hAnsi="宋体" w:cs="宋体" w:eastAsia="宋体" w:hint="default"/>
                <w:sz w:val="18"/>
                <w:szCs w:val="18"/>
              </w:rPr>
              <w:t>应当详细说明未完成履行 的具体原因及下一步的工</w:t>
            </w:r>
          </w:p>
        </w:tc>
        <w:tc>
          <w:tcPr>
            <w:tcW w:w="11765" w:type="dxa"/>
            <w:gridSpan w:val="6"/>
            <w:tcBorders>
              <w:top w:val="single" w:sz="4" w:space="0" w:color="000000"/>
              <w:left w:val="single" w:sz="4" w:space="0" w:color="000000"/>
              <w:bottom w:val="nil" w:sz="6" w:space="0" w:color="auto"/>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87.8pt;height:23.4pt;mso-position-horizontal-relative:char;mso-position-vertical-relative:line" coordorigin="0,0" coordsize="11756,468">
                  <v:group style="position:absolute;left:0;top:0;width:11756;height:468" coordorigin="0,0" coordsize="11756,468">
                    <v:shape style="position:absolute;left:0;top:0;width:11756;height:468" coordorigin="0,0" coordsize="11756,468" path="m0,0l0,468,11755,468,11755,0,0,0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7" w:hRule="exact"/>
        </w:trPr>
        <w:tc>
          <w:tcPr>
            <w:tcW w:w="212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作计划</w:t>
            </w:r>
          </w:p>
        </w:tc>
        <w:tc>
          <w:tcPr>
            <w:tcW w:w="11765" w:type="dxa"/>
            <w:gridSpan w:val="6"/>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20" w:right="1340"/>
        </w:sectPr>
      </w:pPr>
    </w:p>
    <w:p>
      <w:pPr>
        <w:spacing w:line="240" w:lineRule="auto" w:before="7"/>
        <w:rPr>
          <w:rFonts w:ascii="Times New Roman" w:hAnsi="Times New Roman" w:cs="Times New Roman" w:eastAsia="Times New Roman" w:hint="default"/>
          <w:sz w:val="23"/>
          <w:szCs w:val="23"/>
        </w:rPr>
      </w:pPr>
    </w:p>
    <w:p>
      <w:pPr>
        <w:pStyle w:val="Heading4"/>
        <w:spacing w:line="259" w:lineRule="auto" w:before="35"/>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4" w:right="43"/>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95" w:right="44"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93" w:right="43"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北京迪科远望 科技有限公司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2,405.44</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2"/>
              <w:ind w:left="22" w:right="44"/>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37">
              <w:r>
                <w:rPr>
                  <w:rFonts w:ascii="Times New Roman" w:hAnsi="Times New Roman" w:cs="Times New Roman" w:eastAsia="Times New Roman" w:hint="default"/>
                  <w:spacing w:val="-1"/>
                  <w:sz w:val="18"/>
                  <w:szCs w:val="18"/>
                </w:rPr>
                <w:t>www.cninfo.co</w:t>
              </w:r>
            </w:hyperlink>
            <w:r>
              <w:rPr>
                <w:rFonts w:ascii="Times New Roman" w:hAnsi="Times New Roman" w:cs="Times New Roman" w:eastAsia="Times New Roman" w:hint="default"/>
                <w:w w:val="100"/>
                <w:sz w:val="18"/>
                <w:szCs w:val="18"/>
              </w:rPr>
              <w:t> </w:t>
            </w:r>
            <w:r>
              <w:rPr>
                <w:rFonts w:ascii="Times New Roman" w:hAnsi="Times New Roman" w:cs="Times New Roman" w:eastAsia="Times New Roman" w:hint="default"/>
                <w:sz w:val="18"/>
                <w:szCs w:val="18"/>
              </w:rPr>
              <w:t>m.cn</w:t>
            </w: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上海树维信息 科技有限公司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1,027.68</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2"/>
              <w:ind w:left="22" w:right="44"/>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37">
              <w:r>
                <w:rPr>
                  <w:rFonts w:ascii="Times New Roman" w:hAnsi="Times New Roman" w:cs="Times New Roman" w:eastAsia="Times New Roman" w:hint="default"/>
                  <w:spacing w:val="-1"/>
                  <w:sz w:val="18"/>
                  <w:szCs w:val="18"/>
                </w:rPr>
                <w:t>www.cninfo.co</w:t>
              </w:r>
            </w:hyperlink>
            <w:r>
              <w:rPr>
                <w:rFonts w:ascii="Times New Roman" w:hAnsi="Times New Roman" w:cs="Times New Roman" w:eastAsia="Times New Roman" w:hint="default"/>
                <w:w w:val="100"/>
                <w:sz w:val="18"/>
                <w:szCs w:val="18"/>
              </w:rPr>
              <w:t> </w:t>
            </w:r>
            <w:r>
              <w:rPr>
                <w:rFonts w:ascii="Times New Roman" w:hAnsi="Times New Roman" w:cs="Times New Roman" w:eastAsia="Times New Roman" w:hint="default"/>
                <w:sz w:val="18"/>
                <w:szCs w:val="18"/>
              </w:rPr>
              <w:t>m.cn</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公司股东、交易对手方对公司或相关资产年度经营业绩作出的承诺情况</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5"/>
        <w:ind w:left="153" w:right="150" w:firstLine="420"/>
        <w:jc w:val="both"/>
      </w:pPr>
      <w:r>
        <w:rPr>
          <w:spacing w:val="-1"/>
        </w:rPr>
        <w:t>（</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12</w:t>
      </w:r>
      <w:r>
        <w:rPr>
          <w:spacing w:val="-1"/>
        </w:rPr>
        <w:t>日，公司与迪科远望全体股东签署了附生效条件的《业绩补偿协议》，即交易对方</w:t>
      </w:r>
      <w:r>
        <w:rPr/>
        <w:t> </w:t>
      </w:r>
      <w:r>
        <w:rPr>
          <w:spacing w:val="-1"/>
        </w:rPr>
        <w:t>共同承诺，迪科远望</w:t>
      </w:r>
      <w:r>
        <w:rPr>
          <w:rFonts w:ascii="Times New Roman" w:hAnsi="Times New Roman" w:cs="Times New Roman" w:eastAsia="Times New Roman" w:hint="default"/>
          <w:spacing w:val="-1"/>
        </w:rPr>
        <w:t>2015</w:t>
      </w:r>
      <w:r>
        <w:rPr>
          <w:spacing w:val="-1"/>
        </w:rPr>
        <w:t>年度实现的净利润（以当年经审计的扣除非经常性损益后归属于母公司股东的净</w:t>
      </w:r>
      <w:r>
        <w:rPr>
          <w:spacing w:val="-83"/>
        </w:rPr>
        <w:t> </w:t>
      </w:r>
      <w:r>
        <w:rPr>
          <w:spacing w:val="-83"/>
        </w:rPr>
      </w:r>
      <w:r>
        <w:rPr/>
        <w:t>利润为准）不低于</w:t>
      </w:r>
      <w:r>
        <w:rPr>
          <w:rFonts w:ascii="Times New Roman" w:hAnsi="Times New Roman" w:cs="Times New Roman" w:eastAsia="Times New Roman" w:hint="default"/>
        </w:rPr>
        <w:t>2,000 </w:t>
      </w:r>
      <w:r>
        <w:rPr/>
        <w:t>万元，</w:t>
      </w:r>
      <w:r>
        <w:rPr>
          <w:rFonts w:ascii="Times New Roman" w:hAnsi="Times New Roman" w:cs="Times New Roman" w:eastAsia="Times New Roman" w:hint="default"/>
        </w:rPr>
        <w:t>2015 </w:t>
      </w:r>
      <w:r>
        <w:rPr/>
        <w:t>年度和 </w:t>
      </w:r>
      <w:r>
        <w:rPr>
          <w:rFonts w:ascii="Times New Roman" w:hAnsi="Times New Roman" w:cs="Times New Roman" w:eastAsia="Times New Roman" w:hint="default"/>
        </w:rPr>
        <w:t>2016</w:t>
      </w:r>
      <w:r>
        <w:rPr>
          <w:rFonts w:ascii="Times New Roman" w:hAnsi="Times New Roman" w:cs="Times New Roman" w:eastAsia="Times New Roman" w:hint="default"/>
          <w:spacing w:val="15"/>
        </w:rPr>
        <w:t> </w:t>
      </w:r>
      <w:r>
        <w:rPr/>
        <w:t>年度累计实现的净利润（以当年经审计的扣除非经常性 损益后归属于母公司股东的净利润为准）不低于</w:t>
      </w:r>
      <w:r>
        <w:rPr>
          <w:rFonts w:ascii="Times New Roman" w:hAnsi="Times New Roman" w:cs="Times New Roman" w:eastAsia="Times New Roman" w:hint="default"/>
        </w:rPr>
        <w:t>4,700</w:t>
      </w:r>
      <w:r>
        <w:rPr/>
        <w:t>万元。 </w:t>
      </w:r>
    </w:p>
    <w:p>
      <w:pPr>
        <w:pStyle w:val="BodyText"/>
        <w:spacing w:line="240" w:lineRule="auto" w:before="35"/>
        <w:ind w:left="573" w:right="0"/>
        <w:jc w:val="left"/>
      </w:pPr>
      <w:r>
        <w:rPr>
          <w:rFonts w:ascii="Times New Roman" w:hAnsi="Times New Roman" w:cs="Times New Roman" w:eastAsia="Times New Roman" w:hint="default"/>
        </w:rPr>
        <w:t>2015</w:t>
      </w:r>
      <w:r>
        <w:rPr/>
        <w:t>年度，迪科远望实现扣除非经常性损益的净利润为</w:t>
      </w:r>
      <w:r>
        <w:rPr>
          <w:rFonts w:ascii="Times New Roman" w:hAnsi="Times New Roman" w:cs="Times New Roman" w:eastAsia="Times New Roman" w:hint="default"/>
        </w:rPr>
        <w:t>2,405.44</w:t>
      </w:r>
      <w:r>
        <w:rPr/>
        <w:t>万元。</w:t>
      </w:r>
    </w:p>
    <w:p>
      <w:pPr>
        <w:pStyle w:val="BodyText"/>
        <w:spacing w:line="386" w:lineRule="auto" w:before="177"/>
        <w:ind w:right="148" w:firstLine="419"/>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7</w:t>
      </w:r>
      <w:r>
        <w:rPr/>
        <w:t>日，公司与上海树维全体股东签订《购买资产协议》，交易对方承诺</w:t>
      </w:r>
      <w:r>
        <w:rPr>
          <w:rFonts w:ascii="Times New Roman" w:hAnsi="Times New Roman" w:cs="Times New Roman" w:eastAsia="Times New Roman" w:hint="default"/>
        </w:rPr>
        <w:t>2015</w:t>
      </w:r>
      <w:r>
        <w:rPr>
          <w:rFonts w:ascii="Times New Roman" w:hAnsi="Times New Roman" w:cs="Times New Roman" w:eastAsia="Times New Roman" w:hint="default"/>
          <w:spacing w:val="23"/>
        </w:rPr>
        <w:t> </w:t>
      </w:r>
      <w:r>
        <w:rPr/>
        <w:t>年及</w:t>
      </w:r>
      <w:r>
        <w:rPr>
          <w:rFonts w:ascii="Times New Roman" w:hAnsi="Times New Roman" w:cs="Times New Roman" w:eastAsia="Times New Roman" w:hint="default"/>
        </w:rPr>
        <w:t>2016 </w:t>
      </w:r>
      <w:r>
        <w:rPr>
          <w:spacing w:val="-4"/>
        </w:rPr>
        <w:t>年净利润（指经审计的合并报表扣除非经常性损益后归属于母公司股东的净利润）分别不低于人民币</w:t>
      </w:r>
      <w:r>
        <w:rPr>
          <w:spacing w:val="-8"/>
        </w:rPr>
        <w:t> </w:t>
      </w:r>
      <w:r>
        <w:rPr>
          <w:rFonts w:ascii="Times New Roman" w:hAnsi="Times New Roman" w:cs="Times New Roman" w:eastAsia="Times New Roman" w:hint="default"/>
        </w:rPr>
        <w:t>1,000 </w:t>
      </w:r>
      <w:r>
        <w:rPr/>
        <w:t>万元、</w:t>
      </w:r>
      <w:r>
        <w:rPr>
          <w:rFonts w:ascii="Times New Roman" w:hAnsi="Times New Roman" w:cs="Times New Roman" w:eastAsia="Times New Roman" w:hint="default"/>
        </w:rPr>
        <w:t>1,600</w:t>
      </w:r>
      <w:r>
        <w:rPr>
          <w:rFonts w:ascii="Times New Roman" w:hAnsi="Times New Roman" w:cs="Times New Roman" w:eastAsia="Times New Roman" w:hint="default"/>
          <w:spacing w:val="29"/>
        </w:rPr>
        <w:t> </w:t>
      </w:r>
      <w:r>
        <w:rPr/>
        <w:t>万元。 </w:t>
      </w:r>
    </w:p>
    <w:p>
      <w:pPr>
        <w:pStyle w:val="BodyText"/>
        <w:spacing w:line="240" w:lineRule="auto" w:before="35"/>
        <w:ind w:left="574" w:right="0"/>
        <w:jc w:val="left"/>
      </w:pPr>
      <w:r>
        <w:rPr>
          <w:rFonts w:ascii="Times New Roman" w:hAnsi="Times New Roman" w:cs="Times New Roman" w:eastAsia="Times New Roman" w:hint="default"/>
        </w:rPr>
        <w:t>2015</w:t>
      </w:r>
      <w:r>
        <w:rPr/>
        <w:t>年度，上海树维实现扣除非经常性损益的净利润为</w:t>
      </w:r>
      <w:r>
        <w:rPr>
          <w:rFonts w:ascii="Times New Roman" w:hAnsi="Times New Roman" w:cs="Times New Roman" w:eastAsia="Times New Roman" w:hint="default"/>
        </w:rPr>
        <w:t>1,027.68</w:t>
      </w:r>
      <w:r>
        <w:rPr/>
        <w:t>万元。</w:t>
      </w:r>
    </w:p>
    <w:p>
      <w:pPr>
        <w:spacing w:line="240" w:lineRule="auto" w:before="11"/>
        <w:rPr>
          <w:rFonts w:ascii="宋体" w:hAnsi="宋体" w:cs="宋体" w:eastAsia="宋体" w:hint="default"/>
          <w:sz w:val="28"/>
          <w:szCs w:val="28"/>
        </w:rPr>
      </w:pPr>
    </w:p>
    <w:p>
      <w:pPr>
        <w:pStyle w:val="Heading2"/>
        <w:spacing w:line="240" w:lineRule="auto"/>
        <w:ind w:right="0"/>
        <w:jc w:val="left"/>
        <w:rPr>
          <w:b w:val="0"/>
          <w:bCs w:val="0"/>
        </w:rPr>
      </w:pPr>
      <w:r>
        <w:rPr/>
        <w:t>三、控股股东及其关联方对上市公司的非经营性占用资金情况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4" w:right="40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headerReference w:type="default" r:id="rId35"/>
          <w:footerReference w:type="default" r:id="rId36"/>
          <w:pgSz w:w="11910" w:h="16840"/>
          <w:pgMar w:header="877" w:footer="982" w:top="1100" w:bottom="1180" w:left="980" w:right="980"/>
          <w:pgNumType w:start="85"/>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七、与上年度财务报告相比，合并报表范围发生变化的情况说明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3"/>
        <w:ind w:left="574" w:right="0"/>
        <w:jc w:val="left"/>
      </w:pPr>
      <w:r>
        <w:rPr/>
        <w:t>较</w:t>
      </w:r>
      <w:r>
        <w:rPr>
          <w:rFonts w:ascii="Times New Roman" w:hAnsi="Times New Roman" w:cs="Times New Roman" w:eastAsia="Times New Roman" w:hint="default"/>
        </w:rPr>
        <w:t>2014</w:t>
      </w:r>
      <w:r>
        <w:rPr/>
        <w:t>年度财务报表相比，公司</w:t>
      </w:r>
      <w:r>
        <w:rPr>
          <w:rFonts w:ascii="Times New Roman" w:hAnsi="Times New Roman" w:cs="Times New Roman" w:eastAsia="Times New Roman" w:hint="default"/>
        </w:rPr>
        <w:t>2015</w:t>
      </w:r>
      <w:r>
        <w:rPr/>
        <w:t>年财务报表合并范围新增</w:t>
      </w:r>
      <w:r>
        <w:rPr>
          <w:rFonts w:ascii="Times New Roman" w:hAnsi="Times New Roman" w:cs="Times New Roman" w:eastAsia="Times New Roman" w:hint="default"/>
        </w:rPr>
        <w:t>2</w:t>
      </w:r>
      <w:r>
        <w:rPr/>
        <w:t>家，分别是迪科远望、上海树维。</w:t>
      </w:r>
    </w:p>
    <w:p>
      <w:pPr>
        <w:spacing w:line="240" w:lineRule="auto" w:before="11"/>
        <w:rPr>
          <w:rFonts w:ascii="宋体" w:hAnsi="宋体" w:cs="宋体" w:eastAsia="宋体" w:hint="default"/>
          <w:sz w:val="28"/>
          <w:szCs w:val="28"/>
        </w:rPr>
      </w:pPr>
    </w:p>
    <w:p>
      <w:pPr>
        <w:pStyle w:val="Heading2"/>
        <w:spacing w:line="240" w:lineRule="auto"/>
        <w:ind w:right="0"/>
        <w:jc w:val="left"/>
        <w:rPr>
          <w:b w:val="0"/>
          <w:bCs w:val="0"/>
        </w:rPr>
      </w:pPr>
      <w:r>
        <w:rPr/>
        <w:t>八、聘任、解聘会计师事务所情况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刘金进、李洪勇</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38" w:lineRule="auto" w:before="117"/>
        <w:ind w:left="154" w:right="52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3"/>
        <w:ind w:right="0" w:firstLine="420"/>
        <w:jc w:val="left"/>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11</w:t>
      </w:r>
      <w:r>
        <w:rPr>
          <w:spacing w:val="-1"/>
        </w:rPr>
        <w:t>月，公司因重大资产重组事项，聘请南京证券股份有限公司作为公司财务顾问，持续督导期</w:t>
      </w:r>
      <w:r>
        <w:rPr/>
        <w:t> 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16</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日，期间共支付财务顾问费</w:t>
      </w:r>
      <w:r>
        <w:rPr>
          <w:rFonts w:ascii="Times New Roman" w:hAnsi="Times New Roman" w:cs="Times New Roman" w:eastAsia="Times New Roman" w:hint="default"/>
        </w:rPr>
        <w:t>820</w:t>
      </w:r>
      <w:r>
        <w:rPr/>
        <w:t>万元。</w:t>
      </w:r>
    </w:p>
    <w:p>
      <w:pPr>
        <w:spacing w:line="240" w:lineRule="auto" w:before="0"/>
        <w:rPr>
          <w:rFonts w:ascii="宋体" w:hAnsi="宋体" w:cs="宋体" w:eastAsia="宋体" w:hint="default"/>
          <w:sz w:val="18"/>
          <w:szCs w:val="18"/>
        </w:rPr>
      </w:pPr>
    </w:p>
    <w:p>
      <w:pPr>
        <w:pStyle w:val="Heading2"/>
        <w:spacing w:line="240" w:lineRule="auto"/>
        <w:ind w:right="0"/>
        <w:jc w:val="left"/>
        <w:rPr>
          <w:b w:val="0"/>
          <w:bCs w:val="0"/>
        </w:rPr>
      </w:pP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十、破产重整相关事项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67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十一、重大诉讼、仲裁事项</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683" w:right="84" w:hanging="60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50" w:right="23" w:hanging="328"/>
              <w:jc w:val="left"/>
              <w:rPr>
                <w:rFonts w:ascii="宋体" w:hAnsi="宋体" w:cs="宋体" w:eastAsia="宋体" w:hint="default"/>
                <w:sz w:val="18"/>
                <w:szCs w:val="18"/>
              </w:rPr>
            </w:pPr>
            <w:r>
              <w:rPr>
                <w:rFonts w:ascii="宋体" w:hAnsi="宋体" w:cs="宋体" w:eastAsia="宋体" w:hint="default"/>
                <w:spacing w:val="-11"/>
                <w:sz w:val="18"/>
                <w:szCs w:val="18"/>
              </w:rPr>
              <w:t>涉案金额（万</w:t>
            </w:r>
            <w:r>
              <w:rPr>
                <w:rFonts w:ascii="宋体" w:hAnsi="宋体" w:cs="宋体" w:eastAsia="宋体" w:hint="default"/>
                <w:sz w:val="18"/>
                <w:szCs w:val="18"/>
              </w:rPr>
              <w:t> 元）</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7" w:right="78"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84" w:right="42"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31" w:right="80"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68" w:right="108"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4"/>
              <w:jc w:val="right"/>
              <w:rPr>
                <w:rFonts w:ascii="宋体" w:hAnsi="宋体" w:cs="宋体" w:eastAsia="宋体" w:hint="default"/>
                <w:sz w:val="18"/>
                <w:szCs w:val="18"/>
              </w:rPr>
            </w:pPr>
            <w:r>
              <w:rPr>
                <w:rFonts w:ascii="宋体" w:hAnsi="宋体" w:cs="宋体" w:eastAsia="宋体" w:hint="default"/>
                <w:sz w:val="18"/>
                <w:szCs w:val="18"/>
              </w:rPr>
              <w:t>披露索引</w:t>
            </w:r>
          </w:p>
        </w:tc>
      </w:tr>
      <w:tr>
        <w:trPr>
          <w:trHeight w:val="98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5"/>
              <w:jc w:val="both"/>
              <w:rPr>
                <w:rFonts w:ascii="宋体" w:hAnsi="宋体" w:cs="宋体" w:eastAsia="宋体" w:hint="default"/>
                <w:sz w:val="18"/>
                <w:szCs w:val="18"/>
              </w:rPr>
            </w:pPr>
            <w:r>
              <w:rPr>
                <w:rFonts w:ascii="宋体" w:hAnsi="宋体" w:cs="宋体" w:eastAsia="宋体" w:hint="default"/>
                <w:sz w:val="18"/>
                <w:szCs w:val="18"/>
              </w:rPr>
              <w:t>北京盛世远景科技 发展有限公司将凯 里通卡公司（第一</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543" w:right="0"/>
              <w:jc w:val="left"/>
              <w:rPr>
                <w:rFonts w:ascii="Times New Roman" w:hAnsi="Times New Roman" w:cs="Times New Roman" w:eastAsia="Times New Roman" w:hint="default"/>
                <w:sz w:val="18"/>
                <w:szCs w:val="18"/>
              </w:rPr>
            </w:pPr>
            <w:r>
              <w:rPr>
                <w:rFonts w:ascii="Times New Roman"/>
                <w:sz w:val="18"/>
              </w:rPr>
              <w:t>214.88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已判决</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、被告凯里通卡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公司在判决生效 之日起十五日内</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316" w:lineRule="auto" w:before="61"/>
              <w:ind w:left="22" w:right="23"/>
              <w:jc w:val="left"/>
              <w:rPr>
                <w:rFonts w:ascii="宋体" w:hAnsi="宋体" w:cs="宋体" w:eastAsia="宋体" w:hint="default"/>
                <w:sz w:val="18"/>
                <w:szCs w:val="18"/>
              </w:rPr>
            </w:pPr>
            <w:r>
              <w:rPr>
                <w:rFonts w:ascii="宋体" w:hAnsi="宋体" w:cs="宋体" w:eastAsia="宋体" w:hint="default"/>
                <w:spacing w:val="-10"/>
                <w:sz w:val="18"/>
                <w:szCs w:val="18"/>
              </w:rPr>
              <w:t>日，公司收到凯</w:t>
            </w:r>
            <w:r>
              <w:rPr>
                <w:rFonts w:ascii="宋体" w:hAnsi="宋体" w:cs="宋体" w:eastAsia="宋体" w:hint="default"/>
                <w:sz w:val="18"/>
                <w:szCs w:val="18"/>
              </w:rPr>
              <w:t> 里市人民法院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28"/>
              <w:jc w:val="righ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r>
        <w:rPr/>
        <w:pict>
          <v:shape style="position:absolute;margin-left:83.759705pt;margin-top:418.200012pt;width:104.25pt;height:345.2pt;mso-position-horizontal-relative:page;mso-position-vertical-relative:page;z-index:-11672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（第一被告）</w:t>
                  </w:r>
                </w:p>
              </w:txbxContent>
            </v:textbox>
            <w10:wrap type="none"/>
          </v:shape>
        </w:pict>
      </w:r>
      <w:r>
        <w:rPr/>
        <w:pict>
          <v:shape style="position:absolute;margin-left:360.359985pt;margin-top:418.200012pt;width:68.1pt;height:345.2pt;mso-position-horizontal-relative:page;mso-position-vertical-relative:page;z-index:-11672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134.940002pt;margin-top:418.200012pt;width:53.05pt;height:345.2pt;mso-position-horizontal-relative:page;mso-position-vertical-relative:page;z-index:-1167184" coordorigin="2699,8364" coordsize="1061,6904">
            <v:group style="position:absolute;left:2699;top:8364;width:1061;height:6904" coordorigin="2699,8364" coordsize="1061,6904">
              <v:shape style="position:absolute;left:2699;top:8364;width:1061;height:6904" coordorigin="2699,8364" coordsize="1061,6904" path="m2699,15268l3760,15268,3760,8364,2699,8364,2699,15268xe" filled="true" fillcolor="#ffffff" stroked="false">
                <v:path arrowok="t"/>
                <v:fill type="solid"/>
              </v:shape>
            </v:group>
            <v:group style="position:absolute;left:2722;top:11620;width:1016;height:393" coordorigin="2722,11620" coordsize="1016,393">
              <v:shape style="position:absolute;left:2722;top:11620;width:1016;height:393" coordorigin="2722,11620" coordsize="1016,393" path="m2722,12012l3737,12012,3737,11620,2722,11620,2722,12012xe" filled="true" fillcolor="#ffffff" stroked="false">
                <v:path arrowok="t"/>
                <v:fill type="solid"/>
              </v:shape>
            </v:group>
            <w10:wrap type="none"/>
          </v:group>
        </w:pict>
      </w:r>
      <w:r>
        <w:rPr/>
        <w:pict>
          <v:group style="position:absolute;margin-left:366.540009pt;margin-top:418.200012pt;width:115.1pt;height:345.2pt;mso-position-horizontal-relative:page;mso-position-vertical-relative:page;z-index:-1167160" coordorigin="7331,8364" coordsize="2302,6904">
            <v:group style="position:absolute;left:7331;top:8364;width:1239;height:6904" coordorigin="7331,8364" coordsize="1239,6904">
              <v:shape style="position:absolute;left:7331;top:8364;width:1239;height:6904" coordorigin="7331,8364" coordsize="1239,6904" path="m7331,15268l8569,15268,8569,8364,7331,8364,7331,15268xe" filled="true" fillcolor="#ffffff" stroked="false">
                <v:path arrowok="t"/>
                <v:fill type="solid"/>
              </v:shape>
            </v:group>
            <v:group style="position:absolute;left:7354;top:8364;width:1193;height:352" coordorigin="7354,8364" coordsize="1193,352">
              <v:shape style="position:absolute;left:7354;top:8364;width:1193;height:352" coordorigin="7354,8364" coordsize="1193,352" path="m7354,8716l8546,8716,8546,8364,7354,8364,7354,8716xe" filled="true" fillcolor="#ffffff" stroked="false">
                <v:path arrowok="t"/>
                <v:fill type="solid"/>
              </v:shape>
            </v:group>
            <v:group style="position:absolute;left:7354;top:8716;width:1193;height:312" coordorigin="7354,8716" coordsize="1193,312">
              <v:shape style="position:absolute;left:7354;top:8716;width:1193;height:312" coordorigin="7354,8716" coordsize="1193,312" path="m7354,9028l8546,9028,8546,8716,7354,8716,7354,9028xe" filled="true" fillcolor="#ffffff" stroked="false">
                <v:path arrowok="t"/>
                <v:fill type="solid"/>
              </v:shape>
            </v:group>
            <v:group style="position:absolute;left:7354;top:9028;width:1193;height:312" coordorigin="7354,9028" coordsize="1193,312">
              <v:shape style="position:absolute;left:7354;top:9028;width:1193;height:312" coordorigin="7354,9028" coordsize="1193,312" path="m7354,9340l8546,9340,8546,9028,7354,9028,7354,9340xe" filled="true" fillcolor="#ffffff" stroked="false">
                <v:path arrowok="t"/>
                <v:fill type="solid"/>
              </v:shape>
            </v:group>
            <v:group style="position:absolute;left:7354;top:9340;width:1193;height:312" coordorigin="7354,9340" coordsize="1193,312">
              <v:shape style="position:absolute;left:7354;top:9340;width:1193;height:312" coordorigin="7354,9340" coordsize="1193,312" path="m7354,9652l8546,9652,8546,9340,7354,9340,7354,9652xe" filled="true" fillcolor="#ffffff" stroked="false">
                <v:path arrowok="t"/>
                <v:fill type="solid"/>
              </v:shape>
            </v:group>
            <v:group style="position:absolute;left:7354;top:9652;width:1193;height:312" coordorigin="7354,9652" coordsize="1193,312">
              <v:shape style="position:absolute;left:7354;top:9652;width:1193;height:312" coordorigin="7354,9652" coordsize="1193,312" path="m7354,9964l8546,9964,8546,9652,7354,9652,7354,9964xe" filled="true" fillcolor="#ffffff" stroked="false">
                <v:path arrowok="t"/>
                <v:fill type="solid"/>
              </v:shape>
            </v:group>
            <v:group style="position:absolute;left:7354;top:9964;width:1193;height:312" coordorigin="7354,9964" coordsize="1193,312">
              <v:shape style="position:absolute;left:7354;top:9964;width:1193;height:312" coordorigin="7354,9964" coordsize="1193,312" path="m7354,10276l8546,10276,8546,9964,7354,9964,7354,10276xe" filled="true" fillcolor="#ffffff" stroked="false">
                <v:path arrowok="t"/>
                <v:fill type="solid"/>
              </v:shape>
            </v:group>
            <v:group style="position:absolute;left:7354;top:10276;width:1193;height:312" coordorigin="7354,10276" coordsize="1193,312">
              <v:shape style="position:absolute;left:7354;top:10276;width:1193;height:312" coordorigin="7354,10276" coordsize="1193,312" path="m7354,10588l8546,10588,8546,10276,7354,10276,7354,10588xe" filled="true" fillcolor="#ffffff" stroked="false">
                <v:path arrowok="t"/>
                <v:fill type="solid"/>
              </v:shape>
            </v:group>
            <v:group style="position:absolute;left:7354;top:10588;width:1193;height:312" coordorigin="7354,10588" coordsize="1193,312">
              <v:shape style="position:absolute;left:7354;top:10588;width:1193;height:312" coordorigin="7354,10588" coordsize="1193,312" path="m7354,10900l8546,10900,8546,10588,7354,10588,7354,10900xe" filled="true" fillcolor="#ffffff" stroked="false">
                <v:path arrowok="t"/>
                <v:fill type="solid"/>
              </v:shape>
            </v:group>
            <v:group style="position:absolute;left:7354;top:10900;width:1193;height:312" coordorigin="7354,10900" coordsize="1193,312">
              <v:shape style="position:absolute;left:7354;top:10900;width:1193;height:312" coordorigin="7354,10900" coordsize="1193,312" path="m7354,11212l8546,11212,8546,10900,7354,10900,7354,11212xe" filled="true" fillcolor="#ffffff" stroked="false">
                <v:path arrowok="t"/>
                <v:fill type="solid"/>
              </v:shape>
            </v:group>
            <v:group style="position:absolute;left:7354;top:11212;width:1193;height:312" coordorigin="7354,11212" coordsize="1193,312">
              <v:shape style="position:absolute;left:7354;top:11212;width:1193;height:312" coordorigin="7354,11212" coordsize="1193,312" path="m7354,11524l8546,11524,8546,11212,7354,11212,7354,11524xe" filled="true" fillcolor="#ffffff" stroked="false">
                <v:path arrowok="t"/>
                <v:fill type="solid"/>
              </v:shape>
            </v:group>
            <v:group style="position:absolute;left:7354;top:11524;width:1193;height:312" coordorigin="7354,11524" coordsize="1193,312">
              <v:shape style="position:absolute;left:7354;top:11524;width:1193;height:312" coordorigin="7354,11524" coordsize="1193,312" path="m7354,11836l8546,11836,8546,11524,7354,11524,7354,11836xe" filled="true" fillcolor="#ffffff" stroked="false">
                <v:path arrowok="t"/>
                <v:fill type="solid"/>
              </v:shape>
            </v:group>
            <v:group style="position:absolute;left:7354;top:11836;width:1193;height:312" coordorigin="7354,11836" coordsize="1193,312">
              <v:shape style="position:absolute;left:7354;top:11836;width:1193;height:312" coordorigin="7354,11836" coordsize="1193,312" path="m7354,12148l8546,12148,8546,11836,7354,11836,7354,12148xe" filled="true" fillcolor="#ffffff" stroked="false">
                <v:path arrowok="t"/>
                <v:fill type="solid"/>
              </v:shape>
            </v:group>
            <v:group style="position:absolute;left:7354;top:12148;width:1193;height:312" coordorigin="7354,12148" coordsize="1193,312">
              <v:shape style="position:absolute;left:7354;top:12148;width:1193;height:312" coordorigin="7354,12148" coordsize="1193,312" path="m7354,12460l8546,12460,8546,12148,7354,12148,7354,12460xe" filled="true" fillcolor="#ffffff" stroked="false">
                <v:path arrowok="t"/>
                <v:fill type="solid"/>
              </v:shape>
            </v:group>
            <v:group style="position:absolute;left:7354;top:12460;width:1193;height:312" coordorigin="7354,12460" coordsize="1193,312">
              <v:shape style="position:absolute;left:7354;top:12460;width:1193;height:312" coordorigin="7354,12460" coordsize="1193,312" path="m7354,12772l8546,12772,8546,12460,7354,12460,7354,12772xe" filled="true" fillcolor="#ffffff" stroked="false">
                <v:path arrowok="t"/>
                <v:fill type="solid"/>
              </v:shape>
            </v:group>
            <v:group style="position:absolute;left:7354;top:12772;width:1193;height:312" coordorigin="7354,12772" coordsize="1193,312">
              <v:shape style="position:absolute;left:7354;top:12772;width:1193;height:312" coordorigin="7354,12772" coordsize="1193,312" path="m7354,13084l8546,13084,8546,12772,7354,12772,7354,13084xe" filled="true" fillcolor="#ffffff" stroked="false">
                <v:path arrowok="t"/>
                <v:fill type="solid"/>
              </v:shape>
            </v:group>
            <v:group style="position:absolute;left:7354;top:13084;width:1193;height:312" coordorigin="7354,13084" coordsize="1193,312">
              <v:shape style="position:absolute;left:7354;top:13084;width:1193;height:312" coordorigin="7354,13084" coordsize="1193,312" path="m7354,13396l8546,13396,8546,13084,7354,13084,7354,13396xe" filled="true" fillcolor="#ffffff" stroked="false">
                <v:path arrowok="t"/>
                <v:fill type="solid"/>
              </v:shape>
            </v:group>
            <v:group style="position:absolute;left:7354;top:13396;width:1193;height:312" coordorigin="7354,13396" coordsize="1193,312">
              <v:shape style="position:absolute;left:7354;top:13396;width:1193;height:312" coordorigin="7354,13396" coordsize="1193,312" path="m7354,13708l8546,13708,8546,13396,7354,13396,7354,13708xe" filled="true" fillcolor="#ffffff" stroked="false">
                <v:path arrowok="t"/>
                <v:fill type="solid"/>
              </v:shape>
            </v:group>
            <v:group style="position:absolute;left:7354;top:13708;width:1193;height:312" coordorigin="7354,13708" coordsize="1193,312">
              <v:shape style="position:absolute;left:7354;top:13708;width:1193;height:312" coordorigin="7354,13708" coordsize="1193,312" path="m7354,14020l8546,14020,8546,13708,7354,13708,7354,14020xe" filled="true" fillcolor="#ffffff" stroked="false">
                <v:path arrowok="t"/>
                <v:fill type="solid"/>
              </v:shape>
            </v:group>
            <v:group style="position:absolute;left:7354;top:14020;width:1193;height:312" coordorigin="7354,14020" coordsize="1193,312">
              <v:shape style="position:absolute;left:7354;top:14020;width:1193;height:312" coordorigin="7354,14020" coordsize="1193,312" path="m7354,14332l8546,14332,8546,14020,7354,14020,7354,14332xe" filled="true" fillcolor="#ffffff" stroked="false">
                <v:path arrowok="t"/>
                <v:fill type="solid"/>
              </v:shape>
            </v:group>
            <v:group style="position:absolute;left:7354;top:14332;width:1193;height:312" coordorigin="7354,14332" coordsize="1193,312">
              <v:shape style="position:absolute;left:7354;top:14332;width:1193;height:312" coordorigin="7354,14332" coordsize="1193,312" path="m7354,14644l8546,14644,8546,14332,7354,14332,7354,14644xe" filled="true" fillcolor="#ffffff" stroked="false">
                <v:path arrowok="t"/>
                <v:fill type="solid"/>
              </v:shape>
            </v:group>
            <v:group style="position:absolute;left:7354;top:14644;width:1193;height:312" coordorigin="7354,14644" coordsize="1193,312">
              <v:shape style="position:absolute;left:7354;top:14644;width:1193;height:312" coordorigin="7354,14644" coordsize="1193,312" path="m7354,14956l8546,14956,8546,14644,7354,14644,7354,14956xe" filled="true" fillcolor="#ffffff" stroked="false">
                <v:path arrowok="t"/>
                <v:fill type="solid"/>
              </v:shape>
            </v:group>
            <v:group style="position:absolute;left:7354;top:14956;width:1193;height:312" coordorigin="7354,14956" coordsize="1193,312">
              <v:shape style="position:absolute;left:7354;top:14956;width:1193;height:312" coordorigin="7354,14956" coordsize="1193,312" path="m7354,15268l8546,15268,8546,14956,7354,14956,7354,15268xe" filled="true" fillcolor="#ffffff" stroked="false">
                <v:path arrowok="t"/>
                <v:fill type="solid"/>
              </v:shape>
            </v:group>
            <v:group style="position:absolute;left:8579;top:8364;width:1054;height:6904" coordorigin="8579,8364" coordsize="1054,6904">
              <v:shape style="position:absolute;left:8579;top:8364;width:1054;height:6904" coordorigin="8579,8364" coordsize="1054,6904" path="m8579,15268l9632,15268,9632,8364,8579,8364,8579,15268xe" filled="true" fillcolor="#ffffff" stroked="false">
                <v:path arrowok="t"/>
                <v:fill type="solid"/>
              </v:shape>
            </v:group>
            <v:group style="position:absolute;left:8602;top:11464;width:1008;height:353" coordorigin="8602,11464" coordsize="1008,353">
              <v:shape style="position:absolute;left:8602;top:11464;width:1008;height:353" coordorigin="8602,11464" coordsize="1008,353" path="m8602,11816l9610,11816,9610,11464,8602,11464,8602,11816xe" filled="true" fillcolor="#ffffff" stroked="false">
                <v:path arrowok="t"/>
                <v:fill type="solid"/>
              </v:shape>
            </v:group>
            <v:group style="position:absolute;left:8602;top:11816;width:1008;height:352" coordorigin="8602,11816" coordsize="1008,352">
              <v:shape style="position:absolute;left:8602;top:11816;width:1008;height:352" coordorigin="8602,11816" coordsize="1008,352" path="m8602,12168l9610,12168,9610,11816,8602,11816,8602,12168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322" w:hRule="exact"/>
        </w:trPr>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被告）及四川泽祥</w:t>
            </w:r>
          </w:p>
        </w:tc>
        <w:tc>
          <w:tcPr>
            <w:tcW w:w="1072" w:type="dxa"/>
            <w:vMerge w:val="restart"/>
            <w:tcBorders>
              <w:top w:val="single" w:sz="4" w:space="0" w:color="000000"/>
              <w:left w:val="single" w:sz="4" w:space="0" w:color="000000"/>
              <w:right w:val="single" w:sz="4" w:space="0" w:color="000000"/>
            </w:tcBorders>
          </w:tcPr>
          <w:p>
            <w:pPr/>
          </w:p>
        </w:tc>
        <w:tc>
          <w:tcPr>
            <w:tcW w:w="1248" w:type="dxa"/>
            <w:vMerge w:val="restart"/>
            <w:tcBorders>
              <w:top w:val="single" w:sz="4" w:space="0" w:color="000000"/>
              <w:left w:val="single" w:sz="4" w:space="0" w:color="000000"/>
              <w:right w:val="single" w:sz="4" w:space="0" w:color="000000"/>
            </w:tcBorders>
          </w:tcPr>
          <w:p>
            <w:pPr/>
          </w:p>
        </w:tc>
        <w:tc>
          <w:tcPr>
            <w:tcW w:w="938" w:type="dxa"/>
            <w:vMerge w:val="restart"/>
            <w:tcBorders>
              <w:top w:val="single" w:sz="4" w:space="0" w:color="000000"/>
              <w:left w:val="single" w:sz="4" w:space="0" w:color="000000"/>
              <w:right w:val="single" w:sz="4" w:space="0" w:color="000000"/>
            </w:tcBorders>
          </w:tcPr>
          <w:p>
            <w:pPr/>
          </w:p>
        </w:tc>
        <w:tc>
          <w:tcPr>
            <w:tcW w:w="13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支付原告盛世远</w:t>
            </w:r>
          </w:p>
        </w:tc>
        <w:tc>
          <w:tcPr>
            <w:tcW w:w="12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2015</w:t>
            </w:r>
            <w:r>
              <w:rPr>
                <w:rFonts w:ascii="宋体" w:hAnsi="宋体" w:cs="宋体" w:eastAsia="宋体" w:hint="default"/>
                <w:spacing w:val="-8"/>
                <w:sz w:val="18"/>
                <w:szCs w:val="18"/>
              </w:rPr>
              <w:t>）凯执恢</w:t>
            </w:r>
          </w:p>
        </w:tc>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电子技术有限公司</w:t>
            </w:r>
          </w:p>
        </w:tc>
        <w:tc>
          <w:tcPr>
            <w:tcW w:w="107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137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景施工费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188 </w:t>
            </w:r>
            <w:r>
              <w:rPr>
                <w:rFonts w:ascii="宋体" w:hAnsi="宋体" w:cs="宋体" w:eastAsia="宋体" w:hint="default"/>
                <w:sz w:val="18"/>
                <w:szCs w:val="18"/>
              </w:rPr>
              <w:t>万</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号裁定</w:t>
            </w: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07"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（第二被告，凯里</w:t>
            </w:r>
          </w:p>
        </w:tc>
        <w:tc>
          <w:tcPr>
            <w:tcW w:w="107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137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元及违约金（违</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0"/>
                <w:sz w:val="18"/>
                <w:szCs w:val="18"/>
              </w:rPr>
              <w:t>书，内容为盛世</w:t>
            </w: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通卡公司控股股</w:t>
            </w:r>
          </w:p>
        </w:tc>
        <w:tc>
          <w:tcPr>
            <w:tcW w:w="107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13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约金按照中国人</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公司申请执行</w:t>
            </w: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7"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w:t>
            </w:r>
            <w:r>
              <w:rPr>
                <w:rFonts w:ascii="宋体" w:hAnsi="宋体" w:cs="宋体" w:eastAsia="宋体" w:hint="default"/>
                <w:spacing w:val="-90"/>
                <w:sz w:val="18"/>
                <w:szCs w:val="18"/>
              </w:rPr>
              <w:t>）</w:t>
            </w:r>
            <w:r>
              <w:rPr>
                <w:rFonts w:ascii="宋体" w:hAnsi="宋体" w:cs="宋体" w:eastAsia="宋体" w:hint="default"/>
                <w:spacing w:val="-14"/>
                <w:sz w:val="18"/>
                <w:szCs w:val="18"/>
              </w:rPr>
              <w:t>、</w:t>
            </w:r>
            <w:r>
              <w:rPr>
                <w:rFonts w:ascii="宋体" w:hAnsi="宋体" w:cs="宋体" w:eastAsia="宋体" w:hint="default"/>
                <w:sz w:val="18"/>
                <w:szCs w:val="18"/>
              </w:rPr>
              <w:t>新开</w:t>
            </w:r>
            <w:r>
              <w:rPr>
                <w:rFonts w:ascii="宋体" w:hAnsi="宋体" w:cs="宋体" w:eastAsia="宋体" w:hint="default"/>
                <w:spacing w:val="-14"/>
                <w:sz w:val="18"/>
                <w:szCs w:val="18"/>
              </w:rPr>
              <w:t>普</w:t>
            </w:r>
            <w:r>
              <w:rPr>
                <w:rFonts w:ascii="宋体" w:hAnsi="宋体" w:cs="宋体" w:eastAsia="宋体" w:hint="default"/>
                <w:sz w:val="18"/>
                <w:szCs w:val="18"/>
              </w:rPr>
              <w:t>（第三</w:t>
            </w:r>
          </w:p>
        </w:tc>
        <w:tc>
          <w:tcPr>
            <w:tcW w:w="107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13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民银行同期贷款</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2014</w:t>
            </w:r>
            <w:r>
              <w:rPr>
                <w:rFonts w:ascii="宋体" w:hAnsi="宋体" w:cs="宋体" w:eastAsia="宋体" w:hint="default"/>
                <w:spacing w:val="-8"/>
                <w:sz w:val="18"/>
                <w:szCs w:val="18"/>
              </w:rPr>
              <w:t>）凯民初</w:t>
            </w: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被告，凯里通卡公</w:t>
            </w:r>
          </w:p>
        </w:tc>
        <w:tc>
          <w:tcPr>
            <w:tcW w:w="107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137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利率从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号判</w:t>
            </w: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司股东）起诉至贵</w:t>
            </w:r>
          </w:p>
        </w:tc>
        <w:tc>
          <w:tcPr>
            <w:tcW w:w="107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137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日计付至付</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0"/>
                <w:sz w:val="18"/>
                <w:szCs w:val="18"/>
              </w:rPr>
              <w:t>决书等。公司因</w:t>
            </w: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07"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州省凯里市人民法</w:t>
            </w:r>
          </w:p>
        </w:tc>
        <w:tc>
          <w:tcPr>
            <w:tcW w:w="107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137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清施工费之日</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对凯里通卡公</w:t>
            </w: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7"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院，要求第一被告</w:t>
            </w:r>
          </w:p>
        </w:tc>
        <w:tc>
          <w:tcPr>
            <w:tcW w:w="107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13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止</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、驳回原</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司未出资到位</w:t>
            </w: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07"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支付原告设计布展</w:t>
            </w:r>
          </w:p>
        </w:tc>
        <w:tc>
          <w:tcPr>
            <w:tcW w:w="107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137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告的其他诉讼请</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被追加为被执</w:t>
            </w: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3"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施工费用及违约金</w:t>
            </w:r>
          </w:p>
        </w:tc>
        <w:tc>
          <w:tcPr>
            <w:tcW w:w="107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137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求。</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行人，由公司对</w:t>
            </w: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6"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暂共计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214.88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07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1374"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凯里通卡公司</w:t>
            </w: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07"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元；要求被告二、</w:t>
            </w:r>
          </w:p>
        </w:tc>
        <w:tc>
          <w:tcPr>
            <w:tcW w:w="107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1374"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应承担的</w:t>
            </w: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7"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被告三在未出资的</w:t>
            </w:r>
          </w:p>
        </w:tc>
        <w:tc>
          <w:tcPr>
            <w:tcW w:w="107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1374"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205.64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w:t>
            </w: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万元范围内对</w:t>
            </w:r>
          </w:p>
        </w:tc>
        <w:tc>
          <w:tcPr>
            <w:tcW w:w="107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1374"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0"/>
                <w:sz w:val="18"/>
                <w:szCs w:val="18"/>
              </w:rPr>
              <w:t>违约金、利息等</w:t>
            </w: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上述全部款项承担</w:t>
            </w:r>
          </w:p>
        </w:tc>
        <w:tc>
          <w:tcPr>
            <w:tcW w:w="107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1374"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r>
              <w:rPr>
                <w:rFonts w:ascii="宋体" w:hAnsi="宋体" w:cs="宋体" w:eastAsia="宋体" w:hint="default"/>
                <w:sz w:val="18"/>
                <w:szCs w:val="18"/>
              </w:rPr>
              <w:t>的范围</w:t>
            </w: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07"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连带补充赔偿责任</w:t>
            </w:r>
          </w:p>
        </w:tc>
        <w:tc>
          <w:tcPr>
            <w:tcW w:w="107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1374"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内承担责任。</w:t>
            </w: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7"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等</w:t>
            </w:r>
          </w:p>
        </w:tc>
        <w:tc>
          <w:tcPr>
            <w:tcW w:w="107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1374"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07" w:hRule="exact"/>
        </w:trPr>
        <w:tc>
          <w:tcPr>
            <w:tcW w:w="1560" w:type="dxa"/>
            <w:tcBorders>
              <w:top w:val="nil" w:sz="6" w:space="0" w:color="auto"/>
              <w:left w:val="single" w:sz="4" w:space="0" w:color="000000"/>
              <w:bottom w:val="nil" w:sz="6" w:space="0" w:color="auto"/>
              <w:right w:val="single" w:sz="4" w:space="0" w:color="000000"/>
            </w:tcBorders>
          </w:tcPr>
          <w:p>
            <w:pPr/>
          </w:p>
        </w:tc>
        <w:tc>
          <w:tcPr>
            <w:tcW w:w="107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1374"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0"/>
                <w:sz w:val="18"/>
                <w:szCs w:val="18"/>
              </w:rPr>
              <w:t>日，公司履行了</w:t>
            </w: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1374"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该裁定确定的</w:t>
            </w: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8" w:hRule="exact"/>
        </w:trPr>
        <w:tc>
          <w:tcPr>
            <w:tcW w:w="1560" w:type="dxa"/>
            <w:tcBorders>
              <w:top w:val="nil" w:sz="6" w:space="0" w:color="auto"/>
              <w:left w:val="single" w:sz="4" w:space="0" w:color="000000"/>
              <w:bottom w:val="nil" w:sz="6" w:space="0" w:color="auto"/>
              <w:right w:val="single" w:sz="4" w:space="0" w:color="000000"/>
            </w:tcBorders>
          </w:tcPr>
          <w:p>
            <w:pPr/>
          </w:p>
        </w:tc>
        <w:tc>
          <w:tcPr>
            <w:tcW w:w="107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1374"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债务共计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80.85</w:t>
            </w: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52" w:hRule="exact"/>
        </w:trPr>
        <w:tc>
          <w:tcPr>
            <w:tcW w:w="1560" w:type="dxa"/>
            <w:tcBorders>
              <w:top w:val="nil" w:sz="6" w:space="0" w:color="auto"/>
              <w:left w:val="single" w:sz="4" w:space="0" w:color="000000"/>
              <w:bottom w:val="single" w:sz="4" w:space="0" w:color="000000"/>
              <w:right w:val="single" w:sz="4" w:space="0" w:color="000000"/>
            </w:tcBorders>
          </w:tcPr>
          <w:p>
            <w:pPr/>
          </w:p>
        </w:tc>
        <w:tc>
          <w:tcPr>
            <w:tcW w:w="1072"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938" w:type="dxa"/>
            <w:vMerge/>
            <w:tcBorders>
              <w:left w:val="single" w:sz="4" w:space="0" w:color="000000"/>
              <w:bottom w:val="single" w:sz="4" w:space="0" w:color="000000"/>
              <w:right w:val="single" w:sz="4" w:space="0" w:color="000000"/>
            </w:tcBorders>
          </w:tcPr>
          <w:p>
            <w:pPr/>
          </w:p>
        </w:tc>
        <w:tc>
          <w:tcPr>
            <w:tcW w:w="1374" w:type="dxa"/>
            <w:tcBorders>
              <w:top w:val="nil" w:sz="6" w:space="0" w:color="auto"/>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69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贵州黔茶春茶产业 有限公司将凯里通 卡公司 及四川泽祥电子技 术有限公司（第二 被告，凯里通卡公 </w:t>
            </w:r>
            <w:r>
              <w:rPr>
                <w:rFonts w:ascii="宋体" w:hAnsi="宋体" w:cs="宋体" w:eastAsia="宋体" w:hint="default"/>
                <w:spacing w:val="-13"/>
                <w:sz w:val="18"/>
                <w:szCs w:val="18"/>
              </w:rPr>
              <w:t>司控股股东）、新开</w:t>
            </w:r>
            <w:r>
              <w:rPr>
                <w:rFonts w:ascii="宋体" w:hAnsi="宋体" w:cs="宋体" w:eastAsia="宋体" w:hint="default"/>
                <w:sz w:val="18"/>
                <w:szCs w:val="18"/>
              </w:rPr>
              <w:t> 普（第三被告，凯 里通卡公司股东） 起诉至贵州省凯里 市人民法院，要求 第一被告支付租用 原告的博南客运大 楼一楼售票、候车 大厅及客运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号楼 客车站办公室年租 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114.54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万元及滞</w:t>
            </w:r>
          </w:p>
          <w:p>
            <w:pPr>
              <w:pStyle w:val="TableParagraph"/>
              <w:spacing w:line="312" w:lineRule="auto"/>
              <w:ind w:left="22" w:right="41"/>
              <w:jc w:val="both"/>
              <w:rPr>
                <w:rFonts w:ascii="宋体" w:hAnsi="宋体" w:cs="宋体" w:eastAsia="宋体" w:hint="default"/>
                <w:sz w:val="18"/>
                <w:szCs w:val="18"/>
              </w:rPr>
            </w:pPr>
            <w:r>
              <w:rPr>
                <w:rFonts w:ascii="宋体" w:hAnsi="宋体" w:cs="宋体" w:eastAsia="宋体" w:hint="default"/>
                <w:sz w:val="18"/>
                <w:szCs w:val="18"/>
              </w:rPr>
              <w:t>纳金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154.63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要求第二被告、第 三被告承担支付年 租金的连带责任</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543" w:right="0"/>
              <w:jc w:val="left"/>
              <w:rPr>
                <w:rFonts w:ascii="Times New Roman" w:hAnsi="Times New Roman" w:cs="Times New Roman" w:eastAsia="Times New Roman" w:hint="default"/>
                <w:sz w:val="18"/>
                <w:szCs w:val="18"/>
              </w:rPr>
            </w:pPr>
            <w:r>
              <w:rPr>
                <w:rFonts w:ascii="Times New Roman"/>
                <w:sz w:val="18"/>
              </w:rPr>
              <w:t>176.91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已判决</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2"/>
              <w:ind w:left="22" w:right="23"/>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、被告凯里通卡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公司在本判决生 效之日起三十日 内支付原告贵州 黔茶春茶产业有 限公司租金（含 物管费） </w:t>
            </w:r>
            <w:r>
              <w:rPr>
                <w:rFonts w:ascii="Times New Roman" w:hAnsi="Times New Roman" w:cs="Times New Roman" w:eastAsia="Times New Roman" w:hint="default"/>
                <w:sz w:val="18"/>
                <w:szCs w:val="18"/>
              </w:rPr>
              <w:t>1,095,409.82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316" w:lineRule="auto" w:before="1"/>
              <w:ind w:left="22" w:right="79"/>
              <w:jc w:val="left"/>
              <w:rPr>
                <w:rFonts w:ascii="Times New Roman" w:hAnsi="Times New Roman" w:cs="Times New Roman" w:eastAsia="Times New Roman" w:hint="default"/>
                <w:sz w:val="18"/>
                <w:szCs w:val="18"/>
              </w:rPr>
            </w:pPr>
            <w:r>
              <w:rPr>
                <w:rFonts w:ascii="宋体" w:hAnsi="宋体" w:cs="宋体" w:eastAsia="宋体" w:hint="default"/>
                <w:sz w:val="18"/>
                <w:szCs w:val="18"/>
              </w:rPr>
              <w:t>及逾期付款滞纳 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673,677</w:t>
            </w:r>
            <w:r>
              <w:rPr>
                <w:rFonts w:ascii="Times New Roman" w:hAnsi="Times New Roman" w:cs="Times New Roman" w:eastAsia="Times New Roman" w:hint="default"/>
                <w:spacing w:val="-1"/>
                <w:sz w:val="18"/>
                <w:szCs w:val="18"/>
              </w:rPr>
              <w:t> </w:t>
            </w:r>
            <w:r>
              <w:rPr>
                <w:rFonts w:ascii="宋体" w:hAnsi="宋体" w:cs="宋体" w:eastAsia="宋体" w:hint="default"/>
                <w:spacing w:val="-26"/>
                <w:sz w:val="18"/>
                <w:szCs w:val="18"/>
              </w:rPr>
              <w:t>元。</w:t>
            </w:r>
            <w:r>
              <w:rPr>
                <w:rFonts w:ascii="Times New Roman" w:hAnsi="Times New Roman" w:cs="Times New Roman" w:eastAsia="Times New Roman" w:hint="default"/>
                <w:spacing w:val="-26"/>
                <w:sz w:val="18"/>
                <w:szCs w:val="18"/>
              </w:rPr>
              <w:t>2</w:t>
            </w:r>
          </w:p>
          <w:p>
            <w:pPr>
              <w:pStyle w:val="TableParagraph"/>
              <w:spacing w:line="319" w:lineRule="auto"/>
              <w:ind w:left="22" w:right="79"/>
              <w:jc w:val="left"/>
              <w:rPr>
                <w:rFonts w:ascii="宋体" w:hAnsi="宋体" w:cs="宋体" w:eastAsia="宋体" w:hint="default"/>
                <w:sz w:val="18"/>
                <w:szCs w:val="18"/>
              </w:rPr>
            </w:pPr>
            <w:r>
              <w:rPr>
                <w:rFonts w:ascii="宋体" w:hAnsi="宋体" w:cs="宋体" w:eastAsia="宋体" w:hint="default"/>
                <w:sz w:val="18"/>
                <w:szCs w:val="18"/>
              </w:rPr>
              <w:t>驳回原告的其余 诉讼请求。</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日，公司收到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宋体" w:hAnsi="宋体" w:cs="宋体" w:eastAsia="宋体" w:hint="default"/>
                <w:sz w:val="18"/>
                <w:szCs w:val="18"/>
              </w:rPr>
              <w:t>）黔</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314" w:lineRule="auto" w:before="63"/>
              <w:ind w:left="22" w:right="23"/>
              <w:jc w:val="left"/>
              <w:rPr>
                <w:rFonts w:ascii="宋体" w:hAnsi="宋体" w:cs="宋体" w:eastAsia="宋体" w:hint="default"/>
                <w:sz w:val="18"/>
                <w:szCs w:val="18"/>
              </w:rPr>
            </w:pPr>
            <w:r>
              <w:rPr>
                <w:rFonts w:ascii="宋体" w:hAnsi="宋体" w:cs="宋体" w:eastAsia="宋体" w:hint="default"/>
                <w:spacing w:val="-10"/>
                <w:sz w:val="18"/>
                <w:szCs w:val="18"/>
              </w:rPr>
              <w:t>裁定书，内容为</w:t>
            </w:r>
            <w:r>
              <w:rPr>
                <w:rFonts w:ascii="宋体" w:hAnsi="宋体" w:cs="宋体" w:eastAsia="宋体" w:hint="default"/>
                <w:sz w:val="18"/>
                <w:szCs w:val="18"/>
              </w:rPr>
              <w:t> 黔茶春公司申 请执行（</w:t>
            </w:r>
            <w:r>
              <w:rPr>
                <w:rFonts w:ascii="Times New Roman" w:hAnsi="Times New Roman" w:cs="Times New Roman" w:eastAsia="Times New Roman" w:hint="default"/>
                <w:sz w:val="18"/>
                <w:szCs w:val="18"/>
              </w:rPr>
              <w:t>2015 </w:t>
            </w:r>
            <w:r>
              <w:rPr>
                <w:rFonts w:ascii="宋体" w:hAnsi="宋体" w:cs="宋体" w:eastAsia="宋体" w:hint="default"/>
                <w:sz w:val="18"/>
                <w:szCs w:val="18"/>
              </w:rPr>
              <w:t>凯民商初字第 </w:t>
            </w:r>
            <w:r>
              <w:rPr>
                <w:rFonts w:ascii="Times New Roman" w:hAnsi="Times New Roman" w:cs="Times New Roman" w:eastAsia="Times New Roman" w:hint="default"/>
                <w:sz w:val="18"/>
                <w:szCs w:val="18"/>
              </w:rPr>
              <w:t>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号判决书。 公司因对凯里 通卡公司未出 资到位被追加 </w:t>
            </w:r>
            <w:r>
              <w:rPr>
                <w:rFonts w:ascii="宋体" w:hAnsi="宋体" w:cs="宋体" w:eastAsia="宋体" w:hint="default"/>
                <w:spacing w:val="-10"/>
                <w:sz w:val="18"/>
                <w:szCs w:val="18"/>
              </w:rPr>
              <w:t>为被执行人，公</w:t>
            </w:r>
            <w:r>
              <w:rPr>
                <w:rFonts w:ascii="宋体" w:hAnsi="宋体" w:cs="宋体" w:eastAsia="宋体" w:hint="default"/>
                <w:sz w:val="18"/>
                <w:szCs w:val="18"/>
              </w:rPr>
              <w:t> 司在未出资范 围内对凯里公 司应承担的</w:t>
            </w:r>
          </w:p>
          <w:p>
            <w:pPr>
              <w:pStyle w:val="TableParagraph"/>
              <w:spacing w:line="312" w:lineRule="auto" w:before="20"/>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179.85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万元承 担偿还责任。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pacing w:val="-10"/>
                <w:sz w:val="18"/>
                <w:szCs w:val="18"/>
              </w:rPr>
              <w:t>日，公司向凯里</w:t>
            </w:r>
            <w:r>
              <w:rPr>
                <w:rFonts w:ascii="宋体" w:hAnsi="宋体" w:cs="宋体" w:eastAsia="宋体" w:hint="default"/>
                <w:sz w:val="18"/>
                <w:szCs w:val="18"/>
              </w:rPr>
              <w:t> 市人民法院提 交了执行异议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362" w:hRule="exact"/>
        </w:trPr>
        <w:tc>
          <w:tcPr>
            <w:tcW w:w="1560"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申请书。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十二、处罚及整改情况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4" w:right="68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5"/>
        <w:ind w:right="0" w:firstLine="420"/>
        <w:jc w:val="left"/>
      </w:pPr>
      <w:r>
        <w:rPr>
          <w:spacing w:val="-1"/>
        </w:rPr>
        <w:t>报告期内公司及其控股股东、实际控制人不存在未履行法院生效判决、所负数额较大的债务到期未清</w:t>
      </w:r>
      <w:r>
        <w:rPr/>
        <w:t> 偿等情况。</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4" w:right="34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公司报告期无股权激励计划、员工持股计划或其他员工激励措施及其实施情况。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公司报告期未发生与日常经营相关的关联交易。</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54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spacing w:line="340" w:lineRule="auto" w:before="0"/>
        <w:ind w:left="154" w:right="61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67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公司报告期不存在关联债权债务往来。</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393" w:lineRule="auto" w:before="35"/>
        <w:ind w:left="153" w:right="139" w:firstLine="420"/>
        <w:jc w:val="left"/>
      </w:pP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14</w:t>
      </w:r>
      <w:r>
        <w:rPr/>
        <w:t>日披露了《发行股份及支付现金购买资产并募集配套资金暨关联交易报告书》及 </w:t>
      </w:r>
      <w:r>
        <w:rPr>
          <w:spacing w:val="-1"/>
        </w:rPr>
        <w:t>相关文件，公司拟以发行股份及支付现金的方式购买刘永春、丛伟滋、李洪、熊小洪、白海清、黄暂度共</w:t>
      </w:r>
      <w:r>
        <w:rPr>
          <w:spacing w:val="-83"/>
        </w:rPr>
        <w:t> </w:t>
      </w:r>
      <w:r>
        <w:rPr>
          <w:spacing w:val="-83"/>
        </w:rPr>
      </w:r>
      <w:r>
        <w:rPr>
          <w:rFonts w:ascii="Times New Roman" w:hAnsi="Times New Roman" w:cs="Times New Roman" w:eastAsia="Times New Roman" w:hint="default"/>
          <w:spacing w:val="-2"/>
        </w:rPr>
        <w:t>6</w:t>
      </w:r>
      <w:r>
        <w:rPr>
          <w:spacing w:val="-2"/>
        </w:rPr>
        <w:t>名交易对方合计持有的迪科远望</w:t>
      </w:r>
      <w:r>
        <w:rPr>
          <w:rFonts w:ascii="Times New Roman" w:hAnsi="Times New Roman" w:cs="Times New Roman" w:eastAsia="Times New Roman" w:hint="default"/>
          <w:spacing w:val="-2"/>
        </w:rPr>
        <w:t>100%</w:t>
      </w:r>
      <w:r>
        <w:rPr>
          <w:spacing w:val="-2"/>
        </w:rPr>
        <w:t>股权，同时拟向郑州佳辰、罗会军、柳楠、吴凤辉共</w:t>
      </w:r>
      <w:r>
        <w:rPr>
          <w:rFonts w:ascii="Times New Roman" w:hAnsi="Times New Roman" w:cs="Times New Roman" w:eastAsia="Times New Roman" w:hint="default"/>
          <w:spacing w:val="-2"/>
        </w:rPr>
        <w:t>4</w:t>
      </w:r>
      <w:r>
        <w:rPr>
          <w:spacing w:val="-2"/>
        </w:rPr>
        <w:t>名认购对象发</w:t>
      </w:r>
      <w:r>
        <w:rPr/>
        <w:t> 行股份募集配套资金不超过</w:t>
      </w:r>
      <w:r>
        <w:rPr>
          <w:rFonts w:ascii="Times New Roman" w:hAnsi="Times New Roman" w:cs="Times New Roman" w:eastAsia="Times New Roman" w:hint="default"/>
        </w:rPr>
        <w:t>8,000</w:t>
      </w:r>
      <w:r>
        <w:rPr/>
        <w:t>万元，募集资金总额不超过本次交易总额的</w:t>
      </w:r>
      <w:r>
        <w:rPr>
          <w:rFonts w:ascii="Times New Roman" w:hAnsi="Times New Roman" w:cs="Times New Roman" w:eastAsia="Times New Roman" w:hint="default"/>
        </w:rPr>
        <w:t>25%</w:t>
      </w:r>
      <w:r>
        <w:rPr/>
        <w:t>。</w:t>
      </w:r>
    </w:p>
    <w:p>
      <w:pPr>
        <w:pStyle w:val="BodyText"/>
        <w:spacing w:line="391" w:lineRule="auto" w:before="28"/>
        <w:ind w:left="153" w:right="144" w:firstLine="420"/>
        <w:jc w:val="left"/>
      </w:pPr>
      <w:r>
        <w:rPr>
          <w:spacing w:val="-1"/>
        </w:rPr>
        <w:t>本次交易标的采用收益法和资产基础法两种评估方法进行评估。根据《资产评估报告》评估值为基础</w:t>
      </w:r>
      <w:r>
        <w:rPr/>
        <w:t> </w:t>
      </w:r>
      <w:r>
        <w:rPr>
          <w:spacing w:val="-1"/>
        </w:rPr>
        <w:t>经协商后，交易各方确定在本次交易中迪科远望</w:t>
      </w:r>
      <w:r>
        <w:rPr>
          <w:rFonts w:ascii="Times New Roman" w:hAnsi="Times New Roman" w:cs="Times New Roman" w:eastAsia="Times New Roman" w:hint="default"/>
          <w:spacing w:val="-1"/>
        </w:rPr>
        <w:t>100%</w:t>
      </w:r>
      <w:r>
        <w:rPr>
          <w:spacing w:val="-1"/>
        </w:rPr>
        <w:t>股权的交易价格为</w:t>
      </w:r>
      <w:r>
        <w:rPr>
          <w:rFonts w:ascii="Times New Roman" w:hAnsi="Times New Roman" w:cs="Times New Roman" w:eastAsia="Times New Roman" w:hint="default"/>
          <w:spacing w:val="-1"/>
        </w:rPr>
        <w:t>32,000</w:t>
      </w:r>
      <w:r>
        <w:rPr>
          <w:spacing w:val="-1"/>
        </w:rPr>
        <w:t>万元，其中，新开普将以发</w:t>
      </w:r>
      <w:r>
        <w:rPr>
          <w:spacing w:val="-103"/>
        </w:rPr>
        <w:t> </w:t>
      </w:r>
      <w:r>
        <w:rPr>
          <w:spacing w:val="-103"/>
        </w:rPr>
      </w:r>
      <w:r>
        <w:rPr/>
        <w:t>行股份方式支付交易对价中的</w:t>
      </w:r>
      <w:r>
        <w:rPr>
          <w:rFonts w:ascii="Times New Roman" w:hAnsi="Times New Roman" w:cs="Times New Roman" w:eastAsia="Times New Roman" w:hint="default"/>
        </w:rPr>
        <w:t>15,600</w:t>
      </w:r>
      <w:r>
        <w:rPr/>
        <w:t>万元，以现金方式支付交易对价中的</w:t>
      </w:r>
      <w:r>
        <w:rPr>
          <w:rFonts w:ascii="Times New Roman" w:hAnsi="Times New Roman" w:cs="Times New Roman" w:eastAsia="Times New Roman" w:hint="default"/>
        </w:rPr>
        <w:t>16,400</w:t>
      </w:r>
      <w:r>
        <w:rPr/>
        <w:t>万元。本次交易中，新开 普将以现金方式支付交易对价中的</w:t>
      </w:r>
      <w:r>
        <w:rPr>
          <w:rFonts w:ascii="Times New Roman" w:hAnsi="Times New Roman" w:cs="Times New Roman" w:eastAsia="Times New Roman" w:hint="default"/>
        </w:rPr>
        <w:t>16,400</w:t>
      </w:r>
      <w:r>
        <w:rPr/>
        <w:t>万元。为筹措资金，新开普拟以非公开发行股份的方式向郑州佳 辰、罗会军、柳楠、吴凤辉共</w:t>
      </w:r>
      <w:r>
        <w:rPr>
          <w:rFonts w:ascii="Times New Roman" w:hAnsi="Times New Roman" w:cs="Times New Roman" w:eastAsia="Times New Roman" w:hint="default"/>
        </w:rPr>
        <w:t>4</w:t>
      </w:r>
      <w:r>
        <w:rPr/>
        <w:t>名认购对象非公开发行股份募集配套资金不超过</w:t>
      </w:r>
      <w:r>
        <w:rPr>
          <w:rFonts w:ascii="Times New Roman" w:hAnsi="Times New Roman" w:cs="Times New Roman" w:eastAsia="Times New Roman" w:hint="default"/>
        </w:rPr>
        <w:t>8,000</w:t>
      </w:r>
      <w:r>
        <w:rPr/>
        <w:t>万元。</w:t>
      </w:r>
    </w:p>
    <w:p>
      <w:pPr>
        <w:pStyle w:val="BodyText"/>
        <w:spacing w:line="386" w:lineRule="auto" w:before="30"/>
        <w:ind w:left="153" w:right="0" w:firstLine="420"/>
        <w:jc w:val="left"/>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8</w:t>
      </w:r>
      <w:r>
        <w:rPr>
          <w:spacing w:val="-1"/>
        </w:rPr>
        <w:t>日，中国证监会</w:t>
      </w:r>
      <w:r>
        <w:rPr>
          <w:rFonts w:ascii="Times New Roman" w:hAnsi="Times New Roman" w:cs="Times New Roman" w:eastAsia="Times New Roman" w:hint="default"/>
          <w:spacing w:val="-1"/>
        </w:rPr>
        <w:t>2015</w:t>
      </w:r>
      <w:r>
        <w:rPr>
          <w:spacing w:val="-1"/>
        </w:rPr>
        <w:t>年第</w:t>
      </w:r>
      <w:r>
        <w:rPr>
          <w:rFonts w:ascii="Times New Roman" w:hAnsi="Times New Roman" w:cs="Times New Roman" w:eastAsia="Times New Roman" w:hint="default"/>
          <w:spacing w:val="-1"/>
        </w:rPr>
        <w:t>35</w:t>
      </w:r>
      <w:r>
        <w:rPr>
          <w:spacing w:val="-1"/>
        </w:rPr>
        <w:t>次上市公司并购重组审核委员会工作会议审核有条件通过了公</w:t>
      </w:r>
      <w:r>
        <w:rPr/>
        <w:t> </w:t>
      </w:r>
      <w:r>
        <w:rPr>
          <w:spacing w:val="-1"/>
        </w:rPr>
        <w:t>司发行股份及支付现金购买资产并募集配套资金事项。</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w:t>
      </w:r>
      <w:r>
        <w:rPr>
          <w:spacing w:val="-1"/>
        </w:rPr>
        <w:t>日，公司领取中国证监会下发的证监许</w:t>
      </w:r>
      <w:r>
        <w:rPr>
          <w:spacing w:val="-83"/>
        </w:rPr>
        <w:t> </w:t>
      </w:r>
      <w:r>
        <w:rPr>
          <w:spacing w:val="-83"/>
        </w:rPr>
      </w:r>
      <w:r>
        <w:rPr/>
        <w:t>可</w:t>
      </w:r>
      <w:r>
        <w:rPr>
          <w:rFonts w:ascii="Times New Roman" w:hAnsi="Times New Roman" w:cs="Times New Roman" w:eastAsia="Times New Roman" w:hint="default"/>
        </w:rPr>
        <w:t>[2015]1417</w:t>
      </w:r>
      <w:r>
        <w:rPr/>
        <w:t>号《关于核准新开普电子股份有限公司向刘永春等发行股份购买资产并募集配套资金的批 复》，核准了本次交易。</w:t>
      </w:r>
    </w:p>
    <w:p>
      <w:pPr>
        <w:pStyle w:val="BodyText"/>
        <w:spacing w:line="381" w:lineRule="auto" w:before="65"/>
        <w:ind w:right="215" w:firstLine="420"/>
        <w:jc w:val="left"/>
        <w:rPr>
          <w:sz w:val="18"/>
          <w:szCs w:val="18"/>
        </w:rPr>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日，公司在中国证券登记结算有限责任公司深圳分公司办理了本次交易所发行新增股份 的登记手续，本次交易新增股份</w:t>
      </w:r>
      <w:r>
        <w:rPr>
          <w:rFonts w:ascii="Times New Roman" w:hAnsi="Times New Roman" w:cs="Times New Roman" w:eastAsia="Times New Roman" w:hint="default"/>
        </w:rPr>
        <w:t>16,654,901</w:t>
      </w:r>
      <w:r>
        <w:rPr/>
        <w:t>股已于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日在深圳证券交易所上市。 </w:t>
      </w:r>
      <w:r>
        <w:rPr>
          <w:sz w:val="18"/>
          <w:szCs w:val="18"/>
        </w:rPr>
        <w:t>重大关联交易临时报告披露网站相关查询</w:t>
      </w:r>
    </w:p>
    <w:tbl>
      <w:tblPr>
        <w:tblW w:w="0" w:type="auto"/>
        <w:jc w:val="left"/>
        <w:tblInd w:w="149" w:type="dxa"/>
        <w:tblLayout w:type="fixed"/>
        <w:tblCellMar>
          <w:top w:w="0" w:type="dxa"/>
          <w:left w:w="0" w:type="dxa"/>
          <w:bottom w:w="0" w:type="dxa"/>
          <w:right w:w="0" w:type="dxa"/>
        </w:tblCellMar>
        <w:tblLook w:val="01E0"/>
      </w:tblPr>
      <w:tblGrid>
        <w:gridCol w:w="3460"/>
        <w:gridCol w:w="2650"/>
        <w:gridCol w:w="345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
                <w:sz w:val="18"/>
                <w:szCs w:val="18"/>
              </w:rPr>
              <w:t>新开普：发行股份及支付现金购买资产并募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集配套资金暨关联交易报告书（草案）</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70"/>
                <w:sz w:val="18"/>
                <w:szCs w:val="18"/>
              </w:rPr>
              <w:t> </w:t>
            </w:r>
            <w:hyperlink r:id="rId31">
              <w:r>
                <w:rPr>
                  <w:rFonts w:ascii="Times New Roman" w:hAnsi="Times New Roman" w:cs="Times New Roman" w:eastAsia="Times New Roman" w:hint="default"/>
                  <w:sz w:val="18"/>
                  <w:szCs w:val="18"/>
                </w:rPr>
                <w:t>www.cninfo.com.cn</w:t>
              </w:r>
            </w:hyperlink>
          </w:p>
        </w:tc>
      </w:tr>
      <w:tr>
        <w:trPr>
          <w:trHeight w:val="1026"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
                <w:sz w:val="18"/>
                <w:szCs w:val="18"/>
              </w:rPr>
              <w:t>新开普：关于发行股份及支付现金购买资产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并募集配套资金暨关联交易事项获得中国 证监会正式批复的公告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70"/>
                <w:sz w:val="18"/>
                <w:szCs w:val="18"/>
              </w:rPr>
              <w:t> </w:t>
            </w:r>
            <w:hyperlink r:id="rId31">
              <w:r>
                <w:rPr>
                  <w:rFonts w:ascii="Times New Roman" w:hAnsi="Times New Roman" w:cs="Times New Roman" w:eastAsia="Times New Roman" w:hint="default"/>
                  <w:sz w:val="18"/>
                  <w:szCs w:val="18"/>
                </w:rPr>
                <w:t>www.cninfo.com.cn</w:t>
              </w:r>
            </w:hyperlink>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
                <w:sz w:val="18"/>
                <w:szCs w:val="18"/>
              </w:rPr>
              <w:t>新开普：发行股份及支付现金购买资产并募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集配套资金暨关联交易报告书（修订稿）</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70"/>
                <w:sz w:val="18"/>
                <w:szCs w:val="18"/>
              </w:rPr>
              <w:t> </w:t>
            </w:r>
            <w:hyperlink r:id="rId31">
              <w:r>
                <w:rPr>
                  <w:rFonts w:ascii="Times New Roman" w:hAnsi="Times New Roman" w:cs="Times New Roman" w:eastAsia="Times New Roman" w:hint="default"/>
                  <w:sz w:val="18"/>
                  <w:szCs w:val="18"/>
                </w:rPr>
                <w:t>www.cninfo.com.cn</w:t>
              </w:r>
            </w:hyperlink>
          </w:p>
        </w:tc>
      </w:tr>
      <w:tr>
        <w:trPr>
          <w:trHeight w:val="1026"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both"/>
              <w:rPr>
                <w:rFonts w:ascii="宋体" w:hAnsi="宋体" w:cs="宋体" w:eastAsia="宋体" w:hint="default"/>
                <w:sz w:val="18"/>
                <w:szCs w:val="18"/>
              </w:rPr>
            </w:pPr>
            <w:r>
              <w:rPr>
                <w:rFonts w:ascii="宋体" w:hAnsi="宋体" w:cs="宋体" w:eastAsia="宋体" w:hint="default"/>
                <w:sz w:val="18"/>
                <w:szCs w:val="18"/>
              </w:rPr>
              <w:t>发行股份及支付现金购买资产并募集配套 资金暨关联交易实施情况暨新增股份上市 公告书</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70"/>
                <w:sz w:val="18"/>
                <w:szCs w:val="18"/>
              </w:rPr>
              <w:t> </w:t>
            </w:r>
            <w:hyperlink r:id="rId31">
              <w:r>
                <w:rPr>
                  <w:rFonts w:ascii="Times New Roman" w:hAnsi="Times New Roman" w:cs="Times New Roman" w:eastAsia="Times New Roman" w:hint="default"/>
                  <w:sz w:val="18"/>
                  <w:szCs w:val="18"/>
                </w:rPr>
                <w:t>www.cninfo.com.cn</w:t>
              </w:r>
            </w:hyperlink>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十六、重大合同及其履行情况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spacing w:before="44"/>
        <w:ind w:left="153" w:right="7418" w:firstLine="0"/>
        <w:jc w:val="left"/>
        <w:rPr>
          <w:rFonts w:ascii="宋体" w:hAnsi="宋体" w:cs="宋体" w:eastAsia="宋体" w:hint="default"/>
          <w:sz w:val="18"/>
          <w:szCs w:val="18"/>
        </w:rPr>
      </w:pPr>
      <w:r>
        <w:rPr>
          <w:rFonts w:ascii="宋体" w:hAnsi="宋体" w:cs="宋体" w:eastAsia="宋体" w:hint="default"/>
          <w:sz w:val="18"/>
          <w:szCs w:val="18"/>
        </w:rPr>
        <w:t>公司报告期不存在托管情况。</w:t>
      </w:r>
    </w:p>
    <w:p>
      <w:pPr>
        <w:spacing w:line="240" w:lineRule="auto" w:before="10"/>
        <w:rPr>
          <w:rFonts w:ascii="宋体" w:hAnsi="宋体" w:cs="宋体" w:eastAsia="宋体" w:hint="default"/>
          <w:sz w:val="26"/>
          <w:szCs w:val="26"/>
        </w:rPr>
      </w:pPr>
    </w:p>
    <w:p>
      <w:pPr>
        <w:pStyle w:val="Heading4"/>
        <w:spacing w:line="240" w:lineRule="auto"/>
        <w:ind w:right="7418"/>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4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2"/>
        <w:rPr>
          <w:rFonts w:ascii="宋体" w:hAnsi="宋体" w:cs="宋体" w:eastAsia="宋体" w:hint="default"/>
          <w:sz w:val="21"/>
          <w:szCs w:val="21"/>
        </w:rPr>
      </w:pPr>
    </w:p>
    <w:p>
      <w:pPr>
        <w:pStyle w:val="Heading4"/>
        <w:spacing w:line="240" w:lineRule="auto"/>
        <w:ind w:right="7418"/>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74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租赁情况说明</w:t>
      </w:r>
    </w:p>
    <w:p>
      <w:pPr>
        <w:pStyle w:val="BodyText"/>
        <w:spacing w:line="386" w:lineRule="auto" w:before="92"/>
        <w:ind w:left="153" w:right="96" w:firstLine="420"/>
        <w:jc w:val="left"/>
      </w:pPr>
      <w:r>
        <w:rPr>
          <w:rFonts w:ascii="Times New Roman" w:hAnsi="Times New Roman" w:cs="Times New Roman" w:eastAsia="Times New Roman" w:hint="default"/>
        </w:rPr>
        <w:t>1</w:t>
      </w:r>
      <w:r>
        <w:rPr/>
        <w:t>、经公司第三届董事会第七次会议及第三届监事会第六次会议审议通过，公司同意将位于郑州高新 技术产业开发区翠竹街</w:t>
      </w:r>
      <w:r>
        <w:rPr>
          <w:rFonts w:ascii="Times New Roman" w:hAnsi="Times New Roman" w:cs="Times New Roman" w:eastAsia="Times New Roman" w:hint="default"/>
        </w:rPr>
        <w:t>6</w:t>
      </w:r>
      <w:r>
        <w:rPr/>
        <w:t>号</w:t>
      </w:r>
      <w:r>
        <w:rPr>
          <w:rFonts w:ascii="Times New Roman" w:hAnsi="Times New Roman" w:cs="Times New Roman" w:eastAsia="Times New Roman" w:hint="default"/>
        </w:rPr>
        <w:t>863</w:t>
      </w:r>
      <w:r>
        <w:rPr/>
        <w:t>国家软件基地</w:t>
      </w:r>
      <w:r>
        <w:rPr>
          <w:rFonts w:ascii="Times New Roman" w:hAnsi="Times New Roman" w:cs="Times New Roman" w:eastAsia="Times New Roman" w:hint="default"/>
        </w:rPr>
        <w:t>10</w:t>
      </w:r>
      <w:r>
        <w:rPr/>
        <w:t>号楼房产整体向郑州罗曼达酒店管理有限公司进行出租，并 签署《房屋租赁合同》，租赁期限自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2029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日止共计</w:t>
      </w:r>
      <w:r>
        <w:rPr>
          <w:rFonts w:ascii="Times New Roman" w:hAnsi="Times New Roman" w:cs="Times New Roman" w:eastAsia="Times New Roman" w:hint="default"/>
        </w:rPr>
        <w:t>15</w:t>
      </w:r>
      <w:r>
        <w:rPr/>
        <w:t>年。双方约定自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 </w:t>
      </w:r>
      <w:r>
        <w:rPr/>
        <w:t>月</w:t>
      </w:r>
      <w:r>
        <w:rPr>
          <w:rFonts w:ascii="Times New Roman" w:hAnsi="Times New Roman" w:cs="Times New Roman" w:eastAsia="Times New Roman" w:hint="default"/>
        </w:rPr>
        <w:t>1</w:t>
      </w:r>
      <w:r>
        <w:rPr/>
        <w:t>日起，年租金为</w:t>
      </w:r>
      <w:r>
        <w:rPr>
          <w:rFonts w:ascii="Times New Roman" w:hAnsi="Times New Roman" w:cs="Times New Roman" w:eastAsia="Times New Roman" w:hint="default"/>
        </w:rPr>
        <w:t>339</w:t>
      </w:r>
      <w:r>
        <w:rPr/>
        <w:t>万元</w:t>
      </w:r>
      <w:r>
        <w:rPr>
          <w:rFonts w:ascii="Times New Roman" w:hAnsi="Times New Roman" w:cs="Times New Roman" w:eastAsia="Times New Roman" w:hint="default"/>
        </w:rPr>
        <w:t>/</w:t>
      </w:r>
      <w:r>
        <w:rPr/>
        <w:t>年；第</w:t>
      </w:r>
      <w:r>
        <w:rPr>
          <w:rFonts w:ascii="Times New Roman" w:hAnsi="Times New Roman" w:cs="Times New Roman" w:eastAsia="Times New Roman" w:hint="default"/>
        </w:rPr>
        <w:t>5</w:t>
      </w:r>
      <w:r>
        <w:rPr/>
        <w:t>个租赁年度内（</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日）开始租金在第一年的基础上递增</w:t>
      </w:r>
      <w:r>
        <w:rPr>
          <w:rFonts w:ascii="Times New Roman" w:hAnsi="Times New Roman" w:cs="Times New Roman" w:eastAsia="Times New Roman" w:hint="default"/>
        </w:rPr>
        <w:t>5%</w:t>
      </w:r>
      <w:r>
        <w:rPr/>
        <w:t>， 为</w:t>
      </w:r>
      <w:r>
        <w:rPr>
          <w:rFonts w:ascii="Times New Roman" w:hAnsi="Times New Roman" w:cs="Times New Roman" w:eastAsia="Times New Roman" w:hint="default"/>
        </w:rPr>
        <w:t>355.95</w:t>
      </w:r>
      <w:r>
        <w:rPr/>
        <w:t>万元</w:t>
      </w:r>
      <w:r>
        <w:rPr>
          <w:rFonts w:ascii="Times New Roman" w:hAnsi="Times New Roman" w:cs="Times New Roman" w:eastAsia="Times New Roman" w:hint="default"/>
        </w:rPr>
        <w:t>/</w:t>
      </w:r>
      <w:r>
        <w:rPr/>
        <w:t>年，之后五年不变；第</w:t>
      </w:r>
      <w:r>
        <w:rPr>
          <w:rFonts w:ascii="Times New Roman" w:hAnsi="Times New Roman" w:cs="Times New Roman" w:eastAsia="Times New Roman" w:hint="default"/>
        </w:rPr>
        <w:t>10</w:t>
      </w:r>
      <w:r>
        <w:rPr/>
        <w:t>个租赁年度（</w:t>
      </w:r>
      <w:r>
        <w:rPr>
          <w:rFonts w:ascii="Times New Roman" w:hAnsi="Times New Roman" w:cs="Times New Roman" w:eastAsia="Times New Roman" w:hint="default"/>
        </w:rPr>
        <w:t>2024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日）开始的最后租赁期内，年租金在上年 度租金的基础上递增，比例为</w:t>
      </w:r>
      <w:r>
        <w:rPr>
          <w:rFonts w:ascii="Times New Roman" w:hAnsi="Times New Roman" w:cs="Times New Roman" w:eastAsia="Times New Roman" w:hint="default"/>
        </w:rPr>
        <w:t>5%</w:t>
      </w:r>
      <w:r>
        <w:rPr/>
        <w:t>－</w:t>
      </w:r>
      <w:r>
        <w:rPr>
          <w:rFonts w:ascii="Times New Roman" w:hAnsi="Times New Roman" w:cs="Times New Roman" w:eastAsia="Times New Roman" w:hint="default"/>
        </w:rPr>
        <w:t>10%</w:t>
      </w:r>
      <w:r>
        <w:rPr/>
        <w:t>，具体金额由双方根据营利情况、市场租金变化情况，友好协商。</w:t>
      </w:r>
    </w:p>
    <w:p>
      <w:pPr>
        <w:pStyle w:val="BodyText"/>
        <w:spacing w:line="386" w:lineRule="auto" w:before="76"/>
        <w:ind w:right="166" w:firstLine="420"/>
        <w:jc w:val="both"/>
      </w:pPr>
      <w:r>
        <w:rPr>
          <w:rFonts w:ascii="Times New Roman" w:hAnsi="Times New Roman" w:cs="Times New Roman" w:eastAsia="Times New Roman" w:hint="default"/>
        </w:rPr>
        <w:t>2</w:t>
      </w:r>
      <w:r>
        <w:rPr/>
        <w:t>、经公司第三届董事会第七次会议及第三届监事会第六次会议审议通过，拟对目前郑州高新技术产</w:t>
      </w:r>
      <w:r>
        <w:rPr>
          <w:spacing w:val="2"/>
        </w:rPr>
        <w:t> </w:t>
      </w:r>
      <w:r>
        <w:rPr/>
        <w:t>开发区迎春街</w:t>
      </w:r>
      <w:r>
        <w:rPr>
          <w:rFonts w:ascii="Times New Roman" w:hAnsi="Times New Roman" w:cs="Times New Roman" w:eastAsia="Times New Roman" w:hint="default"/>
        </w:rPr>
        <w:t>18</w:t>
      </w:r>
      <w:r>
        <w:rPr/>
        <w:t>号</w:t>
      </w:r>
      <w:r>
        <w:rPr>
          <w:rFonts w:ascii="Times New Roman" w:hAnsi="Times New Roman" w:cs="Times New Roman" w:eastAsia="Times New Roman" w:hint="default"/>
        </w:rPr>
        <w:t>1</w:t>
      </w:r>
      <w:r>
        <w:rPr/>
        <w:t>号楼临金梭路</w:t>
      </w:r>
      <w:r>
        <w:rPr>
          <w:rFonts w:ascii="Times New Roman" w:hAnsi="Times New Roman" w:cs="Times New Roman" w:eastAsia="Times New Roman" w:hint="default"/>
        </w:rPr>
        <w:t>1-2</w:t>
      </w:r>
      <w:r>
        <w:rPr/>
        <w:t>层（金梭路西、迎春街北），共计建筑面积</w:t>
      </w:r>
      <w:r>
        <w:rPr>
          <w:rFonts w:ascii="Times New Roman" w:hAnsi="Times New Roman" w:cs="Times New Roman" w:eastAsia="Times New Roman" w:hint="default"/>
        </w:rPr>
        <w:t>1,117.7</w:t>
      </w:r>
      <w:r>
        <w:rPr/>
        <w:t>平方米房屋对外出</w:t>
      </w:r>
      <w:r>
        <w:rPr>
          <w:spacing w:val="-101"/>
        </w:rPr>
        <w:t> </w:t>
      </w:r>
      <w:r>
        <w:rPr/>
        <w:t>租。董事会经审议授权总经理负责后续出租事宜。</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日，公司与中信银行股份有限公司郑州分</w:t>
      </w:r>
      <w:r>
        <w:rPr>
          <w:spacing w:val="-36"/>
        </w:rPr>
        <w:t> </w:t>
      </w:r>
      <w:r>
        <w:rPr>
          <w:spacing w:val="-36"/>
        </w:rPr>
      </w:r>
      <w:r>
        <w:rPr>
          <w:spacing w:val="-6"/>
        </w:rPr>
        <w:t>行签署《房屋租赁合同》，将前述房屋共计</w:t>
      </w:r>
      <w:r>
        <w:rPr>
          <w:rFonts w:ascii="Times New Roman" w:hAnsi="Times New Roman" w:cs="Times New Roman" w:eastAsia="Times New Roman" w:hint="default"/>
          <w:spacing w:val="-6"/>
        </w:rPr>
        <w:t>1,100</w:t>
      </w:r>
      <w:r>
        <w:rPr>
          <w:spacing w:val="-6"/>
        </w:rPr>
        <w:t>平方租赁给中信银行股份有限公司郑州分行。租赁期为</w:t>
      </w:r>
      <w:r>
        <w:rPr>
          <w:rFonts w:ascii="Times New Roman" w:hAnsi="Times New Roman" w:cs="Times New Roman" w:eastAsia="Times New Roman" w:hint="default"/>
          <w:spacing w:val="-6"/>
        </w:rPr>
        <w:t>2015</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2025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30</w:t>
      </w:r>
      <w:r>
        <w:rPr>
          <w:spacing w:val="-2"/>
        </w:rPr>
        <w:t>日，租金价格：第</w:t>
      </w:r>
      <w:r>
        <w:rPr>
          <w:rFonts w:ascii="Times New Roman" w:hAnsi="Times New Roman" w:cs="Times New Roman" w:eastAsia="Times New Roman" w:hint="default"/>
          <w:spacing w:val="-2"/>
        </w:rPr>
        <w:t>1</w:t>
      </w:r>
      <w:r>
        <w:rPr>
          <w:spacing w:val="-2"/>
        </w:rPr>
        <w:t>年至第</w:t>
      </w:r>
      <w:r>
        <w:rPr>
          <w:rFonts w:ascii="Times New Roman" w:hAnsi="Times New Roman" w:cs="Times New Roman" w:eastAsia="Times New Roman" w:hint="default"/>
          <w:spacing w:val="-2"/>
        </w:rPr>
        <w:t>5</w:t>
      </w:r>
      <w:r>
        <w:rPr>
          <w:spacing w:val="-2"/>
        </w:rPr>
        <w:t>年，每年租金总额</w:t>
      </w:r>
      <w:r>
        <w:rPr>
          <w:rFonts w:ascii="Times New Roman" w:hAnsi="Times New Roman" w:cs="Times New Roman" w:eastAsia="Times New Roman" w:hint="default"/>
          <w:spacing w:val="-2"/>
        </w:rPr>
        <w:t>126.72</w:t>
      </w:r>
      <w:r>
        <w:rPr>
          <w:spacing w:val="-2"/>
        </w:rPr>
        <w:t>万元，第</w:t>
      </w:r>
      <w:r>
        <w:rPr>
          <w:rFonts w:ascii="Times New Roman" w:hAnsi="Times New Roman" w:cs="Times New Roman" w:eastAsia="Times New Roman" w:hint="default"/>
          <w:spacing w:val="-2"/>
        </w:rPr>
        <w:t>6</w:t>
      </w:r>
      <w:r>
        <w:rPr>
          <w:spacing w:val="-2"/>
        </w:rPr>
        <w:t>年至第</w:t>
      </w:r>
      <w:r>
        <w:rPr>
          <w:rFonts w:ascii="Times New Roman" w:hAnsi="Times New Roman" w:cs="Times New Roman" w:eastAsia="Times New Roman" w:hint="default"/>
          <w:spacing w:val="-2"/>
        </w:rPr>
        <w:t>8</w:t>
      </w:r>
      <w:r>
        <w:rPr>
          <w:spacing w:val="-2"/>
        </w:rPr>
        <w:t>年，每年租</w:t>
      </w:r>
      <w:r>
        <w:rPr>
          <w:spacing w:val="-85"/>
        </w:rPr>
        <w:t> </w:t>
      </w:r>
      <w:r>
        <w:rPr>
          <w:spacing w:val="-85"/>
        </w:rPr>
      </w:r>
      <w:r>
        <w:rPr/>
        <w:t>金总额</w:t>
      </w:r>
      <w:r>
        <w:rPr>
          <w:rFonts w:ascii="Times New Roman" w:hAnsi="Times New Roman" w:cs="Times New Roman" w:eastAsia="Times New Roman" w:hint="default"/>
        </w:rPr>
        <w:t>130.52</w:t>
      </w:r>
      <w:r>
        <w:rPr/>
        <w:t>万元，第</w:t>
      </w:r>
      <w:r>
        <w:rPr>
          <w:rFonts w:ascii="Times New Roman" w:hAnsi="Times New Roman" w:cs="Times New Roman" w:eastAsia="Times New Roman" w:hint="default"/>
        </w:rPr>
        <w:t>9</w:t>
      </w:r>
      <w:r>
        <w:rPr/>
        <w:t>年至第</w:t>
      </w:r>
      <w:r>
        <w:rPr>
          <w:rFonts w:ascii="Times New Roman" w:hAnsi="Times New Roman" w:cs="Times New Roman" w:eastAsia="Times New Roman" w:hint="default"/>
        </w:rPr>
        <w:t>10</w:t>
      </w:r>
      <w:r>
        <w:rPr/>
        <w:t>年，每年租金总额</w:t>
      </w:r>
      <w:r>
        <w:rPr>
          <w:rFonts w:ascii="Times New Roman" w:hAnsi="Times New Roman" w:cs="Times New Roman" w:eastAsia="Times New Roman" w:hint="default"/>
        </w:rPr>
        <w:t>134.43</w:t>
      </w:r>
      <w:r>
        <w:rPr/>
        <w:t>万元。</w:t>
      </w:r>
    </w:p>
    <w:p>
      <w:pPr>
        <w:spacing w:before="23"/>
        <w:ind w:left="154" w:right="96"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2"/>
        <w:ind w:left="153" w:right="74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96"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10"/>
        <w:rPr>
          <w:rFonts w:ascii="宋体" w:hAnsi="宋体" w:cs="宋体" w:eastAsia="宋体" w:hint="default"/>
          <w:sz w:val="25"/>
          <w:szCs w:val="25"/>
        </w:rPr>
      </w:pPr>
    </w:p>
    <w:p>
      <w:pPr>
        <w:pStyle w:val="Heading4"/>
        <w:spacing w:line="240" w:lineRule="auto"/>
        <w:ind w:right="7418"/>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74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公司报告期不存在担保情况。</w:t>
      </w:r>
    </w:p>
    <w:p>
      <w:pPr>
        <w:spacing w:line="240" w:lineRule="auto" w:before="12"/>
        <w:rPr>
          <w:rFonts w:ascii="宋体" w:hAnsi="宋体" w:cs="宋体" w:eastAsia="宋体" w:hint="default"/>
          <w:sz w:val="20"/>
          <w:szCs w:val="20"/>
        </w:rPr>
      </w:pPr>
    </w:p>
    <w:p>
      <w:pPr>
        <w:pStyle w:val="Heading4"/>
        <w:spacing w:line="240" w:lineRule="auto"/>
        <w:ind w:right="96"/>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7418"/>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74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公司报告期不存在委托理财。</w:t>
      </w:r>
    </w:p>
    <w:p>
      <w:pPr>
        <w:spacing w:after="0" w:line="338" w:lineRule="auto"/>
        <w:jc w:val="left"/>
        <w:rPr>
          <w:rFonts w:ascii="宋体" w:hAnsi="宋体" w:cs="宋体" w:eastAsia="宋体" w:hint="default"/>
          <w:sz w:val="18"/>
          <w:szCs w:val="18"/>
        </w:rPr>
        <w:sectPr>
          <w:pgSz w:w="11910" w:h="16840"/>
          <w:pgMar w:header="877" w:footer="982" w:top="1100" w:bottom="1180" w:left="980" w:right="960"/>
        </w:sectPr>
      </w:pPr>
    </w:p>
    <w:p>
      <w:pPr>
        <w:spacing w:line="240" w:lineRule="auto" w:before="9"/>
        <w:rPr>
          <w:rFonts w:ascii="宋体" w:hAnsi="宋体" w:cs="宋体" w:eastAsia="宋体" w:hint="default"/>
          <w:sz w:val="20"/>
          <w:szCs w:val="20"/>
        </w:rPr>
      </w:pPr>
    </w:p>
    <w:p>
      <w:pPr>
        <w:pStyle w:val="Heading4"/>
        <w:spacing w:line="240" w:lineRule="auto" w:before="35"/>
        <w:ind w:right="0"/>
        <w:jc w:val="both"/>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4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2"/>
        <w:rPr>
          <w:rFonts w:ascii="宋体" w:hAnsi="宋体" w:cs="宋体" w:eastAsia="宋体" w:hint="default"/>
          <w:sz w:val="21"/>
          <w:szCs w:val="21"/>
        </w:rPr>
      </w:pPr>
    </w:p>
    <w:p>
      <w:pPr>
        <w:pStyle w:val="Heading4"/>
        <w:spacing w:line="240" w:lineRule="auto"/>
        <w:ind w:right="0"/>
        <w:jc w:val="both"/>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70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r>
        <w:rPr/>
        <w:t>十七、其他重大事项的说明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3"/>
        <w:ind w:left="573" w:right="216"/>
        <w:jc w:val="left"/>
      </w:pPr>
      <w:r>
        <w:rPr>
          <w:rFonts w:ascii="Times New Roman" w:hAnsi="Times New Roman" w:cs="Times New Roman" w:eastAsia="Times New Roman" w:hint="default"/>
        </w:rPr>
        <w:t>1</w:t>
      </w:r>
      <w:r>
        <w:rPr/>
        <w:t>、发行股份及支付现金购买迪科远望</w:t>
      </w:r>
      <w:r>
        <w:rPr>
          <w:rFonts w:ascii="Times New Roman" w:hAnsi="Times New Roman" w:cs="Times New Roman" w:eastAsia="Times New Roman" w:hint="default"/>
        </w:rPr>
        <w:t>100%</w:t>
      </w:r>
      <w:r>
        <w:rPr/>
        <w:t>股权并募集配套资金暨关联交易的进展实施情况 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14</w:t>
      </w:r>
      <w:r>
        <w:rPr/>
        <w:t>日披露了《发行股份及支付现金购买资产并募集配套资金暨关联交易报告书》及</w:t>
      </w:r>
    </w:p>
    <w:p>
      <w:pPr>
        <w:pStyle w:val="BodyText"/>
        <w:spacing w:line="386" w:lineRule="auto" w:before="35"/>
        <w:ind w:left="153" w:right="164"/>
        <w:jc w:val="both"/>
      </w:pPr>
      <w:r>
        <w:rPr/>
        <w:t>相关文件，公司以发行股份及支付现金的方式购买刘永春、丛伟滋、李洪、熊小洪、白海清、黄暂度共</w:t>
      </w:r>
      <w:r>
        <w:rPr>
          <w:rFonts w:ascii="Times New Roman" w:hAnsi="Times New Roman" w:cs="Times New Roman" w:eastAsia="Times New Roman" w:hint="default"/>
        </w:rPr>
        <w:t>6 </w:t>
      </w:r>
      <w:r>
        <w:rPr/>
        <w:t>名交易对方合计持有的迪科远望</w:t>
      </w:r>
      <w:r>
        <w:rPr>
          <w:rFonts w:ascii="Times New Roman" w:hAnsi="Times New Roman" w:cs="Times New Roman" w:eastAsia="Times New Roman" w:hint="default"/>
        </w:rPr>
        <w:t>100%</w:t>
      </w:r>
      <w:r>
        <w:rPr/>
        <w:t>股权，同时拟向郑州佳辰、罗会军、柳楠、吴凤辉共</w:t>
      </w:r>
      <w:r>
        <w:rPr>
          <w:rFonts w:ascii="Times New Roman" w:hAnsi="Times New Roman" w:cs="Times New Roman" w:eastAsia="Times New Roman" w:hint="default"/>
        </w:rPr>
        <w:t>4</w:t>
      </w:r>
      <w:r>
        <w:rPr/>
        <w:t>名认购对象发 行股份募集配套资金不超过</w:t>
      </w:r>
      <w:r>
        <w:rPr>
          <w:rFonts w:ascii="Times New Roman" w:hAnsi="Times New Roman" w:cs="Times New Roman" w:eastAsia="Times New Roman" w:hint="default"/>
        </w:rPr>
        <w:t>8,000</w:t>
      </w:r>
      <w:r>
        <w:rPr/>
        <w:t>万元，募集资金总额不超过本次交易总额的</w:t>
      </w:r>
      <w:r>
        <w:rPr>
          <w:rFonts w:ascii="Times New Roman" w:hAnsi="Times New Roman" w:cs="Times New Roman" w:eastAsia="Times New Roman" w:hint="default"/>
        </w:rPr>
        <w:t>25%</w:t>
      </w:r>
      <w:r>
        <w:rPr/>
        <w:t>。</w:t>
      </w:r>
    </w:p>
    <w:p>
      <w:pPr>
        <w:pStyle w:val="BodyText"/>
        <w:spacing w:line="391" w:lineRule="auto" w:before="35"/>
        <w:ind w:left="153" w:right="144" w:firstLine="420"/>
        <w:jc w:val="left"/>
      </w:pPr>
      <w:r>
        <w:rPr>
          <w:spacing w:val="-1"/>
        </w:rPr>
        <w:t>本次交易标的采用收益法和资产基础法两种评估方法进行评估。根据《资产评估报告》评估值为基础</w:t>
      </w:r>
      <w:r>
        <w:rPr/>
        <w:t> </w:t>
      </w:r>
      <w:r>
        <w:rPr>
          <w:spacing w:val="-1"/>
        </w:rPr>
        <w:t>经协商后，交易各方确定在本次交易中迪科远望</w:t>
      </w:r>
      <w:r>
        <w:rPr>
          <w:rFonts w:ascii="Times New Roman" w:hAnsi="Times New Roman" w:cs="Times New Roman" w:eastAsia="Times New Roman" w:hint="default"/>
          <w:spacing w:val="-1"/>
        </w:rPr>
        <w:t>100%</w:t>
      </w:r>
      <w:r>
        <w:rPr>
          <w:spacing w:val="-1"/>
        </w:rPr>
        <w:t>股权的交易价格为</w:t>
      </w:r>
      <w:r>
        <w:rPr>
          <w:rFonts w:ascii="Times New Roman" w:hAnsi="Times New Roman" w:cs="Times New Roman" w:eastAsia="Times New Roman" w:hint="default"/>
          <w:spacing w:val="-1"/>
        </w:rPr>
        <w:t>32,000</w:t>
      </w:r>
      <w:r>
        <w:rPr>
          <w:spacing w:val="-1"/>
        </w:rPr>
        <w:t>万元，其中，新开普将以发</w:t>
      </w:r>
      <w:r>
        <w:rPr>
          <w:spacing w:val="-103"/>
        </w:rPr>
        <w:t> </w:t>
      </w:r>
      <w:r>
        <w:rPr>
          <w:spacing w:val="-103"/>
        </w:rPr>
      </w:r>
      <w:r>
        <w:rPr/>
        <w:t>行股份方式支付交易对价中的</w:t>
      </w:r>
      <w:r>
        <w:rPr>
          <w:rFonts w:ascii="Times New Roman" w:hAnsi="Times New Roman" w:cs="Times New Roman" w:eastAsia="Times New Roman" w:hint="default"/>
        </w:rPr>
        <w:t>15,600</w:t>
      </w:r>
      <w:r>
        <w:rPr/>
        <w:t>万元，以现金方式支付交易对价中的</w:t>
      </w:r>
      <w:r>
        <w:rPr>
          <w:rFonts w:ascii="Times New Roman" w:hAnsi="Times New Roman" w:cs="Times New Roman" w:eastAsia="Times New Roman" w:hint="default"/>
        </w:rPr>
        <w:t>16,400</w:t>
      </w:r>
      <w:r>
        <w:rPr/>
        <w:t>万元。本次交易中，新开 普将以现金方式支付交易对价中的</w:t>
      </w:r>
      <w:r>
        <w:rPr>
          <w:rFonts w:ascii="Times New Roman" w:hAnsi="Times New Roman" w:cs="Times New Roman" w:eastAsia="Times New Roman" w:hint="default"/>
        </w:rPr>
        <w:t>16,400</w:t>
      </w:r>
      <w:r>
        <w:rPr/>
        <w:t>万元。为筹措资金，新开普拟以非公开发行股份的方式向郑州佳 辰、罗会军、柳楠、吴凤辉共</w:t>
      </w:r>
      <w:r>
        <w:rPr>
          <w:rFonts w:ascii="Times New Roman" w:hAnsi="Times New Roman" w:cs="Times New Roman" w:eastAsia="Times New Roman" w:hint="default"/>
        </w:rPr>
        <w:t>4</w:t>
      </w:r>
      <w:r>
        <w:rPr/>
        <w:t>名认购对象非公开发行股份募集配套资金不超过</w:t>
      </w:r>
      <w:r>
        <w:rPr>
          <w:rFonts w:ascii="Times New Roman" w:hAnsi="Times New Roman" w:cs="Times New Roman" w:eastAsia="Times New Roman" w:hint="default"/>
        </w:rPr>
        <w:t>8,000</w:t>
      </w:r>
      <w:r>
        <w:rPr/>
        <w:t>万元。</w:t>
      </w:r>
    </w:p>
    <w:p>
      <w:pPr>
        <w:pStyle w:val="BodyText"/>
        <w:spacing w:line="386" w:lineRule="auto" w:before="30"/>
        <w:ind w:left="153" w:right="0" w:firstLine="420"/>
        <w:jc w:val="left"/>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8</w:t>
      </w:r>
      <w:r>
        <w:rPr>
          <w:spacing w:val="-1"/>
        </w:rPr>
        <w:t>日，中国证监会</w:t>
      </w:r>
      <w:r>
        <w:rPr>
          <w:rFonts w:ascii="Times New Roman" w:hAnsi="Times New Roman" w:cs="Times New Roman" w:eastAsia="Times New Roman" w:hint="default"/>
          <w:spacing w:val="-1"/>
        </w:rPr>
        <w:t>2015</w:t>
      </w:r>
      <w:r>
        <w:rPr>
          <w:spacing w:val="-1"/>
        </w:rPr>
        <w:t>年第</w:t>
      </w:r>
      <w:r>
        <w:rPr>
          <w:rFonts w:ascii="Times New Roman" w:hAnsi="Times New Roman" w:cs="Times New Roman" w:eastAsia="Times New Roman" w:hint="default"/>
          <w:spacing w:val="-1"/>
        </w:rPr>
        <w:t>35</w:t>
      </w:r>
      <w:r>
        <w:rPr>
          <w:spacing w:val="-1"/>
        </w:rPr>
        <w:t>次上市公司并购重组审核委员会工作会议审核有条件通过了公</w:t>
      </w:r>
      <w:r>
        <w:rPr/>
        <w:t> </w:t>
      </w:r>
      <w:r>
        <w:rPr>
          <w:spacing w:val="-1"/>
        </w:rPr>
        <w:t>司发行股份及支付现金购买资产并募集配套资金事项。</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w:t>
      </w:r>
      <w:r>
        <w:rPr>
          <w:spacing w:val="-1"/>
        </w:rPr>
        <w:t>日，公司领取中国证监会下发的证监许</w:t>
      </w:r>
      <w:r>
        <w:rPr>
          <w:spacing w:val="-83"/>
        </w:rPr>
        <w:t> </w:t>
      </w:r>
      <w:r>
        <w:rPr>
          <w:spacing w:val="-83"/>
        </w:rPr>
      </w:r>
      <w:r>
        <w:rPr/>
        <w:t>可</w:t>
      </w:r>
      <w:r>
        <w:rPr>
          <w:rFonts w:ascii="Times New Roman" w:hAnsi="Times New Roman" w:cs="Times New Roman" w:eastAsia="Times New Roman" w:hint="default"/>
        </w:rPr>
        <w:t>[2015]1417</w:t>
      </w:r>
      <w:r>
        <w:rPr/>
        <w:t>号《关于核准新开普电子股份有限公司向刘永春等发行股份购买资产并募集配套资金的批 复》，核准了本次交易。</w:t>
      </w:r>
    </w:p>
    <w:p>
      <w:pPr>
        <w:pStyle w:val="BodyText"/>
        <w:spacing w:line="386" w:lineRule="auto" w:before="65"/>
        <w:ind w:left="153" w:right="0" w:firstLine="420"/>
        <w:jc w:val="left"/>
      </w:pP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6</w:t>
      </w:r>
      <w:r>
        <w:rPr>
          <w:spacing w:val="-5"/>
        </w:rPr>
        <w:t>月</w:t>
      </w:r>
      <w:r>
        <w:rPr>
          <w:rFonts w:ascii="Times New Roman" w:hAnsi="Times New Roman" w:cs="Times New Roman" w:eastAsia="Times New Roman" w:hint="default"/>
          <w:spacing w:val="-5"/>
        </w:rPr>
        <w:t>15</w:t>
      </w:r>
      <w:r>
        <w:rPr>
          <w:spacing w:val="-5"/>
        </w:rPr>
        <w:t>日，迪科远望关于公司类型的工商变更登记手续办理完毕，公司类型由</w:t>
      </w:r>
      <w:r>
        <w:rPr>
          <w:rFonts w:ascii="Times New Roman" w:hAnsi="Times New Roman" w:cs="Times New Roman" w:eastAsia="Times New Roman" w:hint="default"/>
          <w:spacing w:val="-5"/>
        </w:rPr>
        <w:t>“</w:t>
      </w:r>
      <w:r>
        <w:rPr>
          <w:spacing w:val="-5"/>
        </w:rPr>
        <w:t>股份有限公司（非</w:t>
      </w:r>
      <w:r>
        <w:rPr/>
        <w:t> 上市、自然人投资或控股）</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有限责任公司（自然人投资或控股）</w:t>
      </w:r>
      <w:r>
        <w:rPr>
          <w:rFonts w:ascii="Times New Roman" w:hAnsi="Times New Roman" w:cs="Times New Roman" w:eastAsia="Times New Roman" w:hint="default"/>
        </w:rPr>
        <w:t>”</w:t>
      </w:r>
      <w:r>
        <w:rPr/>
        <w:t>。相应地，公司名称由</w:t>
      </w:r>
      <w:r>
        <w:rPr>
          <w:rFonts w:ascii="Times New Roman" w:hAnsi="Times New Roman" w:cs="Times New Roman" w:eastAsia="Times New Roman" w:hint="default"/>
        </w:rPr>
        <w:t>“</w:t>
      </w:r>
      <w:r>
        <w:rPr/>
        <w:t>北京迪 科远望科技股份有限公司</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北京迪科远望科技有限公司</w:t>
      </w:r>
      <w:r>
        <w:rPr>
          <w:rFonts w:ascii="Times New Roman" w:hAnsi="Times New Roman" w:cs="Times New Roman" w:eastAsia="Times New Roman" w:hint="default"/>
        </w:rPr>
        <w:t>”</w:t>
      </w:r>
      <w:r>
        <w:rPr/>
        <w:t>。迪科远望取得了换发的营业执照。</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日，经海淀工商局核准，迪科远望就本次重大资产重组之标的资产过户事宜办理完成工商变更登 记手续，迪科远望于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19</w:t>
      </w:r>
      <w:r>
        <w:rPr/>
        <w:t>日获发变更后的《营业执照》。公司股东由刘永春、丛伟滋、李洪、熊 </w:t>
      </w:r>
      <w:r>
        <w:rPr>
          <w:spacing w:val="-7"/>
        </w:rPr>
        <w:t>小洪、白海清、黄暂度变更为本公司。相应地，公司类型由</w:t>
      </w:r>
      <w:r>
        <w:rPr>
          <w:rFonts w:ascii="Times New Roman" w:hAnsi="Times New Roman" w:cs="Times New Roman" w:eastAsia="Times New Roman" w:hint="default"/>
          <w:spacing w:val="-7"/>
        </w:rPr>
        <w:t>“</w:t>
      </w:r>
      <w:r>
        <w:rPr>
          <w:spacing w:val="-7"/>
        </w:rPr>
        <w:t>有限责任公司（自然人投资或控股）</w:t>
      </w:r>
      <w:r>
        <w:rPr>
          <w:rFonts w:ascii="Times New Roman" w:hAnsi="Times New Roman" w:cs="Times New Roman" w:eastAsia="Times New Roman" w:hint="default"/>
          <w:spacing w:val="-7"/>
        </w:rPr>
        <w:t>”</w:t>
      </w:r>
      <w:r>
        <w:rPr>
          <w:spacing w:val="-7"/>
        </w:rPr>
        <w:t>变更为</w:t>
      </w:r>
      <w:r>
        <w:rPr>
          <w:rFonts w:ascii="Times New Roman" w:hAnsi="Times New Roman" w:cs="Times New Roman" w:eastAsia="Times New Roman" w:hint="default"/>
          <w:spacing w:val="-7"/>
        </w:rPr>
        <w:t>“</w:t>
      </w:r>
      <w:r>
        <w:rPr>
          <w:spacing w:val="-7"/>
        </w:rPr>
        <w:t>有</w:t>
      </w:r>
      <w:r>
        <w:rPr>
          <w:spacing w:val="-69"/>
        </w:rPr>
        <w:t> </w:t>
      </w:r>
      <w:r>
        <w:rPr>
          <w:spacing w:val="-1"/>
        </w:rPr>
        <w:t>限责任公司（法人独资）</w:t>
      </w:r>
      <w:r>
        <w:rPr>
          <w:rFonts w:ascii="Times New Roman" w:hAnsi="Times New Roman" w:cs="Times New Roman" w:eastAsia="Times New Roman" w:hint="default"/>
          <w:spacing w:val="-1"/>
        </w:rPr>
        <w:t>”</w:t>
      </w:r>
      <w:r>
        <w:rPr>
          <w:spacing w:val="-1"/>
        </w:rPr>
        <w:t>。迪科远望取得了换发的营业执照（注册号：</w:t>
      </w:r>
      <w:r>
        <w:rPr>
          <w:rFonts w:ascii="Times New Roman" w:hAnsi="Times New Roman" w:cs="Times New Roman" w:eastAsia="Times New Roman" w:hint="default"/>
          <w:spacing w:val="-1"/>
        </w:rPr>
        <w:t>110108002696240</w:t>
      </w:r>
      <w:r>
        <w:rPr>
          <w:spacing w:val="-1"/>
        </w:rPr>
        <w:t>）。至此，迪科</w:t>
      </w:r>
    </w:p>
    <w:p>
      <w:pPr>
        <w:spacing w:after="0" w:line="386" w:lineRule="auto"/>
        <w:jc w:val="left"/>
        <w:sectPr>
          <w:footerReference w:type="default" r:id="rId38"/>
          <w:pgSz w:w="11910" w:h="16840"/>
          <w:pgMar w:footer="982" w:header="877" w:top="1100" w:bottom="1180" w:left="980" w:right="980"/>
          <w:pgNumType w:start="91"/>
        </w:sectPr>
      </w:pPr>
    </w:p>
    <w:p>
      <w:pPr>
        <w:spacing w:line="240" w:lineRule="auto" w:before="8"/>
        <w:rPr>
          <w:rFonts w:ascii="宋体" w:hAnsi="宋体" w:cs="宋体" w:eastAsia="宋体" w:hint="default"/>
          <w:sz w:val="26"/>
          <w:szCs w:val="26"/>
        </w:rPr>
      </w:pPr>
    </w:p>
    <w:p>
      <w:pPr>
        <w:pStyle w:val="BodyText"/>
        <w:spacing w:line="240" w:lineRule="auto" w:before="35"/>
        <w:ind w:right="0"/>
        <w:jc w:val="both"/>
      </w:pPr>
      <w:r>
        <w:rPr/>
        <w:t>远望</w:t>
      </w:r>
      <w:r>
        <w:rPr>
          <w:rFonts w:ascii="Times New Roman" w:hAnsi="Times New Roman" w:cs="Times New Roman" w:eastAsia="Times New Roman" w:hint="default"/>
        </w:rPr>
        <w:t>100%</w:t>
      </w:r>
      <w:r>
        <w:rPr/>
        <w:t>股权已过户至上市公司名下，迪科远望成为上市公司的全资子公司。</w:t>
      </w:r>
    </w:p>
    <w:p>
      <w:pPr>
        <w:pStyle w:val="BodyText"/>
        <w:spacing w:line="393" w:lineRule="auto" w:before="177"/>
        <w:ind w:left="153" w:right="149" w:firstLine="42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日，公司向交易对方刘永春、丛伟滋、李洪、熊小洪、白海清、黄暂度分别支付</w:t>
      </w:r>
      <w:r>
        <w:rPr>
          <w:rFonts w:ascii="Times New Roman" w:hAnsi="Times New Roman" w:cs="Times New Roman" w:eastAsia="Times New Roman" w:hint="default"/>
        </w:rPr>
        <w:t>3,772</w:t>
      </w:r>
      <w:r>
        <w:rPr/>
        <w:t>万 </w:t>
      </w:r>
      <w:r>
        <w:rPr>
          <w:spacing w:val="-2"/>
        </w:rPr>
        <w:t>元、</w:t>
      </w:r>
      <w:r>
        <w:rPr>
          <w:rFonts w:ascii="Times New Roman" w:hAnsi="Times New Roman" w:cs="Times New Roman" w:eastAsia="Times New Roman" w:hint="default"/>
          <w:spacing w:val="-2"/>
        </w:rPr>
        <w:t>3,772</w:t>
      </w:r>
      <w:r>
        <w:rPr>
          <w:spacing w:val="-2"/>
        </w:rPr>
        <w:t>万元、</w:t>
      </w:r>
      <w:r>
        <w:rPr>
          <w:rFonts w:ascii="Times New Roman" w:hAnsi="Times New Roman" w:cs="Times New Roman" w:eastAsia="Times New Roman" w:hint="default"/>
          <w:spacing w:val="-2"/>
        </w:rPr>
        <w:t>164</w:t>
      </w:r>
      <w:r>
        <w:rPr>
          <w:spacing w:val="-2"/>
        </w:rPr>
        <w:t>万元、</w:t>
      </w:r>
      <w:r>
        <w:rPr>
          <w:rFonts w:ascii="Times New Roman" w:hAnsi="Times New Roman" w:cs="Times New Roman" w:eastAsia="Times New Roman" w:hint="default"/>
          <w:spacing w:val="-2"/>
        </w:rPr>
        <w:t>164</w:t>
      </w:r>
      <w:r>
        <w:rPr>
          <w:spacing w:val="-2"/>
        </w:rPr>
        <w:t>万元、</w:t>
      </w:r>
      <w:r>
        <w:rPr>
          <w:rFonts w:ascii="Times New Roman" w:hAnsi="Times New Roman" w:cs="Times New Roman" w:eastAsia="Times New Roman" w:hint="default"/>
          <w:spacing w:val="-2"/>
        </w:rPr>
        <w:t>164</w:t>
      </w:r>
      <w:r>
        <w:rPr>
          <w:spacing w:val="-2"/>
        </w:rPr>
        <w:t>万元、</w:t>
      </w:r>
      <w:r>
        <w:rPr>
          <w:rFonts w:ascii="Times New Roman" w:hAnsi="Times New Roman" w:cs="Times New Roman" w:eastAsia="Times New Roman" w:hint="default"/>
          <w:spacing w:val="-2"/>
        </w:rPr>
        <w:t>164</w:t>
      </w:r>
      <w:r>
        <w:rPr>
          <w:spacing w:val="-2"/>
        </w:rPr>
        <w:t>万元（含代扣代缴的个人所得税），该阶段的现金对价</w:t>
      </w:r>
      <w:r>
        <w:rPr>
          <w:spacing w:val="-83"/>
        </w:rPr>
        <w:t> </w:t>
      </w:r>
      <w:r>
        <w:rPr>
          <w:spacing w:val="-83"/>
        </w:rPr>
      </w:r>
      <w:r>
        <w:rPr>
          <w:spacing w:val="-1"/>
        </w:rPr>
        <w:t>支付义务已经履行完毕。根据公司与交易对方签订的《购买资产协议》，剩余现金对价由公司在交割日起</w:t>
      </w:r>
      <w:r>
        <w:rPr>
          <w:spacing w:val="-82"/>
        </w:rPr>
        <w:t> </w:t>
      </w:r>
      <w:r>
        <w:rPr>
          <w:spacing w:val="-82"/>
        </w:rPr>
      </w:r>
      <w:r>
        <w:rPr>
          <w:rFonts w:ascii="Times New Roman" w:hAnsi="Times New Roman" w:cs="Times New Roman" w:eastAsia="Times New Roman" w:hint="default"/>
        </w:rPr>
        <w:t>150</w:t>
      </w:r>
      <w:r>
        <w:rPr/>
        <w:t>日内支付。</w:t>
      </w:r>
    </w:p>
    <w:p>
      <w:pPr>
        <w:pStyle w:val="BodyText"/>
        <w:spacing w:line="386" w:lineRule="auto" w:before="28"/>
        <w:ind w:right="233" w:firstLine="419"/>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日，公司在中国证券登记结算有限责任公司深圳分公司办理了本次交易所发行新增股份 的登记手续，本次交易新增股份</w:t>
      </w:r>
      <w:r>
        <w:rPr>
          <w:rFonts w:ascii="Times New Roman" w:hAnsi="Times New Roman" w:cs="Times New Roman" w:eastAsia="Times New Roman" w:hint="default"/>
        </w:rPr>
        <w:t>16,654,901</w:t>
      </w:r>
      <w:r>
        <w:rPr/>
        <w:t>股已于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日在深圳证券交易所上市。</w:t>
      </w:r>
    </w:p>
    <w:p>
      <w:pPr>
        <w:pStyle w:val="BodyText"/>
        <w:spacing w:line="386" w:lineRule="auto" w:before="35"/>
        <w:ind w:right="147" w:firstLine="420"/>
        <w:jc w:val="both"/>
      </w:pPr>
      <w:r>
        <w:rPr>
          <w:spacing w:val="-5"/>
        </w:rPr>
        <w:t>根据公司与迪科远望及其全体股东签署的《发行股份及支付现金购买资产协议》相关约定，公司于</w:t>
      </w:r>
      <w:r>
        <w:rPr>
          <w:rFonts w:ascii="Times New Roman" w:hAnsi="Times New Roman" w:cs="Times New Roman" w:eastAsia="Times New Roman" w:hint="default"/>
          <w:spacing w:val="-5"/>
        </w:rPr>
        <w:t>2015</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24</w:t>
      </w:r>
      <w:r>
        <w:rPr/>
        <w:t>日召开第三届董事会第十七次会议，聘任刘永春为公司副总经理，任期与第三届董事会相同。</w:t>
      </w:r>
    </w:p>
    <w:p>
      <w:pPr>
        <w:pStyle w:val="BodyText"/>
        <w:spacing w:line="240" w:lineRule="auto" w:before="35"/>
        <w:ind w:left="574" w:right="0"/>
        <w:jc w:val="left"/>
      </w:pPr>
      <w:r>
        <w:rPr/>
        <w:t>根据公司的发展规划及资金安排，公司于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7</w:t>
      </w:r>
      <w:r>
        <w:rPr/>
        <w:t>日召开的第三届董事会第二十次会议审议通过了</w:t>
      </w:r>
    </w:p>
    <w:p>
      <w:pPr>
        <w:pStyle w:val="BodyText"/>
        <w:spacing w:line="393" w:lineRule="auto" w:before="177"/>
        <w:ind w:right="149"/>
        <w:jc w:val="both"/>
      </w:pPr>
      <w:r>
        <w:rPr>
          <w:spacing w:val="-1"/>
        </w:rPr>
        <w:t>《关于公司向中国工商银行股份有限公司郑州南阳路支行申请并购贷款的议案》，同意公司以持有的迪科</w:t>
      </w:r>
      <w:r>
        <w:rPr>
          <w:spacing w:val="-81"/>
        </w:rPr>
        <w:t> </w:t>
      </w:r>
      <w:r>
        <w:rPr>
          <w:spacing w:val="-81"/>
        </w:rPr>
      </w:r>
      <w:r>
        <w:rPr/>
        <w:t>远望</w:t>
      </w:r>
      <w:r>
        <w:rPr>
          <w:rFonts w:ascii="Times New Roman" w:hAnsi="Times New Roman" w:cs="Times New Roman" w:eastAsia="Times New Roman" w:hint="default"/>
        </w:rPr>
        <w:t>100%</w:t>
      </w:r>
      <w:r>
        <w:rPr/>
        <w:t>股权作为质押担保，向中国工商银行股份有限公司郑州南阳路支行申请贷款额度</w:t>
      </w:r>
      <w:r>
        <w:rPr>
          <w:rFonts w:ascii="Times New Roman" w:hAnsi="Times New Roman" w:cs="Times New Roman" w:eastAsia="Times New Roman" w:hint="default"/>
        </w:rPr>
        <w:t>9,800</w:t>
      </w:r>
      <w:r>
        <w:rPr/>
        <w:t>万元人民 </w:t>
      </w:r>
      <w:r>
        <w:rPr>
          <w:spacing w:val="-2"/>
        </w:rPr>
        <w:t>币，用于支付公司收购迪科远望</w:t>
      </w:r>
      <w:r>
        <w:rPr>
          <w:rFonts w:ascii="Times New Roman" w:hAnsi="Times New Roman" w:cs="Times New Roman" w:eastAsia="Times New Roman" w:hint="default"/>
          <w:spacing w:val="-2"/>
        </w:rPr>
        <w:t>100%</w:t>
      </w:r>
      <w:r>
        <w:rPr>
          <w:spacing w:val="-2"/>
        </w:rPr>
        <w:t>股权所需支付的部分现金对价。公司本次向中国工商银行股份有限公</w:t>
      </w:r>
      <w:r>
        <w:rPr>
          <w:spacing w:val="-103"/>
        </w:rPr>
        <w:t> </w:t>
      </w:r>
      <w:r>
        <w:rPr>
          <w:spacing w:val="-103"/>
        </w:rPr>
      </w:r>
      <w:r>
        <w:rPr/>
        <w:t>司郑州南阳路支行申请的并购贷款期限为</w:t>
      </w:r>
      <w:r>
        <w:rPr>
          <w:rFonts w:ascii="Times New Roman" w:hAnsi="Times New Roman" w:cs="Times New Roman" w:eastAsia="Times New Roman" w:hint="default"/>
        </w:rPr>
        <w:t>84</w:t>
      </w:r>
      <w:r>
        <w:rPr/>
        <w:t>个月，利率为银行同期贷款基准利率。</w:t>
      </w:r>
    </w:p>
    <w:p>
      <w:pPr>
        <w:pStyle w:val="BodyText"/>
        <w:spacing w:line="386" w:lineRule="auto" w:before="28"/>
        <w:ind w:right="233" w:firstLine="419"/>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w:t>
      </w:r>
      <w:r>
        <w:rPr/>
        <w:t>日，公司使用并购贷款资金向交易对方刘永春、丛伟滋、李洪、熊小洪、白海清、黄暂 </w:t>
      </w:r>
      <w:r>
        <w:rPr>
          <w:spacing w:val="-1"/>
        </w:rPr>
        <w:t>度分别支付</w:t>
      </w:r>
      <w:r>
        <w:rPr>
          <w:rFonts w:ascii="Times New Roman" w:hAnsi="Times New Roman" w:cs="Times New Roman" w:eastAsia="Times New Roman" w:hint="default"/>
          <w:spacing w:val="-1"/>
        </w:rPr>
        <w:t>3,772</w:t>
      </w:r>
      <w:r>
        <w:rPr>
          <w:spacing w:val="-1"/>
        </w:rPr>
        <w:t>万元、</w:t>
      </w:r>
      <w:r>
        <w:rPr>
          <w:rFonts w:ascii="Times New Roman" w:hAnsi="Times New Roman" w:cs="Times New Roman" w:eastAsia="Times New Roman" w:hint="default"/>
          <w:spacing w:val="-1"/>
        </w:rPr>
        <w:t>3,772</w:t>
      </w:r>
      <w:r>
        <w:rPr>
          <w:spacing w:val="-1"/>
        </w:rPr>
        <w:t>万元、</w:t>
      </w:r>
      <w:r>
        <w:rPr>
          <w:rFonts w:ascii="Times New Roman" w:hAnsi="Times New Roman" w:cs="Times New Roman" w:eastAsia="Times New Roman" w:hint="default"/>
          <w:spacing w:val="-1"/>
        </w:rPr>
        <w:t>164</w:t>
      </w:r>
      <w:r>
        <w:rPr>
          <w:spacing w:val="-1"/>
        </w:rPr>
        <w:t>万元、</w:t>
      </w:r>
      <w:r>
        <w:rPr>
          <w:rFonts w:ascii="Times New Roman" w:hAnsi="Times New Roman" w:cs="Times New Roman" w:eastAsia="Times New Roman" w:hint="default"/>
          <w:spacing w:val="-1"/>
        </w:rPr>
        <w:t>164</w:t>
      </w:r>
      <w:r>
        <w:rPr>
          <w:spacing w:val="-1"/>
        </w:rPr>
        <w:t>万元、</w:t>
      </w:r>
      <w:r>
        <w:rPr>
          <w:rFonts w:ascii="Times New Roman" w:hAnsi="Times New Roman" w:cs="Times New Roman" w:eastAsia="Times New Roman" w:hint="default"/>
          <w:spacing w:val="-1"/>
        </w:rPr>
        <w:t>164</w:t>
      </w:r>
      <w:r>
        <w:rPr>
          <w:spacing w:val="-1"/>
        </w:rPr>
        <w:t>万元、</w:t>
      </w:r>
      <w:r>
        <w:rPr>
          <w:rFonts w:ascii="Times New Roman" w:hAnsi="Times New Roman" w:cs="Times New Roman" w:eastAsia="Times New Roman" w:hint="default"/>
          <w:spacing w:val="-1"/>
        </w:rPr>
        <w:t>164</w:t>
      </w:r>
      <w:r>
        <w:rPr>
          <w:spacing w:val="-1"/>
        </w:rPr>
        <w:t>万元，公司本次交易的现金对价支</w:t>
      </w:r>
      <w:r>
        <w:rPr>
          <w:spacing w:val="-65"/>
        </w:rPr>
        <w:t> </w:t>
      </w:r>
      <w:r>
        <w:rPr>
          <w:spacing w:val="-65"/>
        </w:rPr>
      </w:r>
      <w:r>
        <w:rPr/>
        <w:t>付义务已经履行完毕。</w:t>
      </w:r>
    </w:p>
    <w:p>
      <w:pPr>
        <w:pStyle w:val="BodyText"/>
        <w:spacing w:line="391" w:lineRule="auto" w:before="65"/>
        <w:ind w:left="153" w:right="0" w:firstLine="420"/>
        <w:jc w:val="left"/>
      </w:pPr>
      <w:r>
        <w:rPr>
          <w:spacing w:val="-1"/>
        </w:rPr>
        <w:t>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10</w:t>
      </w:r>
      <w:r>
        <w:rPr>
          <w:spacing w:val="-1"/>
        </w:rPr>
        <w:t>日召开的</w:t>
      </w:r>
      <w:r>
        <w:rPr>
          <w:rFonts w:ascii="Times New Roman" w:hAnsi="Times New Roman" w:cs="Times New Roman" w:eastAsia="Times New Roman" w:hint="default"/>
          <w:spacing w:val="-1"/>
        </w:rPr>
        <w:t>2015</w:t>
      </w:r>
      <w:r>
        <w:rPr>
          <w:spacing w:val="-1"/>
        </w:rPr>
        <w:t>年第三次临时股东大会决议审议通过了《关于增加新开普电子股份</w:t>
      </w:r>
      <w:r>
        <w:rPr/>
        <w:t> </w:t>
      </w:r>
      <w:r>
        <w:rPr>
          <w:spacing w:val="-2"/>
        </w:rPr>
        <w:t>有限公司注册资本的议案》、《关于修改</w:t>
      </w:r>
      <w:r>
        <w:rPr>
          <w:rFonts w:ascii="Times New Roman" w:hAnsi="Times New Roman" w:cs="Times New Roman" w:eastAsia="Times New Roman" w:hint="default"/>
          <w:spacing w:val="-2"/>
        </w:rPr>
        <w:t>&lt;</w:t>
      </w:r>
      <w:r>
        <w:rPr>
          <w:spacing w:val="-2"/>
        </w:rPr>
        <w:t>新开普电子股份有限公司章程</w:t>
      </w:r>
      <w:r>
        <w:rPr>
          <w:rFonts w:ascii="Times New Roman" w:hAnsi="Times New Roman" w:cs="Times New Roman" w:eastAsia="Times New Roman" w:hint="default"/>
          <w:spacing w:val="-2"/>
        </w:rPr>
        <w:t>&gt;</w:t>
      </w:r>
      <w:r>
        <w:rPr>
          <w:spacing w:val="-2"/>
        </w:rPr>
        <w:t>的议案》等议案，并向工商行政</w:t>
      </w:r>
      <w:r>
        <w:rPr>
          <w:spacing w:val="-61"/>
        </w:rPr>
        <w:t> </w:t>
      </w:r>
      <w:r>
        <w:rPr>
          <w:spacing w:val="-61"/>
        </w:rPr>
      </w:r>
      <w:r>
        <w:rPr/>
        <w:t>管理部门申请办理本次交易涉及的注册资本、公司章程等事宜的变更、备案登记手续。</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 </w:t>
      </w:r>
      <w:r>
        <w:rPr>
          <w:spacing w:val="-1"/>
        </w:rPr>
        <w:t>公司披露了《关于完成工商变更并换发营业执照的公告》，公司完成了相关工商变更登记手续，取得了由</w:t>
      </w:r>
      <w:r>
        <w:rPr>
          <w:spacing w:val="-82"/>
        </w:rPr>
        <w:t> </w:t>
      </w:r>
      <w:r>
        <w:rPr>
          <w:spacing w:val="-82"/>
        </w:rPr>
      </w:r>
      <w:r>
        <w:rPr/>
        <w:t>郑州市工商行政管理局换发的新版《营业执照》。</w:t>
      </w:r>
    </w:p>
    <w:tbl>
      <w:tblPr>
        <w:tblW w:w="0" w:type="auto"/>
        <w:jc w:val="left"/>
        <w:tblInd w:w="146" w:type="dxa"/>
        <w:tblLayout w:type="fixed"/>
        <w:tblCellMar>
          <w:top w:w="0" w:type="dxa"/>
          <w:left w:w="0" w:type="dxa"/>
          <w:bottom w:w="0" w:type="dxa"/>
          <w:right w:w="0" w:type="dxa"/>
        </w:tblCellMar>
        <w:tblLook w:val="01E0"/>
      </w:tblPr>
      <w:tblGrid>
        <w:gridCol w:w="4396"/>
        <w:gridCol w:w="2550"/>
        <w:gridCol w:w="2702"/>
      </w:tblGrid>
      <w:tr>
        <w:trPr>
          <w:trHeight w:val="347" w:hRule="exact"/>
        </w:trPr>
        <w:tc>
          <w:tcPr>
            <w:tcW w:w="4396"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55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9"/>
              <w:ind w:left="547"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270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9"/>
              <w:ind w:left="44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659"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9"/>
              <w:ind w:left="2" w:right="1"/>
              <w:jc w:val="left"/>
              <w:rPr>
                <w:rFonts w:ascii="宋体" w:hAnsi="宋体" w:cs="宋体" w:eastAsia="宋体" w:hint="default"/>
                <w:sz w:val="18"/>
                <w:szCs w:val="18"/>
              </w:rPr>
            </w:pPr>
            <w:r>
              <w:rPr>
                <w:rFonts w:ascii="宋体" w:hAnsi="宋体" w:cs="宋体" w:eastAsia="宋体" w:hint="default"/>
                <w:spacing w:val="2"/>
                <w:sz w:val="18"/>
                <w:szCs w:val="18"/>
              </w:rPr>
              <w:t>发行股份及支付现金购买资产并募集配套资金暨关联交 </w:t>
            </w:r>
            <w:r>
              <w:rPr>
                <w:rFonts w:ascii="宋体" w:hAnsi="宋体" w:cs="宋体" w:eastAsia="宋体" w:hint="default"/>
                <w:sz w:val="18"/>
                <w:szCs w:val="18"/>
              </w:rPr>
              <w:t>易报告书（草案）</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2015-02-14</w:t>
            </w: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9"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9"/>
              <w:ind w:left="2" w:right="1"/>
              <w:jc w:val="left"/>
              <w:rPr>
                <w:rFonts w:ascii="宋体" w:hAnsi="宋体" w:cs="宋体" w:eastAsia="宋体" w:hint="default"/>
                <w:sz w:val="18"/>
                <w:szCs w:val="18"/>
              </w:rPr>
            </w:pPr>
            <w:r>
              <w:rPr>
                <w:rFonts w:ascii="宋体" w:hAnsi="宋体" w:cs="宋体" w:eastAsia="宋体" w:hint="default"/>
                <w:spacing w:val="2"/>
                <w:sz w:val="18"/>
                <w:szCs w:val="18"/>
              </w:rPr>
              <w:t>关于发行股份及支付现金购买资产并募集配套资金暨关 </w:t>
            </w:r>
            <w:r>
              <w:rPr>
                <w:rFonts w:ascii="宋体" w:hAnsi="宋体" w:cs="宋体" w:eastAsia="宋体" w:hint="default"/>
                <w:sz w:val="18"/>
                <w:szCs w:val="18"/>
              </w:rPr>
              <w:t>联交易事项获得中国证监会正式批复的公告</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2015-07-03</w:t>
            </w: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60"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9"/>
              <w:ind w:left="2" w:right="1"/>
              <w:jc w:val="left"/>
              <w:rPr>
                <w:rFonts w:ascii="宋体" w:hAnsi="宋体" w:cs="宋体" w:eastAsia="宋体" w:hint="default"/>
                <w:sz w:val="18"/>
                <w:szCs w:val="18"/>
              </w:rPr>
            </w:pPr>
            <w:r>
              <w:rPr>
                <w:rFonts w:ascii="宋体" w:hAnsi="宋体" w:cs="宋体" w:eastAsia="宋体" w:hint="default"/>
                <w:spacing w:val="2"/>
                <w:sz w:val="18"/>
                <w:szCs w:val="18"/>
              </w:rPr>
              <w:t>发行股份及支付现金购买资产并募集配套资金暨关联交 </w:t>
            </w:r>
            <w:r>
              <w:rPr>
                <w:rFonts w:ascii="宋体" w:hAnsi="宋体" w:cs="宋体" w:eastAsia="宋体" w:hint="default"/>
                <w:sz w:val="18"/>
                <w:szCs w:val="18"/>
              </w:rPr>
              <w:t>易报告书（修订稿）</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2015-07-03</w:t>
            </w: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9"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2" w:right="1"/>
              <w:jc w:val="left"/>
              <w:rPr>
                <w:rFonts w:ascii="宋体" w:hAnsi="宋体" w:cs="宋体" w:eastAsia="宋体" w:hint="default"/>
                <w:sz w:val="18"/>
                <w:szCs w:val="18"/>
              </w:rPr>
            </w:pPr>
            <w:r>
              <w:rPr>
                <w:rFonts w:ascii="宋体" w:hAnsi="宋体" w:cs="宋体" w:eastAsia="宋体" w:hint="default"/>
                <w:spacing w:val="2"/>
                <w:sz w:val="18"/>
                <w:szCs w:val="18"/>
              </w:rPr>
              <w:t>关于发行股份及支付现金购买资产并募集配套资金暨关 </w:t>
            </w:r>
            <w:r>
              <w:rPr>
                <w:rFonts w:ascii="宋体" w:hAnsi="宋体" w:cs="宋体" w:eastAsia="宋体" w:hint="default"/>
                <w:sz w:val="18"/>
                <w:szCs w:val="18"/>
              </w:rPr>
              <w:t>联交易之标的资产过户完成的公告</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2015-08-21</w:t>
            </w: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9"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9"/>
              <w:ind w:left="2" w:right="1"/>
              <w:jc w:val="left"/>
              <w:rPr>
                <w:rFonts w:ascii="宋体" w:hAnsi="宋体" w:cs="宋体" w:eastAsia="宋体" w:hint="default"/>
                <w:sz w:val="18"/>
                <w:szCs w:val="18"/>
              </w:rPr>
            </w:pPr>
            <w:r>
              <w:rPr>
                <w:rFonts w:ascii="宋体" w:hAnsi="宋体" w:cs="宋体" w:eastAsia="宋体" w:hint="default"/>
                <w:spacing w:val="2"/>
                <w:sz w:val="18"/>
                <w:szCs w:val="18"/>
              </w:rPr>
              <w:t>发行股份及支付现金购买资产并募集配套资金暨关联交 </w:t>
            </w:r>
            <w:r>
              <w:rPr>
                <w:rFonts w:ascii="宋体" w:hAnsi="宋体" w:cs="宋体" w:eastAsia="宋体" w:hint="default"/>
                <w:sz w:val="18"/>
                <w:szCs w:val="18"/>
              </w:rPr>
              <w:t>易实施情况暨新增股份上市公告书</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2015-09-23</w:t>
            </w: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4396"/>
        <w:gridCol w:w="2550"/>
        <w:gridCol w:w="2702"/>
      </w:tblGrid>
      <w:tr>
        <w:trPr>
          <w:trHeight w:val="347"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第三届董事会第十七次会议决议公告</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2015-10-24</w:t>
            </w: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年第三次临时股东大会决议公告</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2015-11-10</w:t>
            </w: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关于完成工商变更并换发营业执照的公告</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2015-12-02</w:t>
            </w: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第三届董事会第十七次会议决议公告</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2016-01-08</w:t>
            </w: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关于公司向银行申请并购贷款的公告</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2016-01-08</w:t>
            </w: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pStyle w:val="BodyText"/>
        <w:spacing w:line="386" w:lineRule="auto" w:before="63"/>
        <w:ind w:left="573" w:right="206"/>
        <w:jc w:val="left"/>
      </w:pPr>
      <w:r>
        <w:rPr>
          <w:rFonts w:ascii="Times New Roman" w:hAnsi="Times New Roman" w:cs="Times New Roman" w:eastAsia="Times New Roman" w:hint="default"/>
        </w:rPr>
        <w:t>2</w:t>
      </w:r>
      <w:r>
        <w:rPr/>
        <w:t>、支付现金购买上海树维信息科技有限公司</w:t>
      </w:r>
      <w:r>
        <w:rPr>
          <w:rFonts w:ascii="Times New Roman" w:hAnsi="Times New Roman" w:cs="Times New Roman" w:eastAsia="Times New Roman" w:hint="default"/>
        </w:rPr>
        <w:t>100%</w:t>
      </w:r>
      <w:r>
        <w:rPr/>
        <w:t>股权的进展实施情况 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日披露了《关于收购上海树维信息科技有限公司</w:t>
      </w:r>
      <w:r>
        <w:rPr>
          <w:rFonts w:ascii="Times New Roman" w:hAnsi="Times New Roman" w:cs="Times New Roman" w:eastAsia="Times New Roman" w:hint="default"/>
        </w:rPr>
        <w:t>100%</w:t>
      </w:r>
      <w:r>
        <w:rPr/>
        <w:t>股权的公告》、《关于使用</w:t>
      </w:r>
    </w:p>
    <w:p>
      <w:pPr>
        <w:pStyle w:val="BodyText"/>
        <w:spacing w:line="393" w:lineRule="auto" w:before="35"/>
        <w:ind w:left="153" w:right="197"/>
        <w:jc w:val="left"/>
      </w:pPr>
      <w:r>
        <w:rPr>
          <w:spacing w:val="-2"/>
        </w:rPr>
        <w:t>超募资金支付收购上海树维信息科技有限公司</w:t>
      </w:r>
      <w:r>
        <w:rPr>
          <w:rFonts w:ascii="Times New Roman" w:hAnsi="Times New Roman" w:cs="Times New Roman" w:eastAsia="Times New Roman" w:hint="default"/>
          <w:spacing w:val="-2"/>
        </w:rPr>
        <w:t>100%</w:t>
      </w:r>
      <w:r>
        <w:rPr>
          <w:spacing w:val="-2"/>
        </w:rPr>
        <w:t>股权部分现金对价的公告》及相关文件，公司与上海树</w:t>
      </w:r>
      <w:r>
        <w:rPr/>
        <w:t> 维全体股东何伟、乔志刚、杨宏生、周华、王建成、吴琼、上海君略投资管理合伙企业（有限合伙）等</w:t>
      </w:r>
      <w:r>
        <w:rPr>
          <w:rFonts w:ascii="Times New Roman" w:hAnsi="Times New Roman" w:cs="Times New Roman" w:eastAsia="Times New Roman" w:hint="default"/>
        </w:rPr>
        <w:t>7 </w:t>
      </w:r>
      <w:r>
        <w:rPr>
          <w:spacing w:val="-1"/>
        </w:rPr>
        <w:t>方签署《新开普电子股份有限公司与上海树维信息科技有限公司全体股东之现金购买资产协议》（以下简</w:t>
      </w:r>
      <w:r>
        <w:rPr>
          <w:spacing w:val="-82"/>
        </w:rPr>
        <w:t> </w:t>
      </w:r>
      <w:r>
        <w:rPr>
          <w:spacing w:val="-82"/>
        </w:rPr>
      </w:r>
      <w:r>
        <w:rPr>
          <w:spacing w:val="-2"/>
        </w:rPr>
        <w:t>称</w:t>
      </w:r>
      <w:r>
        <w:rPr>
          <w:rFonts w:ascii="Times New Roman" w:hAnsi="Times New Roman" w:cs="Times New Roman" w:eastAsia="Times New Roman" w:hint="default"/>
          <w:spacing w:val="-2"/>
        </w:rPr>
        <w:t>“</w:t>
      </w:r>
      <w:r>
        <w:rPr>
          <w:spacing w:val="-2"/>
        </w:rPr>
        <w:t>《购买资产协议》</w:t>
      </w:r>
      <w:r>
        <w:rPr>
          <w:rFonts w:ascii="Times New Roman" w:hAnsi="Times New Roman" w:cs="Times New Roman" w:eastAsia="Times New Roman" w:hint="default"/>
          <w:spacing w:val="-2"/>
        </w:rPr>
        <w:t>”</w:t>
      </w:r>
      <w:r>
        <w:rPr>
          <w:spacing w:val="-2"/>
        </w:rPr>
        <w:t>），以现金</w:t>
      </w:r>
      <w:r>
        <w:rPr>
          <w:rFonts w:ascii="Times New Roman" w:hAnsi="Times New Roman" w:cs="Times New Roman" w:eastAsia="Times New Roman" w:hint="default"/>
          <w:spacing w:val="-2"/>
        </w:rPr>
        <w:t>19,900.00</w:t>
      </w:r>
      <w:r>
        <w:rPr>
          <w:spacing w:val="-2"/>
        </w:rPr>
        <w:t>万元收购上海树维</w:t>
      </w:r>
      <w:r>
        <w:rPr>
          <w:rFonts w:ascii="Times New Roman" w:hAnsi="Times New Roman" w:cs="Times New Roman" w:eastAsia="Times New Roman" w:hint="default"/>
          <w:spacing w:val="-2"/>
        </w:rPr>
        <w:t>100%</w:t>
      </w:r>
      <w:r>
        <w:rPr>
          <w:spacing w:val="-2"/>
        </w:rPr>
        <w:t>的股权，交易定价以上海东洲资产评估</w:t>
      </w:r>
      <w:r>
        <w:rPr>
          <w:spacing w:val="-78"/>
        </w:rPr>
        <w:t> </w:t>
      </w:r>
      <w:r>
        <w:rPr>
          <w:spacing w:val="-78"/>
        </w:rPr>
      </w:r>
      <w:r>
        <w:rPr>
          <w:spacing w:val="-3"/>
        </w:rPr>
        <w:t>有限公司出具的</w:t>
      </w:r>
      <w:r>
        <w:rPr>
          <w:rFonts w:ascii="Times New Roman" w:hAnsi="Times New Roman" w:cs="Times New Roman" w:eastAsia="Times New Roman" w:hint="default"/>
          <w:spacing w:val="-3"/>
        </w:rPr>
        <w:t>“</w:t>
      </w:r>
      <w:r>
        <w:rPr>
          <w:spacing w:val="-3"/>
        </w:rPr>
        <w:t>沪东洲资评报字【</w:t>
      </w:r>
      <w:r>
        <w:rPr>
          <w:rFonts w:ascii="Times New Roman" w:hAnsi="Times New Roman" w:cs="Times New Roman" w:eastAsia="Times New Roman" w:hint="default"/>
          <w:spacing w:val="-3"/>
        </w:rPr>
        <w:t>2015</w:t>
      </w:r>
      <w:r>
        <w:rPr>
          <w:spacing w:val="-3"/>
        </w:rPr>
        <w:t>】第</w:t>
      </w:r>
      <w:r>
        <w:rPr>
          <w:rFonts w:ascii="Times New Roman" w:hAnsi="Times New Roman" w:cs="Times New Roman" w:eastAsia="Times New Roman" w:hint="default"/>
          <w:spacing w:val="-3"/>
        </w:rPr>
        <w:t>0434201</w:t>
      </w:r>
      <w:r>
        <w:rPr>
          <w:spacing w:val="-3"/>
        </w:rPr>
        <w:t>号</w:t>
      </w:r>
      <w:r>
        <w:rPr>
          <w:rFonts w:ascii="Times New Roman" w:hAnsi="Times New Roman" w:cs="Times New Roman" w:eastAsia="Times New Roman" w:hint="default"/>
          <w:spacing w:val="-3"/>
        </w:rPr>
        <w:t>”</w:t>
      </w:r>
      <w:r>
        <w:rPr>
          <w:spacing w:val="-3"/>
        </w:rPr>
        <w:t>《评估报告》确认的价值为基础经交易各方协商后</w:t>
      </w:r>
      <w:r>
        <w:rPr>
          <w:spacing w:val="-58"/>
        </w:rPr>
        <w:t> </w:t>
      </w:r>
      <w:r>
        <w:rPr>
          <w:spacing w:val="-58"/>
        </w:rPr>
      </w:r>
      <w:r>
        <w:rPr>
          <w:spacing w:val="-1"/>
        </w:rPr>
        <w:t>确定。同时，公司将根据上海树维数字化校园与教务管理系统业务的收入完成情况，向交易对方支付最高</w:t>
      </w:r>
      <w:r>
        <w:rPr>
          <w:spacing w:val="-83"/>
        </w:rPr>
        <w:t> </w:t>
      </w:r>
      <w:r>
        <w:rPr>
          <w:spacing w:val="-83"/>
        </w:rPr>
      </w:r>
      <w:r>
        <w:rPr/>
        <w:t>不超过</w:t>
      </w:r>
      <w:r>
        <w:rPr>
          <w:rFonts w:ascii="Times New Roman" w:hAnsi="Times New Roman" w:cs="Times New Roman" w:eastAsia="Times New Roman" w:hint="default"/>
        </w:rPr>
        <w:t>2,000.00</w:t>
      </w:r>
      <w:r>
        <w:rPr/>
        <w:t>万元的附条件的股权转让追加对价。</w:t>
      </w:r>
    </w:p>
    <w:p>
      <w:pPr>
        <w:pStyle w:val="BodyText"/>
        <w:spacing w:line="386" w:lineRule="auto" w:before="28"/>
        <w:ind w:right="95" w:firstLine="419"/>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日，上海树维完成工商变更登记手续并取得了换发的营业执照，公司类型由</w:t>
      </w:r>
      <w:r>
        <w:rPr>
          <w:rFonts w:ascii="Times New Roman" w:hAnsi="Times New Roman" w:cs="Times New Roman" w:eastAsia="Times New Roman" w:hint="default"/>
        </w:rPr>
        <w:t>“</w:t>
      </w:r>
      <w:r>
        <w:rPr/>
        <w:t>有限责任公 </w:t>
      </w:r>
      <w:r>
        <w:rPr>
          <w:spacing w:val="-2"/>
        </w:rPr>
        <w:t>司（国内合资）</w:t>
      </w:r>
      <w:r>
        <w:rPr>
          <w:rFonts w:ascii="Times New Roman" w:hAnsi="Times New Roman" w:cs="Times New Roman" w:eastAsia="Times New Roman" w:hint="default"/>
          <w:spacing w:val="-2"/>
        </w:rPr>
        <w:t>”</w:t>
      </w:r>
      <w:r>
        <w:rPr>
          <w:spacing w:val="-2"/>
        </w:rPr>
        <w:t>变更为</w:t>
      </w:r>
      <w:r>
        <w:rPr>
          <w:rFonts w:ascii="Times New Roman" w:hAnsi="Times New Roman" w:cs="Times New Roman" w:eastAsia="Times New Roman" w:hint="default"/>
          <w:spacing w:val="-2"/>
        </w:rPr>
        <w:t>“</w:t>
      </w:r>
      <w:r>
        <w:rPr>
          <w:spacing w:val="-2"/>
        </w:rPr>
        <w:t>一人有限责任公司（法人独资）</w:t>
      </w:r>
      <w:r>
        <w:rPr>
          <w:rFonts w:ascii="Times New Roman" w:hAnsi="Times New Roman" w:cs="Times New Roman" w:eastAsia="Times New Roman" w:hint="default"/>
          <w:spacing w:val="-2"/>
        </w:rPr>
        <w:t>”</w:t>
      </w:r>
      <w:r>
        <w:rPr>
          <w:spacing w:val="-2"/>
        </w:rPr>
        <w:t>。至此，上海树维</w:t>
      </w:r>
      <w:r>
        <w:rPr>
          <w:rFonts w:ascii="Times New Roman" w:hAnsi="Times New Roman" w:cs="Times New Roman" w:eastAsia="Times New Roman" w:hint="default"/>
          <w:spacing w:val="-2"/>
        </w:rPr>
        <w:t>100%</w:t>
      </w:r>
      <w:r>
        <w:rPr>
          <w:spacing w:val="-2"/>
        </w:rPr>
        <w:t>股权已过户至公司名下，</w:t>
      </w:r>
      <w:r>
        <w:rPr>
          <w:spacing w:val="-68"/>
        </w:rPr>
        <w:t> </w:t>
      </w:r>
      <w:r>
        <w:rPr>
          <w:spacing w:val="-68"/>
        </w:rPr>
      </w:r>
      <w:r>
        <w:rPr/>
        <w:t>上海树维成为公司的全资子公司。</w:t>
      </w:r>
    </w:p>
    <w:p>
      <w:pPr>
        <w:pStyle w:val="BodyText"/>
        <w:spacing w:line="386" w:lineRule="auto" w:before="65"/>
        <w:ind w:right="95" w:firstLine="419"/>
        <w:jc w:val="left"/>
      </w:pPr>
      <w:r>
        <w:rPr>
          <w:spacing w:val="-1"/>
        </w:rPr>
        <w:t>公司已于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6</w:t>
      </w:r>
      <w:r>
        <w:rPr>
          <w:spacing w:val="-1"/>
        </w:rPr>
        <w:t>日、</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19</w:t>
      </w:r>
      <w:r>
        <w:rPr>
          <w:spacing w:val="-1"/>
        </w:rPr>
        <w:t>日使用公司超募资金分别向交易对方支付股权转让现金对价人</w:t>
      </w:r>
      <w:r>
        <w:rPr/>
        <w:t> 民币</w:t>
      </w:r>
      <w:r>
        <w:rPr>
          <w:rFonts w:ascii="Times New Roman" w:hAnsi="Times New Roman" w:cs="Times New Roman" w:eastAsia="Times New Roman" w:hint="default"/>
        </w:rPr>
        <w:t>500</w:t>
      </w:r>
      <w:r>
        <w:rPr/>
        <w:t>万元、</w:t>
      </w:r>
      <w:r>
        <w:rPr>
          <w:rFonts w:ascii="Times New Roman" w:hAnsi="Times New Roman" w:cs="Times New Roman" w:eastAsia="Times New Roman" w:hint="default"/>
        </w:rPr>
        <w:t>3,480</w:t>
      </w:r>
      <w:r>
        <w:rPr/>
        <w:t>万元。</w:t>
      </w:r>
    </w:p>
    <w:p>
      <w:pPr>
        <w:pStyle w:val="BodyText"/>
        <w:spacing w:line="386" w:lineRule="auto" w:before="35"/>
        <w:ind w:right="188" w:firstLine="420"/>
        <w:jc w:val="both"/>
      </w:pPr>
      <w:r>
        <w:rPr>
          <w:spacing w:val="-1"/>
        </w:rPr>
        <w:t>根据公司的发展规划及资金安排，公司于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25</w:t>
      </w:r>
      <w:r>
        <w:rPr>
          <w:spacing w:val="-1"/>
        </w:rPr>
        <w:t>日召开的第三届董事会第十九次会议审议通过</w:t>
      </w:r>
      <w:r>
        <w:rPr/>
        <w:t> </w:t>
      </w:r>
      <w:r>
        <w:rPr>
          <w:spacing w:val="-3"/>
        </w:rPr>
        <w:t>了《关于公司向招商银行郑州分行申请并购贷款的议案》，同意公司以持有的上海树维</w:t>
      </w:r>
      <w:r>
        <w:rPr>
          <w:rFonts w:ascii="Times New Roman" w:hAnsi="Times New Roman" w:cs="Times New Roman" w:eastAsia="Times New Roman" w:hint="default"/>
          <w:spacing w:val="-3"/>
        </w:rPr>
        <w:t>100%</w:t>
      </w:r>
      <w:r>
        <w:rPr>
          <w:spacing w:val="-3"/>
        </w:rPr>
        <w:t>股权作为质押</w:t>
      </w:r>
      <w:r>
        <w:rPr>
          <w:spacing w:val="-58"/>
        </w:rPr>
        <w:t> </w:t>
      </w:r>
      <w:r>
        <w:rPr>
          <w:spacing w:val="-58"/>
        </w:rPr>
      </w:r>
      <w:r>
        <w:rPr/>
        <w:t>担保，向招商银行股份有限公司郑州分行申请贷款</w:t>
      </w:r>
      <w:r>
        <w:rPr>
          <w:rFonts w:ascii="Times New Roman" w:hAnsi="Times New Roman" w:cs="Times New Roman" w:eastAsia="Times New Roman" w:hint="default"/>
        </w:rPr>
        <w:t>9,000</w:t>
      </w:r>
      <w:r>
        <w:rPr/>
        <w:t>万元人民币，用于支付公司收购上海树维</w:t>
      </w:r>
      <w:r>
        <w:rPr>
          <w:rFonts w:ascii="Times New Roman" w:hAnsi="Times New Roman" w:cs="Times New Roman" w:eastAsia="Times New Roman" w:hint="default"/>
        </w:rPr>
        <w:t>100%</w:t>
      </w:r>
      <w:r>
        <w:rPr/>
        <w:t>股 权所需支付的部分现金对价。公司本次向招商银行股份有限公司郑州分行申请的并购贷款期限为</w:t>
      </w:r>
      <w:r>
        <w:rPr>
          <w:rFonts w:ascii="Times New Roman" w:hAnsi="Times New Roman" w:cs="Times New Roman" w:eastAsia="Times New Roman" w:hint="default"/>
        </w:rPr>
        <w:t>36</w:t>
      </w:r>
      <w:r>
        <w:rPr/>
        <w:t>个月， 利率为银行同期贷款基准利率。</w:t>
      </w:r>
    </w:p>
    <w:p>
      <w:pPr>
        <w:pStyle w:val="BodyText"/>
        <w:spacing w:line="240" w:lineRule="auto" w:before="65"/>
        <w:ind w:left="574" w:right="95"/>
        <w:jc w:val="left"/>
        <w:rPr>
          <w:rFonts w:ascii="Times New Roman" w:hAnsi="Times New Roman" w:cs="Times New Roman" w:eastAsia="Times New Roman" w:hint="default"/>
        </w:rPr>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日，公司使用剩余部分超募资金及并购贷款资金向交易对方支付</w:t>
      </w:r>
      <w:r>
        <w:rPr>
          <w:rFonts w:ascii="Times New Roman" w:hAnsi="Times New Roman" w:cs="Times New Roman" w:eastAsia="Times New Roman" w:hint="default"/>
        </w:rPr>
        <w:t>3,980</w:t>
      </w:r>
    </w:p>
    <w:p>
      <w:pPr>
        <w:pStyle w:val="BodyText"/>
        <w:spacing w:line="240" w:lineRule="auto" w:before="177"/>
        <w:ind w:right="95"/>
        <w:jc w:val="left"/>
      </w:pPr>
      <w:r>
        <w:rPr/>
        <w:t>万元。</w:t>
      </w:r>
    </w:p>
    <w:p>
      <w:pPr>
        <w:spacing w:line="240" w:lineRule="auto" w:before="12"/>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4536"/>
        <w:gridCol w:w="2128"/>
        <w:gridCol w:w="2904"/>
      </w:tblGrid>
      <w:tr>
        <w:trPr>
          <w:trHeight w:val="347" w:hRule="exact"/>
        </w:trPr>
        <w:tc>
          <w:tcPr>
            <w:tcW w:w="4536"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12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21"/>
              <w:ind w:left="336"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290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21"/>
              <w:ind w:left="54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348" w:hRule="exact"/>
        </w:trPr>
        <w:tc>
          <w:tcPr>
            <w:tcW w:w="4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关于收购上海树维信息科技有限公司</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股权的公告</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2015-08-10</w:t>
            </w:r>
          </w:p>
        </w:tc>
        <w:tc>
          <w:tcPr>
            <w:tcW w:w="2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9" w:hRule="exact"/>
        </w:trPr>
        <w:tc>
          <w:tcPr>
            <w:tcW w:w="4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7"/>
              <w:jc w:val="left"/>
              <w:rPr>
                <w:rFonts w:ascii="宋体" w:hAnsi="宋体" w:cs="宋体" w:eastAsia="宋体" w:hint="default"/>
                <w:sz w:val="18"/>
                <w:szCs w:val="18"/>
              </w:rPr>
            </w:pPr>
            <w:r>
              <w:rPr>
                <w:rFonts w:ascii="宋体" w:hAnsi="宋体" w:cs="宋体" w:eastAsia="宋体" w:hint="default"/>
                <w:spacing w:val="8"/>
                <w:sz w:val="18"/>
                <w:szCs w:val="18"/>
              </w:rPr>
              <w:t>关于使用超募资金支付收购上海树维信息科技有限公司</w:t>
            </w:r>
            <w:r>
              <w:rPr>
                <w:rFonts w:ascii="宋体" w:hAnsi="宋体" w:cs="宋体" w:eastAsia="宋体" w:hint="default"/>
                <w:sz w:val="18"/>
                <w:szCs w:val="18"/>
              </w:rPr>
            </w:r>
          </w:p>
          <w:p>
            <w:pPr>
              <w:pStyle w:val="TableParagraph"/>
              <w:spacing w:line="240" w:lineRule="auto" w:before="7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股权部分现金对价的公告</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2015-08-10</w:t>
            </w:r>
          </w:p>
        </w:tc>
        <w:tc>
          <w:tcPr>
            <w:tcW w:w="2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9" w:hRule="exact"/>
        </w:trPr>
        <w:tc>
          <w:tcPr>
            <w:tcW w:w="453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3"/>
              <w:jc w:val="left"/>
              <w:rPr>
                <w:rFonts w:ascii="宋体" w:hAnsi="宋体" w:cs="宋体" w:eastAsia="宋体" w:hint="default"/>
                <w:sz w:val="18"/>
                <w:szCs w:val="18"/>
              </w:rPr>
            </w:pPr>
            <w:r>
              <w:rPr>
                <w:rFonts w:ascii="宋体" w:hAnsi="宋体" w:cs="宋体" w:eastAsia="宋体" w:hint="default"/>
                <w:spacing w:val="5"/>
                <w:sz w:val="18"/>
                <w:szCs w:val="18"/>
              </w:rPr>
              <w:t>关于完成收购上海树维信息科技有限公司</w:t>
            </w:r>
            <w:r>
              <w:rPr>
                <w:rFonts w:ascii="Times New Roman" w:hAnsi="Times New Roman" w:cs="Times New Roman" w:eastAsia="Times New Roman" w:hint="default"/>
                <w:spacing w:val="5"/>
                <w:sz w:val="18"/>
                <w:szCs w:val="18"/>
              </w:rPr>
              <w:t>100%</w:t>
            </w:r>
            <w:r>
              <w:rPr>
                <w:rFonts w:ascii="宋体" w:hAnsi="宋体" w:cs="宋体" w:eastAsia="宋体" w:hint="default"/>
                <w:spacing w:val="5"/>
                <w:sz w:val="18"/>
                <w:szCs w:val="18"/>
              </w:rPr>
              <w:t>股权工商</w:t>
            </w:r>
            <w:r>
              <w:rPr>
                <w:rFonts w:ascii="宋体" w:hAnsi="宋体" w:cs="宋体" w:eastAsia="宋体" w:hint="default"/>
                <w:spacing w:val="-80"/>
                <w:sz w:val="18"/>
                <w:szCs w:val="18"/>
              </w:rPr>
              <w:t> </w:t>
            </w:r>
            <w:r>
              <w:rPr>
                <w:rFonts w:ascii="宋体" w:hAnsi="宋体" w:cs="宋体" w:eastAsia="宋体" w:hint="default"/>
                <w:sz w:val="18"/>
                <w:szCs w:val="18"/>
              </w:rPr>
              <w:t>变更登记的公告</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2015-09-24</w:t>
            </w:r>
          </w:p>
        </w:tc>
        <w:tc>
          <w:tcPr>
            <w:tcW w:w="2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4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第三届董事会第十九次会议决议公告</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2015-12-28</w:t>
            </w:r>
          </w:p>
        </w:tc>
        <w:tc>
          <w:tcPr>
            <w:tcW w:w="2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2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4536"/>
        <w:gridCol w:w="2128"/>
        <w:gridCol w:w="2904"/>
      </w:tblGrid>
      <w:tr>
        <w:trPr>
          <w:trHeight w:val="348" w:hRule="exact"/>
        </w:trPr>
        <w:tc>
          <w:tcPr>
            <w:tcW w:w="4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关于公司向银行申请并购贷款的公告</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2015-12-28</w:t>
            </w:r>
          </w:p>
        </w:tc>
        <w:tc>
          <w:tcPr>
            <w:tcW w:w="2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pStyle w:val="BodyText"/>
        <w:spacing w:line="386" w:lineRule="auto" w:before="63"/>
        <w:ind w:left="574" w:right="228" w:hanging="1"/>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年非公开发行</w:t>
      </w:r>
      <w:r>
        <w:rPr>
          <w:rFonts w:ascii="Times New Roman" w:hAnsi="Times New Roman" w:cs="Times New Roman" w:eastAsia="Times New Roman" w:hint="default"/>
        </w:rPr>
        <w:t>A</w:t>
      </w:r>
      <w:r>
        <w:rPr/>
        <w:t>股股票事项进展情况 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24</w:t>
      </w:r>
      <w:r>
        <w:rPr/>
        <w:t>日披露了《</w:t>
      </w:r>
      <w:r>
        <w:rPr>
          <w:rFonts w:ascii="Times New Roman" w:hAnsi="Times New Roman" w:cs="Times New Roman" w:eastAsia="Times New Roman" w:hint="default"/>
        </w:rPr>
        <w:t>2015</w:t>
      </w:r>
      <w:r>
        <w:rPr/>
        <w:t>年非公开发行</w:t>
      </w:r>
      <w:r>
        <w:rPr>
          <w:rFonts w:ascii="Times New Roman" w:hAnsi="Times New Roman" w:cs="Times New Roman" w:eastAsia="Times New Roman" w:hint="default"/>
        </w:rPr>
        <w:t>A</w:t>
      </w:r>
      <w:r>
        <w:rPr/>
        <w:t>股股票预案》、《非公开发行股票方案论证分析</w:t>
      </w:r>
    </w:p>
    <w:p>
      <w:pPr>
        <w:pStyle w:val="BodyText"/>
        <w:spacing w:line="398" w:lineRule="auto" w:before="35"/>
        <w:ind w:right="95"/>
        <w:jc w:val="left"/>
      </w:pPr>
      <w:r>
        <w:rPr/>
        <w:t>报告》、《非公开发行</w:t>
      </w:r>
      <w:r>
        <w:rPr>
          <w:rFonts w:ascii="Times New Roman" w:hAnsi="Times New Roman" w:cs="Times New Roman" w:eastAsia="Times New Roman" w:hint="default"/>
        </w:rPr>
        <w:t>A</w:t>
      </w:r>
      <w:r>
        <w:rPr/>
        <w:t>股股票募集资金使用的可行性分析报告》等相关文件。公司本次非公开发行股票 的发行对象为符合中国证监会规定的证券投资基金管理公司、证券公司、信托投资公司、财务公司、保险 机构投资者、合格境外机构投资者（</w:t>
      </w:r>
      <w:r>
        <w:rPr>
          <w:rFonts w:ascii="Times New Roman" w:hAnsi="Times New Roman" w:cs="Times New Roman" w:eastAsia="Times New Roman" w:hint="default"/>
        </w:rPr>
        <w:t>QFII</w:t>
      </w:r>
      <w:r>
        <w:rPr/>
        <w:t>）、其他境内法人投资者和自然人等不超过</w:t>
      </w:r>
      <w:r>
        <w:rPr>
          <w:rFonts w:ascii="Times New Roman" w:hAnsi="Times New Roman" w:cs="Times New Roman" w:eastAsia="Times New Roman" w:hint="default"/>
        </w:rPr>
        <w:t>5</w:t>
      </w:r>
      <w:r>
        <w:rPr/>
        <w:t>名特定对象，本次 </w:t>
      </w:r>
      <w:r>
        <w:rPr>
          <w:spacing w:val="-6"/>
        </w:rPr>
        <w:t>非公开发行的股票数量不超过</w:t>
      </w:r>
      <w:r>
        <w:rPr>
          <w:rFonts w:ascii="Times New Roman" w:hAnsi="Times New Roman" w:cs="Times New Roman" w:eastAsia="Times New Roman" w:hint="default"/>
          <w:spacing w:val="-6"/>
        </w:rPr>
        <w:t>1,300</w:t>
      </w:r>
      <w:r>
        <w:rPr>
          <w:spacing w:val="-6"/>
        </w:rPr>
        <w:t>万股（含</w:t>
      </w:r>
      <w:r>
        <w:rPr>
          <w:rFonts w:ascii="Times New Roman" w:hAnsi="Times New Roman" w:cs="Times New Roman" w:eastAsia="Times New Roman" w:hint="default"/>
          <w:spacing w:val="-6"/>
        </w:rPr>
        <w:t>1,300</w:t>
      </w:r>
      <w:r>
        <w:rPr>
          <w:spacing w:val="-6"/>
        </w:rPr>
        <w:t>万股），募集资金总额不超过</w:t>
      </w:r>
      <w:r>
        <w:rPr>
          <w:rFonts w:ascii="Times New Roman" w:hAnsi="Times New Roman" w:cs="Times New Roman" w:eastAsia="Times New Roman" w:hint="default"/>
          <w:spacing w:val="-6"/>
        </w:rPr>
        <w:t>40,500</w:t>
      </w:r>
      <w:r>
        <w:rPr>
          <w:spacing w:val="-6"/>
        </w:rPr>
        <w:t>万元（含</w:t>
      </w:r>
      <w:r>
        <w:rPr>
          <w:rFonts w:ascii="Times New Roman" w:hAnsi="Times New Roman" w:cs="Times New Roman" w:eastAsia="Times New Roman" w:hint="default"/>
          <w:spacing w:val="-6"/>
        </w:rPr>
        <w:t>40,500</w:t>
      </w:r>
      <w:r>
        <w:rPr>
          <w:spacing w:val="-6"/>
        </w:rPr>
        <w:t>万元），</w:t>
      </w:r>
      <w:r>
        <w:rPr>
          <w:spacing w:val="-97"/>
        </w:rPr>
        <w:t> </w:t>
      </w:r>
      <w:r>
        <w:rPr>
          <w:spacing w:val="-97"/>
        </w:rPr>
      </w:r>
      <w:r>
        <w:rPr/>
        <w:t>扣除发行费用后将用于高校移动互联服务平台项目、职业教育产业基地建设项目和补充流动资金，如果本</w:t>
      </w:r>
      <w:r>
        <w:rPr/>
        <w:t> 次实际募集资金净额低于计划投入项目的募集资金金额，不足部分公司将通过自筹资金解决。本次非公开 发行股票完成后，公司股权分布将发生变化，但不会导致公司不具备上市条件，不会导致公司控股股东与 实际控制人发生变更。</w:t>
      </w:r>
    </w:p>
    <w:p>
      <w:pPr>
        <w:pStyle w:val="BodyText"/>
        <w:spacing w:line="386" w:lineRule="auto" w:before="54"/>
        <w:ind w:right="228" w:firstLine="42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日，公司召开了</w:t>
      </w:r>
      <w:r>
        <w:rPr>
          <w:rFonts w:ascii="Times New Roman" w:hAnsi="Times New Roman" w:cs="Times New Roman" w:eastAsia="Times New Roman" w:hint="default"/>
        </w:rPr>
        <w:t>2015</w:t>
      </w:r>
      <w:r>
        <w:rPr/>
        <w:t>年第三次临时股东会审议通过了公司本次非公开发行</w:t>
      </w:r>
      <w:r>
        <w:rPr>
          <w:rFonts w:ascii="Times New Roman" w:hAnsi="Times New Roman" w:cs="Times New Roman" w:eastAsia="Times New Roman" w:hint="default"/>
        </w:rPr>
        <w:t>A</w:t>
      </w:r>
      <w:r>
        <w:rPr/>
        <w:t>股股票相关 议案。</w:t>
      </w:r>
    </w:p>
    <w:p>
      <w:pPr>
        <w:pStyle w:val="BodyText"/>
        <w:spacing w:line="398" w:lineRule="auto" w:before="65"/>
        <w:ind w:right="95" w:firstLine="420"/>
        <w:jc w:val="left"/>
      </w:pP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10</w:t>
      </w:r>
      <w:r>
        <w:rPr>
          <w:spacing w:val="-3"/>
        </w:rPr>
        <w:t>日，公司收到中国证监会出具的《中国证监会行政许可申请受理通知书》（</w:t>
      </w:r>
      <w:r>
        <w:rPr>
          <w:rFonts w:ascii="Times New Roman" w:hAnsi="Times New Roman" w:cs="Times New Roman" w:eastAsia="Times New Roman" w:hint="default"/>
          <w:spacing w:val="-3"/>
        </w:rPr>
        <w:t>153475</w:t>
      </w:r>
      <w:r>
        <w:rPr>
          <w:spacing w:val="-3"/>
        </w:rPr>
        <w:t>号）。</w:t>
      </w:r>
      <w:r>
        <w:rPr/>
        <w:t> 中国证监会依法对公司提交的《上市公司非公开发行股票（创业板）》行政许可申请材料进行了审查，认 为该申请材料齐全，符合法定形式，决定对该行政许可申请予以受理。</w:t>
      </w:r>
    </w:p>
    <w:p>
      <w:pPr>
        <w:pStyle w:val="BodyText"/>
        <w:spacing w:line="386" w:lineRule="auto" w:before="54"/>
        <w:ind w:right="211" w:firstLine="419"/>
        <w:jc w:val="both"/>
      </w:pPr>
      <w:r>
        <w:rPr>
          <w:rFonts w:ascii="Times New Roman" w:hAnsi="Times New Roman" w:cs="Times New Roman" w:eastAsia="Times New Roman" w:hint="default"/>
          <w:spacing w:val="-7"/>
        </w:rPr>
        <w:t>2016</w:t>
      </w:r>
      <w:r>
        <w:rPr>
          <w:spacing w:val="-7"/>
        </w:rPr>
        <w:t>年</w:t>
      </w:r>
      <w:r>
        <w:rPr>
          <w:rFonts w:ascii="Times New Roman" w:hAnsi="Times New Roman" w:cs="Times New Roman" w:eastAsia="Times New Roman" w:hint="default"/>
          <w:spacing w:val="-7"/>
        </w:rPr>
        <w:t>1</w:t>
      </w:r>
      <w:r>
        <w:rPr>
          <w:spacing w:val="-7"/>
        </w:rPr>
        <w:t>月</w:t>
      </w:r>
      <w:r>
        <w:rPr>
          <w:rFonts w:ascii="Times New Roman" w:hAnsi="Times New Roman" w:cs="Times New Roman" w:eastAsia="Times New Roman" w:hint="default"/>
          <w:spacing w:val="-7"/>
        </w:rPr>
        <w:t>18</w:t>
      </w:r>
      <w:r>
        <w:rPr>
          <w:spacing w:val="-7"/>
        </w:rPr>
        <w:t>日，公司收到中国证监会下发的《中国证监会行政许可项目审查反馈意见通知书》（</w:t>
      </w:r>
      <w:r>
        <w:rPr>
          <w:rFonts w:ascii="Times New Roman" w:hAnsi="Times New Roman" w:cs="Times New Roman" w:eastAsia="Times New Roman" w:hint="default"/>
          <w:spacing w:val="-7"/>
        </w:rPr>
        <w:t>153475</w:t>
      </w:r>
      <w:r>
        <w:rPr>
          <w:rFonts w:ascii="Times New Roman" w:hAnsi="Times New Roman" w:cs="Times New Roman" w:eastAsia="Times New Roman" w:hint="default"/>
          <w:spacing w:val="-1"/>
        </w:rPr>
        <w:t> </w:t>
      </w:r>
      <w:r>
        <w:rPr/>
        <w:t>号）（以下简称</w:t>
      </w:r>
      <w:r>
        <w:rPr>
          <w:rFonts w:ascii="Times New Roman" w:hAnsi="Times New Roman" w:cs="Times New Roman" w:eastAsia="Times New Roman" w:hint="default"/>
        </w:rPr>
        <w:t>“</w:t>
      </w:r>
      <w:r>
        <w:rPr/>
        <w:t>反馈意见</w:t>
      </w:r>
      <w:r>
        <w:rPr>
          <w:rFonts w:ascii="Times New Roman" w:hAnsi="Times New Roman" w:cs="Times New Roman" w:eastAsia="Times New Roman" w:hint="default"/>
        </w:rPr>
        <w:t>”</w:t>
      </w:r>
      <w:r>
        <w:rPr/>
        <w:t>）。中国证监会依法对公司提交的《新开普电子股份有限公司非公开发行（创 </w:t>
      </w:r>
      <w:r>
        <w:rPr>
          <w:spacing w:val="-1"/>
        </w:rPr>
        <w:t>业板）申请文件》进行了审查，需要公司就有关问题作出书面说明和解释，并在</w:t>
      </w:r>
      <w:r>
        <w:rPr>
          <w:rFonts w:ascii="Times New Roman" w:hAnsi="Times New Roman" w:cs="Times New Roman" w:eastAsia="Times New Roman" w:hint="default"/>
          <w:spacing w:val="-1"/>
        </w:rPr>
        <w:t>30</w:t>
      </w:r>
      <w:r>
        <w:rPr>
          <w:spacing w:val="-1"/>
        </w:rPr>
        <w:t>日内向中国证监会行政</w:t>
      </w:r>
      <w:r>
        <w:rPr>
          <w:spacing w:val="-83"/>
        </w:rPr>
        <w:t> </w:t>
      </w:r>
      <w:r>
        <w:rPr>
          <w:spacing w:val="-83"/>
        </w:rPr>
      </w:r>
      <w:r>
        <w:rPr/>
        <w:t>许可审查部门提交书面回复意见。</w:t>
      </w:r>
    </w:p>
    <w:p>
      <w:pPr>
        <w:pStyle w:val="BodyText"/>
        <w:spacing w:line="386" w:lineRule="auto" w:before="65"/>
        <w:ind w:right="95" w:firstLine="42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日，公司召开了第三届董事会第二十一次会议及第三届监事会第十三次会议，修订及补 </w:t>
      </w:r>
      <w:r>
        <w:rPr>
          <w:spacing w:val="-2"/>
        </w:rPr>
        <w:t>充了非公开发行</w:t>
      </w:r>
      <w:r>
        <w:rPr>
          <w:rFonts w:ascii="Times New Roman" w:hAnsi="Times New Roman" w:cs="Times New Roman" w:eastAsia="Times New Roman" w:hint="default"/>
          <w:spacing w:val="-2"/>
        </w:rPr>
        <w:t>A</w:t>
      </w:r>
      <w:r>
        <w:rPr>
          <w:spacing w:val="-2"/>
        </w:rPr>
        <w:t>股股票预案，并根据要求将反馈意见回复于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3</w:t>
      </w:r>
      <w:r>
        <w:rPr>
          <w:spacing w:val="-2"/>
        </w:rPr>
        <w:t>日进行公开披露，披露后</w:t>
      </w:r>
      <w:r>
        <w:rPr>
          <w:rFonts w:ascii="Times New Roman" w:hAnsi="Times New Roman" w:cs="Times New Roman" w:eastAsia="Times New Roman" w:hint="default"/>
          <w:spacing w:val="-2"/>
        </w:rPr>
        <w:t>2</w:t>
      </w:r>
      <w:r>
        <w:rPr>
          <w:spacing w:val="-2"/>
        </w:rPr>
        <w:t>个工作</w:t>
      </w:r>
      <w:r>
        <w:rPr>
          <w:spacing w:val="-81"/>
        </w:rPr>
        <w:t> </w:t>
      </w:r>
      <w:r>
        <w:rPr>
          <w:spacing w:val="-81"/>
        </w:rPr>
      </w:r>
      <w:r>
        <w:rPr/>
        <w:t>日内向中国证监会报送了反馈意见回复材料。</w:t>
      </w:r>
    </w:p>
    <w:p>
      <w:pPr>
        <w:pStyle w:val="BodyText"/>
        <w:spacing w:line="393" w:lineRule="auto" w:before="65"/>
        <w:ind w:right="211" w:firstLine="419"/>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23</w:t>
      </w:r>
      <w:r>
        <w:rPr/>
        <w:t>日，公司召开了第三届董事会第二十二次会议及第三届监事会第十四次会议，第二次修 订及补充了非公开发行</w:t>
      </w:r>
      <w:r>
        <w:rPr>
          <w:rFonts w:ascii="Times New Roman" w:hAnsi="Times New Roman" w:cs="Times New Roman" w:eastAsia="Times New Roman" w:hint="default"/>
        </w:rPr>
        <w:t>A</w:t>
      </w:r>
      <w:r>
        <w:rPr/>
        <w:t>股股票预案，并对《非公开发行股票发行方案的论证分析报告》、《非公开发行 </w:t>
      </w:r>
      <w:r>
        <w:rPr>
          <w:spacing w:val="-1"/>
        </w:rPr>
        <w:t>股票发行方案的论证分析报告》及《公司和南京证券股份有限公司关于公司非公开发行股票（创业板）申</w:t>
      </w:r>
      <w:r>
        <w:rPr>
          <w:spacing w:val="-82"/>
        </w:rPr>
        <w:t> </w:t>
      </w:r>
      <w:r>
        <w:rPr>
          <w:spacing w:val="-82"/>
        </w:rPr>
      </w:r>
      <w:r>
        <w:rPr/>
        <w:t>请文件反馈意见的回复》进行了修订。</w:t>
      </w:r>
    </w:p>
    <w:p>
      <w:pPr>
        <w:pStyle w:val="BodyText"/>
        <w:spacing w:line="386" w:lineRule="auto" w:before="59"/>
        <w:ind w:right="276" w:firstLine="419"/>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日，公司召开了第三届董事会第二十三次会议及第三届监事会第十五次会议，第三次修 订及补充了非公开发行</w:t>
      </w:r>
      <w:r>
        <w:rPr>
          <w:rFonts w:ascii="Times New Roman" w:hAnsi="Times New Roman" w:cs="Times New Roman" w:eastAsia="Times New Roman" w:hint="default"/>
        </w:rPr>
        <w:t>A</w:t>
      </w:r>
      <w:r>
        <w:rPr/>
        <w:t>股股票预案。</w:t>
      </w:r>
    </w:p>
    <w:p>
      <w:pPr>
        <w:pStyle w:val="BodyText"/>
        <w:spacing w:line="240" w:lineRule="auto" w:before="35"/>
        <w:ind w:left="574" w:right="95"/>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日，中国证监会创业板发行审核委员会对公司非公开发行</w:t>
      </w:r>
      <w:r>
        <w:rPr>
          <w:rFonts w:ascii="Times New Roman" w:hAnsi="Times New Roman" w:cs="Times New Roman" w:eastAsia="Times New Roman" w:hint="default"/>
        </w:rPr>
        <w:t>A</w:t>
      </w:r>
      <w:r>
        <w:rPr/>
        <w:t>股股票的申请进行了审核。根</w:t>
      </w:r>
    </w:p>
    <w:p>
      <w:pPr>
        <w:spacing w:after="0" w:line="240"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r>
        <w:rPr/>
        <w:pict>
          <v:shape style="position:absolute;margin-left:278.460297pt;margin-top:227.639999pt;width:111.1pt;height:32.2pt;mso-position-horizontal-relative:page;mso-position-vertical-relative:page;z-index:-1167112" type="#_x0000_t202" filled="false" stroked="false">
            <v:textbox inset="0,0,0,0">
              <w:txbxContent>
                <w:p>
                  <w:pPr>
                    <w:spacing w:before="2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83.260010pt;margin-top:251.520004pt;width:106.8pt;height:8.3pt;mso-position-horizontal-relative:page;mso-position-vertical-relative:page;z-index:-1167064" coordorigin="5665,5030" coordsize="2136,166">
            <v:group style="position:absolute;left:5677;top:5030;width:2114;height:166" coordorigin="5677,5030" coordsize="2114,166">
              <v:shape style="position:absolute;left:5677;top:5030;width:2114;height:166" coordorigin="5677,5030" coordsize="2114,166" path="m5677,5196l7790,5196,7790,5030,5677,5030,5677,5196xe" filled="true" fillcolor="#ffffff" stroked="false">
                <v:path arrowok="t"/>
                <v:fill type="solid"/>
              </v:shape>
            </v:group>
            <v:group style="position:absolute;left:5670;top:5191;width:2127;height:2" coordorigin="5670,5191" coordsize="2127,2">
              <v:shape style="position:absolute;left:5670;top:5191;width:2127;height:2" coordorigin="5670,5191" coordsize="2127,0" path="m5670,5191l7796,5191e" filled="false" stroked="true" strokeweight=".47998pt" strokecolor="#ffffff">
                <v:path arrowok="t"/>
              </v:shape>
            </v:group>
            <w10:wrap type="none"/>
          </v:group>
        </w:pict>
      </w:r>
    </w:p>
    <w:p>
      <w:pPr>
        <w:pStyle w:val="BodyText"/>
        <w:spacing w:line="386" w:lineRule="auto" w:before="35"/>
        <w:ind w:left="153" w:right="169"/>
        <w:jc w:val="left"/>
      </w:pPr>
      <w:r>
        <w:rPr/>
        <w:t>据会议审核结果，公司本次非公开发行</w:t>
      </w:r>
      <w:r>
        <w:rPr>
          <w:rFonts w:ascii="Times New Roman" w:hAnsi="Times New Roman" w:cs="Times New Roman" w:eastAsia="Times New Roman" w:hint="default"/>
        </w:rPr>
        <w:t>A</w:t>
      </w:r>
      <w:r>
        <w:rPr/>
        <w:t>股股票的申请获得通过。目前，公司尚未收到中国证监会的书面 核准文件，公司将在收到中国证监会予以核准的正式文件后另行公告。</w:t>
      </w:r>
    </w:p>
    <w:tbl>
      <w:tblPr>
        <w:tblW w:w="0" w:type="auto"/>
        <w:jc w:val="left"/>
        <w:tblInd w:w="146" w:type="dxa"/>
        <w:tblLayout w:type="fixed"/>
        <w:tblCellMar>
          <w:top w:w="0" w:type="dxa"/>
          <w:left w:w="0" w:type="dxa"/>
          <w:bottom w:w="0" w:type="dxa"/>
          <w:right w:w="0" w:type="dxa"/>
        </w:tblCellMar>
        <w:tblLook w:val="01E0"/>
      </w:tblPr>
      <w:tblGrid>
        <w:gridCol w:w="4536"/>
        <w:gridCol w:w="2128"/>
        <w:gridCol w:w="2904"/>
      </w:tblGrid>
      <w:tr>
        <w:trPr>
          <w:trHeight w:val="340" w:hRule="exact"/>
        </w:trPr>
        <w:tc>
          <w:tcPr>
            <w:tcW w:w="4536"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12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4"/>
              <w:ind w:left="336"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290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4"/>
              <w:ind w:left="54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347" w:hRule="exact"/>
        </w:trPr>
        <w:tc>
          <w:tcPr>
            <w:tcW w:w="4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第三届董事会第十七次会议决议公告</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2015-10-24</w:t>
            </w:r>
          </w:p>
        </w:tc>
        <w:tc>
          <w:tcPr>
            <w:tcW w:w="2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4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年非公开发行</w:t>
            </w:r>
            <w:r>
              <w:rPr>
                <w:rFonts w:ascii="Times New Roman" w:hAnsi="Times New Roman" w:cs="Times New Roman" w:eastAsia="Times New Roman" w:hint="default"/>
                <w:sz w:val="18"/>
                <w:szCs w:val="18"/>
              </w:rPr>
              <w:t>A</w:t>
            </w:r>
            <w:r>
              <w:rPr>
                <w:rFonts w:ascii="宋体" w:hAnsi="宋体" w:cs="宋体" w:eastAsia="宋体" w:hint="default"/>
                <w:sz w:val="18"/>
                <w:szCs w:val="18"/>
              </w:rPr>
              <w:t>股股票预案</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2015-10-24</w:t>
            </w:r>
          </w:p>
        </w:tc>
        <w:tc>
          <w:tcPr>
            <w:tcW w:w="2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4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非公开发行</w:t>
            </w:r>
            <w:r>
              <w:rPr>
                <w:rFonts w:ascii="Times New Roman" w:hAnsi="Times New Roman" w:cs="Times New Roman" w:eastAsia="Times New Roman" w:hint="default"/>
                <w:sz w:val="18"/>
                <w:szCs w:val="18"/>
              </w:rPr>
              <w:t>A</w:t>
            </w:r>
            <w:r>
              <w:rPr>
                <w:rFonts w:ascii="宋体" w:hAnsi="宋体" w:cs="宋体" w:eastAsia="宋体" w:hint="default"/>
                <w:sz w:val="18"/>
                <w:szCs w:val="18"/>
              </w:rPr>
              <w:t>股股票募集资金使用的可行性分析报告</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2015-10-24</w:t>
            </w:r>
          </w:p>
        </w:tc>
        <w:tc>
          <w:tcPr>
            <w:tcW w:w="2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4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非公开发行股票方案论证分析报告</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2015-10-24</w:t>
            </w:r>
          </w:p>
        </w:tc>
        <w:tc>
          <w:tcPr>
            <w:tcW w:w="2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7" w:hRule="exact"/>
        </w:trPr>
        <w:tc>
          <w:tcPr>
            <w:tcW w:w="4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年第三次临时股东大会决议公告</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2015-11-10</w:t>
            </w:r>
          </w:p>
        </w:tc>
        <w:tc>
          <w:tcPr>
            <w:tcW w:w="2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9" w:hRule="exact"/>
        </w:trPr>
        <w:tc>
          <w:tcPr>
            <w:tcW w:w="45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91"/>
              <w:jc w:val="left"/>
              <w:rPr>
                <w:rFonts w:ascii="宋体" w:hAnsi="宋体" w:cs="宋体" w:eastAsia="宋体" w:hint="default"/>
                <w:sz w:val="18"/>
                <w:szCs w:val="18"/>
              </w:rPr>
            </w:pPr>
            <w:r>
              <w:rPr>
                <w:rFonts w:ascii="宋体" w:hAnsi="宋体" w:cs="宋体" w:eastAsia="宋体" w:hint="default"/>
                <w:spacing w:val="-3"/>
                <w:sz w:val="18"/>
                <w:szCs w:val="18"/>
              </w:rPr>
              <w:t>关于收到《中国证监会行政许可项目审查反馈意见通知书</w:t>
            </w:r>
            <w:r>
              <w:rPr>
                <w:rFonts w:ascii="宋体" w:hAnsi="宋体" w:cs="宋体" w:eastAsia="宋体" w:hint="default"/>
                <w:sz w:val="18"/>
                <w:szCs w:val="18"/>
              </w:rPr>
              <w:t> 的公告</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left="-6" w:right="-55"/>
              <w:jc w:val="left"/>
              <w:rPr>
                <w:rFonts w:ascii="宋体" w:hAnsi="宋体" w:cs="宋体" w:eastAsia="宋体" w:hint="default"/>
                <w:sz w:val="16"/>
                <w:szCs w:val="16"/>
              </w:rPr>
            </w:pPr>
            <w:r>
              <w:rPr>
                <w:rFonts w:ascii="宋体" w:hAnsi="宋体" w:cs="宋体" w:eastAsia="宋体" w:hint="default"/>
                <w:position w:val="-2"/>
                <w:sz w:val="16"/>
                <w:szCs w:val="16"/>
              </w:rPr>
              <w:pict>
                <v:group style="width:106.2pt;height:8.3pt;mso-position-horizontal-relative:char;mso-position-vertical-relative:line" coordorigin="0,0" coordsize="2124,166">
                  <v:group style="position:absolute;left:5;top:0;width:2114;height:166" coordorigin="5,0" coordsize="2114,166">
                    <v:shape style="position:absolute;left:5;top:0;width:2114;height:166" coordorigin="5,0" coordsize="2114,166" path="m5,166l2119,166,2119,0,5,0,5,166xe" filled="true" fillcolor="#ffffff" stroked="false">
                      <v:path arrowok="t"/>
                      <v:fill type="solid"/>
                    </v:shape>
                  </v:group>
                  <v:group style="position:absolute;left:5;top:5;width:2114;height:2" coordorigin="5,5" coordsize="2114,2">
                    <v:shape style="position:absolute;left:5;top:5;width:2114;height:2" coordorigin="5,5" coordsize="2114,0" path="m5,5l2119,5e" filled="false" stroked="true" strokeweight=".54004pt" strokecolor="#ffffff">
                      <v:path arrowok="t"/>
                    </v:shape>
                  </v:group>
                </v:group>
              </w:pict>
            </w:r>
            <w:r>
              <w:rPr>
                <w:rFonts w:ascii="宋体" w:hAnsi="宋体" w:cs="宋体" w:eastAsia="宋体" w:hint="default"/>
                <w:position w:val="-2"/>
                <w:sz w:val="16"/>
                <w:szCs w:val="16"/>
              </w:rPr>
            </w:r>
          </w:p>
          <w:p>
            <w:pPr>
              <w:pStyle w:val="TableParagraph"/>
              <w:spacing w:line="240" w:lineRule="auto" w:before="51"/>
              <w:ind w:left="2" w:right="0"/>
              <w:jc w:val="left"/>
              <w:rPr>
                <w:rFonts w:ascii="Times New Roman" w:hAnsi="Times New Roman" w:cs="Times New Roman" w:eastAsia="Times New Roman" w:hint="default"/>
                <w:sz w:val="18"/>
                <w:szCs w:val="18"/>
              </w:rPr>
            </w:pPr>
            <w:r>
              <w:rPr>
                <w:rFonts w:ascii="Times New Roman"/>
                <w:sz w:val="18"/>
              </w:rPr>
              <w:t>2016-01-19</w:t>
            </w:r>
          </w:p>
        </w:tc>
        <w:tc>
          <w:tcPr>
            <w:tcW w:w="2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7" w:hRule="exact"/>
        </w:trPr>
        <w:tc>
          <w:tcPr>
            <w:tcW w:w="4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年非公开发行</w:t>
            </w:r>
            <w:r>
              <w:rPr>
                <w:rFonts w:ascii="Times New Roman" w:hAnsi="Times New Roman" w:cs="Times New Roman" w:eastAsia="Times New Roman" w:hint="default"/>
                <w:sz w:val="18"/>
                <w:szCs w:val="18"/>
              </w:rPr>
              <w:t>A</w:t>
            </w:r>
            <w:r>
              <w:rPr>
                <w:rFonts w:ascii="宋体" w:hAnsi="宋体" w:cs="宋体" w:eastAsia="宋体" w:hint="default"/>
                <w:sz w:val="18"/>
                <w:szCs w:val="18"/>
              </w:rPr>
              <w:t>股股票预案（修订稿）</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2016-01-19</w:t>
            </w:r>
          </w:p>
        </w:tc>
        <w:tc>
          <w:tcPr>
            <w:tcW w:w="2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9" w:hRule="exact"/>
        </w:trPr>
        <w:tc>
          <w:tcPr>
            <w:tcW w:w="45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2"/>
              <w:jc w:val="left"/>
              <w:rPr>
                <w:rFonts w:ascii="宋体" w:hAnsi="宋体" w:cs="宋体" w:eastAsia="宋体" w:hint="default"/>
                <w:sz w:val="18"/>
                <w:szCs w:val="18"/>
              </w:rPr>
            </w:pPr>
            <w:r>
              <w:rPr>
                <w:rFonts w:ascii="宋体" w:hAnsi="宋体" w:cs="宋体" w:eastAsia="宋体" w:hint="default"/>
                <w:sz w:val="18"/>
                <w:szCs w:val="18"/>
              </w:rPr>
              <w:t>新开普电子股份有限公司和南京证券股份有限公司关于公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司非公开发行股票（创业板）申请文件反馈意见的回复</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2016-02-03</w:t>
            </w:r>
          </w:p>
        </w:tc>
        <w:tc>
          <w:tcPr>
            <w:tcW w:w="2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971" w:hRule="exact"/>
        </w:trPr>
        <w:tc>
          <w:tcPr>
            <w:tcW w:w="45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both"/>
              <w:rPr>
                <w:rFonts w:ascii="宋体" w:hAnsi="宋体" w:cs="宋体" w:eastAsia="宋体" w:hint="default"/>
                <w:sz w:val="18"/>
                <w:szCs w:val="18"/>
              </w:rPr>
            </w:pPr>
            <w:r>
              <w:rPr>
                <w:rFonts w:ascii="宋体" w:hAnsi="宋体" w:cs="宋体" w:eastAsia="宋体" w:hint="default"/>
                <w:sz w:val="18"/>
                <w:szCs w:val="18"/>
              </w:rPr>
              <w:t>新开普电子股份有限公司和南京证券股份有限公司关于公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7"/>
                <w:sz w:val="18"/>
                <w:szCs w:val="18"/>
              </w:rPr>
              <w:t>司非公开发行股票（创业板）申请文件反馈意见的回复（修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订稿）</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 w:right="0"/>
              <w:jc w:val="left"/>
              <w:rPr>
                <w:rFonts w:ascii="Times New Roman" w:hAnsi="Times New Roman" w:cs="Times New Roman" w:eastAsia="Times New Roman" w:hint="default"/>
                <w:sz w:val="18"/>
                <w:szCs w:val="18"/>
              </w:rPr>
            </w:pPr>
            <w:r>
              <w:rPr>
                <w:rFonts w:ascii="Times New Roman"/>
                <w:sz w:val="18"/>
              </w:rPr>
              <w:t>2016-02-25</w:t>
            </w:r>
          </w:p>
        </w:tc>
        <w:tc>
          <w:tcPr>
            <w:tcW w:w="2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4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年非公开发行</w:t>
            </w:r>
            <w:r>
              <w:rPr>
                <w:rFonts w:ascii="Times New Roman" w:hAnsi="Times New Roman" w:cs="Times New Roman" w:eastAsia="Times New Roman" w:hint="default"/>
                <w:sz w:val="18"/>
                <w:szCs w:val="18"/>
              </w:rPr>
              <w:t>A</w:t>
            </w:r>
            <w:r>
              <w:rPr>
                <w:rFonts w:ascii="宋体" w:hAnsi="宋体" w:cs="宋体" w:eastAsia="宋体" w:hint="default"/>
                <w:sz w:val="18"/>
                <w:szCs w:val="18"/>
              </w:rPr>
              <w:t>股股票预案（第二次修订稿）</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2016-02-25</w:t>
            </w:r>
          </w:p>
        </w:tc>
        <w:tc>
          <w:tcPr>
            <w:tcW w:w="2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4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非公开发行股票发行方案的论证分析报告（修订稿）</w:t>
            </w:r>
          </w:p>
        </w:tc>
        <w:tc>
          <w:tcPr>
            <w:tcW w:w="2128" w:type="dxa"/>
            <w:tcBorders>
              <w:top w:val="single" w:sz="6" w:space="0" w:color="000000"/>
              <w:left w:val="single" w:sz="6" w:space="0" w:color="000000"/>
              <w:bottom w:val="single" w:sz="20" w:space="0" w:color="FFFFFF"/>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2016-02-25</w:t>
            </w:r>
          </w:p>
        </w:tc>
        <w:tc>
          <w:tcPr>
            <w:tcW w:w="2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7" w:hRule="exact"/>
        </w:trPr>
        <w:tc>
          <w:tcPr>
            <w:tcW w:w="4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非公开发行股票募集资金使用的可行性分析报</w:t>
            </w:r>
            <w:r>
              <w:rPr>
                <w:rFonts w:ascii="宋体" w:hAnsi="宋体" w:cs="宋体" w:eastAsia="宋体" w:hint="default"/>
                <w:spacing w:val="-75"/>
                <w:sz w:val="18"/>
                <w:szCs w:val="18"/>
              </w:rPr>
              <w:t>告</w:t>
            </w:r>
            <w:r>
              <w:rPr>
                <w:rFonts w:ascii="宋体" w:hAnsi="宋体" w:cs="宋体" w:eastAsia="宋体" w:hint="default"/>
                <w:sz w:val="18"/>
                <w:szCs w:val="18"/>
              </w:rPr>
              <w:t>（修订稿</w:t>
            </w:r>
          </w:p>
        </w:tc>
        <w:tc>
          <w:tcPr>
            <w:tcW w:w="2128" w:type="dxa"/>
            <w:tcBorders>
              <w:top w:val="single" w:sz="20" w:space="0" w:color="FFFFFF"/>
              <w:left w:val="single" w:sz="6" w:space="0" w:color="000000"/>
              <w:bottom w:val="single" w:sz="20" w:space="0" w:color="FFFFFF"/>
              <w:right w:val="single" w:sz="6" w:space="0" w:color="000000"/>
            </w:tcBorders>
          </w:tcPr>
          <w:p>
            <w:pPr>
              <w:pStyle w:val="TableParagraph"/>
              <w:spacing w:line="240" w:lineRule="auto" w:before="83"/>
              <w:ind w:left="2" w:right="0"/>
              <w:jc w:val="left"/>
              <w:rPr>
                <w:rFonts w:ascii="Times New Roman" w:hAnsi="Times New Roman" w:cs="Times New Roman" w:eastAsia="Times New Roman" w:hint="default"/>
                <w:sz w:val="18"/>
                <w:szCs w:val="18"/>
              </w:rPr>
            </w:pPr>
            <w:r>
              <w:rPr>
                <w:rFonts w:ascii="Times New Roman"/>
                <w:sz w:val="18"/>
              </w:rPr>
              <w:t>2016-02-25</w:t>
            </w:r>
          </w:p>
        </w:tc>
        <w:tc>
          <w:tcPr>
            <w:tcW w:w="2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7" w:hRule="exact"/>
        </w:trPr>
        <w:tc>
          <w:tcPr>
            <w:tcW w:w="4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年非公开发行</w:t>
            </w:r>
            <w:r>
              <w:rPr>
                <w:rFonts w:ascii="Times New Roman" w:hAnsi="Times New Roman" w:cs="Times New Roman" w:eastAsia="Times New Roman" w:hint="default"/>
                <w:sz w:val="18"/>
                <w:szCs w:val="18"/>
              </w:rPr>
              <w:t>A</w:t>
            </w:r>
            <w:r>
              <w:rPr>
                <w:rFonts w:ascii="宋体" w:hAnsi="宋体" w:cs="宋体" w:eastAsia="宋体" w:hint="default"/>
                <w:sz w:val="18"/>
                <w:szCs w:val="18"/>
              </w:rPr>
              <w:t>股股票预案（第三次修订稿）</w:t>
            </w:r>
          </w:p>
        </w:tc>
        <w:tc>
          <w:tcPr>
            <w:tcW w:w="2128" w:type="dxa"/>
            <w:tcBorders>
              <w:top w:val="single" w:sz="20" w:space="0" w:color="FFFFFF"/>
              <w:left w:val="single" w:sz="6" w:space="0" w:color="000000"/>
              <w:bottom w:val="single" w:sz="6" w:space="0" w:color="000000"/>
              <w:right w:val="single" w:sz="6" w:space="0" w:color="000000"/>
            </w:tcBorders>
          </w:tcPr>
          <w:p>
            <w:pPr>
              <w:pStyle w:val="TableParagraph"/>
              <w:spacing w:line="240" w:lineRule="auto" w:before="82"/>
              <w:ind w:left="2" w:right="0"/>
              <w:jc w:val="left"/>
              <w:rPr>
                <w:rFonts w:ascii="Times New Roman" w:hAnsi="Times New Roman" w:cs="Times New Roman" w:eastAsia="Times New Roman" w:hint="default"/>
                <w:sz w:val="18"/>
                <w:szCs w:val="18"/>
              </w:rPr>
            </w:pPr>
            <w:r>
              <w:rPr>
                <w:rFonts w:ascii="Times New Roman"/>
                <w:sz w:val="18"/>
              </w:rPr>
              <w:t>2016-03-30</w:t>
            </w:r>
          </w:p>
        </w:tc>
        <w:tc>
          <w:tcPr>
            <w:tcW w:w="2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60" w:hRule="exact"/>
        </w:trPr>
        <w:tc>
          <w:tcPr>
            <w:tcW w:w="45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z w:val="18"/>
                <w:szCs w:val="18"/>
              </w:rPr>
              <w:t>关于非公开发行股票申请获得中国证监会创业板发审会审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核通过的公告</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2016-04-10</w:t>
            </w:r>
          </w:p>
        </w:tc>
        <w:tc>
          <w:tcPr>
            <w:tcW w:w="2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2"/>
        <w:spacing w:line="240" w:lineRule="auto" w:before="26"/>
        <w:ind w:right="0"/>
        <w:jc w:val="left"/>
        <w:rPr>
          <w:b w:val="0"/>
          <w:bCs w:val="0"/>
        </w:rPr>
      </w:pPr>
      <w:r>
        <w:rPr/>
        <w:pict>
          <v:shape style="position:absolute;margin-left:278.460297pt;margin-top:-103.124077pt;width:111.1pt;height:20.6pt;mso-position-horizontal-relative:page;mso-position-vertical-relative:paragraph;z-index:-1167088" type="#_x0000_t202" filled="false" stroked="false">
            <v:textbox inset="0,0,0,0">
              <w:txbxContent>
                <w:p>
                  <w:pPr>
                    <w:spacing w:before="5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t>十八、公司子公司重大事项</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3"/>
        <w:ind w:left="574" w:right="0"/>
        <w:jc w:val="left"/>
      </w:pPr>
      <w:r>
        <w:rPr/>
        <w:t>公司与丹诚资管共同设立的丹诚开普合伙企业对外投资情况：</w:t>
      </w:r>
    </w:p>
    <w:p>
      <w:pPr>
        <w:spacing w:line="240" w:lineRule="auto" w:before="13"/>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966"/>
        <w:gridCol w:w="1104"/>
        <w:gridCol w:w="1615"/>
        <w:gridCol w:w="1615"/>
        <w:gridCol w:w="1615"/>
        <w:gridCol w:w="2582"/>
      </w:tblGrid>
      <w:tr>
        <w:trPr>
          <w:trHeight w:val="565" w:hRule="exact"/>
        </w:trPr>
        <w:tc>
          <w:tcPr>
            <w:tcW w:w="9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0"/>
              <w:ind w:right="113"/>
              <w:jc w:val="right"/>
              <w:rPr>
                <w:rFonts w:ascii="宋体" w:hAnsi="宋体" w:cs="宋体" w:eastAsia="宋体" w:hint="default"/>
                <w:sz w:val="18"/>
                <w:szCs w:val="18"/>
              </w:rPr>
            </w:pPr>
            <w:r>
              <w:rPr>
                <w:rFonts w:ascii="宋体" w:hAnsi="宋体" w:cs="宋体" w:eastAsia="宋体" w:hint="default"/>
                <w:b/>
                <w:bCs/>
                <w:w w:val="95"/>
                <w:sz w:val="18"/>
                <w:szCs w:val="18"/>
              </w:rPr>
              <w:t>公司名称</w:t>
            </w:r>
            <w:r>
              <w:rPr>
                <w:rFonts w:ascii="宋体" w:hAnsi="宋体" w:cs="宋体" w:eastAsia="宋体" w:hint="default"/>
                <w:sz w:val="18"/>
                <w:szCs w:val="18"/>
              </w:rPr>
            </w:r>
          </w:p>
        </w:tc>
        <w:tc>
          <w:tcPr>
            <w:tcW w:w="11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b/>
                <w:bCs/>
                <w:sz w:val="18"/>
                <w:szCs w:val="18"/>
              </w:rPr>
              <w:t>主营业务</w:t>
            </w:r>
            <w:r>
              <w:rPr>
                <w:rFonts w:ascii="宋体" w:hAnsi="宋体" w:cs="宋体" w:eastAsia="宋体" w:hint="default"/>
                <w:sz w:val="18"/>
                <w:szCs w:val="18"/>
              </w:rPr>
            </w:r>
          </w:p>
        </w:tc>
        <w:tc>
          <w:tcPr>
            <w:tcW w:w="161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0"/>
              <w:ind w:left="258" w:right="0"/>
              <w:jc w:val="left"/>
              <w:rPr>
                <w:rFonts w:ascii="宋体" w:hAnsi="宋体" w:cs="宋体" w:eastAsia="宋体" w:hint="default"/>
                <w:sz w:val="18"/>
                <w:szCs w:val="18"/>
              </w:rPr>
            </w:pPr>
            <w:r>
              <w:rPr>
                <w:rFonts w:ascii="宋体" w:hAnsi="宋体" w:cs="宋体" w:eastAsia="宋体" w:hint="default"/>
                <w:b/>
                <w:bCs/>
                <w:sz w:val="18"/>
                <w:szCs w:val="18"/>
              </w:rPr>
              <w:t>协议签订时间</w:t>
            </w:r>
            <w:r>
              <w:rPr>
                <w:rFonts w:ascii="宋体" w:hAnsi="宋体" w:cs="宋体" w:eastAsia="宋体" w:hint="default"/>
                <w:sz w:val="18"/>
                <w:szCs w:val="18"/>
              </w:rPr>
            </w:r>
          </w:p>
        </w:tc>
        <w:tc>
          <w:tcPr>
            <w:tcW w:w="161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0"/>
              <w:ind w:right="438"/>
              <w:jc w:val="right"/>
              <w:rPr>
                <w:rFonts w:ascii="宋体" w:hAnsi="宋体" w:cs="宋体" w:eastAsia="宋体" w:hint="default"/>
                <w:sz w:val="18"/>
                <w:szCs w:val="18"/>
              </w:rPr>
            </w:pPr>
            <w:r>
              <w:rPr>
                <w:rFonts w:ascii="宋体" w:hAnsi="宋体" w:cs="宋体" w:eastAsia="宋体" w:hint="default"/>
                <w:b/>
                <w:bCs/>
                <w:w w:val="95"/>
                <w:sz w:val="18"/>
                <w:szCs w:val="18"/>
              </w:rPr>
              <w:t>投资金额</w:t>
            </w:r>
            <w:r>
              <w:rPr>
                <w:rFonts w:ascii="宋体" w:hAnsi="宋体" w:cs="宋体" w:eastAsia="宋体" w:hint="default"/>
                <w:sz w:val="18"/>
                <w:szCs w:val="18"/>
              </w:rPr>
            </w:r>
          </w:p>
        </w:tc>
        <w:tc>
          <w:tcPr>
            <w:tcW w:w="161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0"/>
              <w:ind w:left="437"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25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b/>
                <w:bCs/>
                <w:sz w:val="18"/>
                <w:szCs w:val="18"/>
              </w:rPr>
              <w:t>业务情况</w:t>
            </w:r>
            <w:r>
              <w:rPr>
                <w:rFonts w:ascii="宋体" w:hAnsi="宋体" w:cs="宋体" w:eastAsia="宋体" w:hint="default"/>
                <w:sz w:val="18"/>
                <w:szCs w:val="18"/>
              </w:rPr>
            </w:r>
          </w:p>
        </w:tc>
      </w:tr>
      <w:tr>
        <w:trPr>
          <w:trHeight w:val="330" w:hRule="exact"/>
        </w:trPr>
        <w:tc>
          <w:tcPr>
            <w:tcW w:w="966" w:type="dxa"/>
            <w:tcBorders>
              <w:top w:val="single" w:sz="6" w:space="0" w:color="000000"/>
              <w:left w:val="single" w:sz="6" w:space="0" w:color="000000"/>
              <w:bottom w:val="nil" w:sz="6" w:space="0" w:color="auto"/>
              <w:right w:val="single" w:sz="6" w:space="0" w:color="000000"/>
            </w:tcBorders>
          </w:tcPr>
          <w:p>
            <w:pPr/>
          </w:p>
        </w:tc>
        <w:tc>
          <w:tcPr>
            <w:tcW w:w="1104" w:type="dxa"/>
            <w:tcBorders>
              <w:top w:val="single" w:sz="6" w:space="0" w:color="000000"/>
              <w:left w:val="single" w:sz="6" w:space="0" w:color="000000"/>
              <w:bottom w:val="nil" w:sz="6" w:space="0" w:color="auto"/>
              <w:right w:val="single" w:sz="6" w:space="0" w:color="000000"/>
            </w:tcBorders>
          </w:tcPr>
          <w:p>
            <w:pPr/>
          </w:p>
        </w:tc>
        <w:tc>
          <w:tcPr>
            <w:tcW w:w="1615" w:type="dxa"/>
            <w:tcBorders>
              <w:top w:val="single" w:sz="6" w:space="0" w:color="000000"/>
              <w:left w:val="single" w:sz="6" w:space="0" w:color="000000"/>
              <w:bottom w:val="nil" w:sz="6" w:space="0" w:color="auto"/>
              <w:right w:val="single" w:sz="6" w:space="0" w:color="000000"/>
            </w:tcBorders>
          </w:tcPr>
          <w:p>
            <w:pPr/>
          </w:p>
        </w:tc>
        <w:tc>
          <w:tcPr>
            <w:tcW w:w="1615" w:type="dxa"/>
            <w:tcBorders>
              <w:top w:val="single" w:sz="6" w:space="0" w:color="000000"/>
              <w:left w:val="single" w:sz="6" w:space="0" w:color="000000"/>
              <w:bottom w:val="nil" w:sz="6" w:space="0" w:color="auto"/>
              <w:right w:val="single" w:sz="6" w:space="0" w:color="000000"/>
            </w:tcBorders>
          </w:tcPr>
          <w:p>
            <w:pPr/>
          </w:p>
        </w:tc>
        <w:tc>
          <w:tcPr>
            <w:tcW w:w="1615" w:type="dxa"/>
            <w:tcBorders>
              <w:top w:val="single" w:sz="6" w:space="0" w:color="000000"/>
              <w:left w:val="single" w:sz="6" w:space="0" w:color="000000"/>
              <w:bottom w:val="nil" w:sz="6" w:space="0" w:color="auto"/>
              <w:right w:val="single" w:sz="6" w:space="0" w:color="000000"/>
            </w:tcBorders>
          </w:tcPr>
          <w:p>
            <w:pPr/>
          </w:p>
        </w:tc>
        <w:tc>
          <w:tcPr>
            <w:tcW w:w="25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北京优才创建并运营的优才学院</w:t>
            </w:r>
          </w:p>
        </w:tc>
      </w:tr>
      <w:tr>
        <w:trPr>
          <w:trHeight w:val="312" w:hRule="exact"/>
        </w:trPr>
        <w:tc>
          <w:tcPr>
            <w:tcW w:w="966" w:type="dxa"/>
            <w:tcBorders>
              <w:top w:val="nil" w:sz="6" w:space="0" w:color="auto"/>
              <w:left w:val="single" w:sz="6" w:space="0" w:color="000000"/>
              <w:bottom w:val="nil" w:sz="6" w:space="0" w:color="auto"/>
              <w:right w:val="single" w:sz="6" w:space="0" w:color="000000"/>
            </w:tcBorders>
          </w:tcPr>
          <w:p>
            <w:pPr/>
          </w:p>
        </w:tc>
        <w:tc>
          <w:tcPr>
            <w:tcW w:w="1104" w:type="dxa"/>
            <w:tcBorders>
              <w:top w:val="nil" w:sz="6" w:space="0" w:color="auto"/>
              <w:left w:val="single" w:sz="6" w:space="0" w:color="000000"/>
              <w:bottom w:val="nil" w:sz="6" w:space="0" w:color="auto"/>
              <w:right w:val="single" w:sz="6" w:space="0" w:color="000000"/>
            </w:tcBorders>
          </w:tcPr>
          <w:p>
            <w:pPr/>
          </w:p>
        </w:tc>
        <w:tc>
          <w:tcPr>
            <w:tcW w:w="1615" w:type="dxa"/>
            <w:tcBorders>
              <w:top w:val="nil" w:sz="6" w:space="0" w:color="auto"/>
              <w:left w:val="single" w:sz="6" w:space="0" w:color="000000"/>
              <w:bottom w:val="nil" w:sz="6" w:space="0" w:color="auto"/>
              <w:right w:val="single" w:sz="6" w:space="0" w:color="000000"/>
            </w:tcBorders>
          </w:tcPr>
          <w:p>
            <w:pPr/>
          </w:p>
        </w:tc>
        <w:tc>
          <w:tcPr>
            <w:tcW w:w="1615" w:type="dxa"/>
            <w:tcBorders>
              <w:top w:val="nil" w:sz="6" w:space="0" w:color="auto"/>
              <w:left w:val="single" w:sz="6" w:space="0" w:color="000000"/>
              <w:bottom w:val="nil" w:sz="6" w:space="0" w:color="auto"/>
              <w:right w:val="single" w:sz="6" w:space="0" w:color="000000"/>
            </w:tcBorders>
          </w:tcPr>
          <w:p>
            <w:pPr/>
          </w:p>
        </w:tc>
        <w:tc>
          <w:tcPr>
            <w:tcW w:w="1615" w:type="dxa"/>
            <w:tcBorders>
              <w:top w:val="nil" w:sz="6" w:space="0" w:color="auto"/>
              <w:left w:val="single" w:sz="6" w:space="0" w:color="000000"/>
              <w:bottom w:val="nil" w:sz="6" w:space="0" w:color="auto"/>
              <w:right w:val="single" w:sz="6" w:space="0" w:color="000000"/>
            </w:tcBorders>
          </w:tcPr>
          <w:p>
            <w:pPr/>
          </w:p>
        </w:tc>
        <w:tc>
          <w:tcPr>
            <w:tcW w:w="2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是国内唯一一家专注于多方向全</w:t>
            </w:r>
          </w:p>
        </w:tc>
      </w:tr>
      <w:tr>
        <w:trPr>
          <w:trHeight w:val="936" w:hRule="exact"/>
        </w:trPr>
        <w:tc>
          <w:tcPr>
            <w:tcW w:w="96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14"/>
              <w:jc w:val="right"/>
              <w:rPr>
                <w:rFonts w:ascii="宋体" w:hAnsi="宋体" w:cs="宋体" w:eastAsia="宋体" w:hint="default"/>
                <w:sz w:val="18"/>
                <w:szCs w:val="18"/>
              </w:rPr>
            </w:pPr>
            <w:r>
              <w:rPr>
                <w:rFonts w:ascii="宋体" w:hAnsi="宋体" w:cs="宋体" w:eastAsia="宋体" w:hint="default"/>
                <w:sz w:val="18"/>
                <w:szCs w:val="18"/>
              </w:rPr>
              <w:t>北京优才</w:t>
            </w:r>
          </w:p>
        </w:tc>
        <w:tc>
          <w:tcPr>
            <w:tcW w:w="1104"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00" w:lineRule="auto"/>
              <w:ind w:left="93" w:right="8" w:hanging="86"/>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宋体" w:hAnsi="宋体" w:cs="宋体" w:eastAsia="宋体" w:hint="default"/>
                <w:sz w:val="18"/>
                <w:szCs w:val="18"/>
              </w:rPr>
              <w:t>在线职业教 育培训服务</w:t>
            </w:r>
          </w:p>
        </w:tc>
        <w:tc>
          <w:tcPr>
            <w:tcW w:w="1615"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615"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415"/>
              <w:jc w:val="righ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万元</w:t>
            </w:r>
          </w:p>
        </w:tc>
        <w:tc>
          <w:tcPr>
            <w:tcW w:w="161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22" w:right="0"/>
              <w:jc w:val="left"/>
              <w:rPr>
                <w:rFonts w:ascii="Times New Roman" w:hAnsi="Times New Roman" w:cs="Times New Roman" w:eastAsia="Times New Roman" w:hint="default"/>
                <w:sz w:val="18"/>
                <w:szCs w:val="18"/>
              </w:rPr>
            </w:pPr>
            <w:r>
              <w:rPr>
                <w:rFonts w:ascii="Times New Roman"/>
                <w:sz w:val="18"/>
              </w:rPr>
              <w:t>20.00%</w:t>
            </w:r>
          </w:p>
        </w:tc>
        <w:tc>
          <w:tcPr>
            <w:tcW w:w="2582" w:type="dxa"/>
            <w:tcBorders>
              <w:top w:val="nil" w:sz="6" w:space="0" w:color="auto"/>
              <w:left w:val="single" w:sz="6" w:space="0" w:color="000000"/>
              <w:bottom w:val="nil" w:sz="6" w:space="0" w:color="auto"/>
              <w:right w:val="single" w:sz="6" w:space="0" w:color="000000"/>
            </w:tcBorders>
          </w:tcPr>
          <w:p>
            <w:pPr>
              <w:pStyle w:val="TableParagraph"/>
              <w:spacing w:line="309" w:lineRule="auto" w:before="10"/>
              <w:ind w:left="24" w:right="23"/>
              <w:jc w:val="both"/>
              <w:rPr>
                <w:rFonts w:ascii="宋体" w:hAnsi="宋体" w:cs="宋体" w:eastAsia="宋体" w:hint="default"/>
                <w:sz w:val="18"/>
                <w:szCs w:val="18"/>
              </w:rPr>
            </w:pPr>
            <w:r>
              <w:rPr>
                <w:rFonts w:ascii="宋体" w:hAnsi="宋体" w:cs="宋体" w:eastAsia="宋体" w:hint="default"/>
                <w:sz w:val="18"/>
                <w:szCs w:val="18"/>
              </w:rPr>
              <w:t>栈工程师培养的在线教育网站， 致力于打造中国</w:t>
            </w:r>
            <w:r>
              <w:rPr>
                <w:rFonts w:ascii="Times New Roman" w:hAnsi="Times New Roman" w:cs="Times New Roman" w:eastAsia="Times New Roman" w:hint="default"/>
                <w:sz w:val="18"/>
                <w:szCs w:val="18"/>
              </w:rPr>
              <w:t>IT</w:t>
            </w:r>
            <w:r>
              <w:rPr>
                <w:rFonts w:ascii="宋体" w:hAnsi="宋体" w:cs="宋体" w:eastAsia="宋体" w:hint="default"/>
                <w:sz w:val="18"/>
                <w:szCs w:val="18"/>
              </w:rPr>
              <w:t>职业教育</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创新品牌，面向大中专毕业生、</w:t>
            </w:r>
          </w:p>
        </w:tc>
      </w:tr>
      <w:tr>
        <w:trPr>
          <w:trHeight w:val="312" w:hRule="exact"/>
        </w:trPr>
        <w:tc>
          <w:tcPr>
            <w:tcW w:w="966" w:type="dxa"/>
            <w:tcBorders>
              <w:top w:val="nil" w:sz="6" w:space="0" w:color="auto"/>
              <w:left w:val="single" w:sz="6" w:space="0" w:color="000000"/>
              <w:bottom w:val="nil" w:sz="6" w:space="0" w:color="auto"/>
              <w:right w:val="single" w:sz="6" w:space="0" w:color="000000"/>
            </w:tcBorders>
          </w:tcPr>
          <w:p>
            <w:pPr/>
          </w:p>
        </w:tc>
        <w:tc>
          <w:tcPr>
            <w:tcW w:w="1104" w:type="dxa"/>
            <w:tcBorders>
              <w:top w:val="nil" w:sz="6" w:space="0" w:color="auto"/>
              <w:left w:val="single" w:sz="6" w:space="0" w:color="000000"/>
              <w:bottom w:val="nil" w:sz="6" w:space="0" w:color="auto"/>
              <w:right w:val="single" w:sz="6" w:space="0" w:color="000000"/>
            </w:tcBorders>
          </w:tcPr>
          <w:p>
            <w:pPr/>
          </w:p>
        </w:tc>
        <w:tc>
          <w:tcPr>
            <w:tcW w:w="1615" w:type="dxa"/>
            <w:tcBorders>
              <w:top w:val="nil" w:sz="6" w:space="0" w:color="auto"/>
              <w:left w:val="single" w:sz="6" w:space="0" w:color="000000"/>
              <w:bottom w:val="nil" w:sz="6" w:space="0" w:color="auto"/>
              <w:right w:val="single" w:sz="6" w:space="0" w:color="000000"/>
            </w:tcBorders>
          </w:tcPr>
          <w:p>
            <w:pPr/>
          </w:p>
        </w:tc>
        <w:tc>
          <w:tcPr>
            <w:tcW w:w="1615" w:type="dxa"/>
            <w:tcBorders>
              <w:top w:val="nil" w:sz="6" w:space="0" w:color="auto"/>
              <w:left w:val="single" w:sz="6" w:space="0" w:color="000000"/>
              <w:bottom w:val="nil" w:sz="6" w:space="0" w:color="auto"/>
              <w:right w:val="single" w:sz="6" w:space="0" w:color="000000"/>
            </w:tcBorders>
          </w:tcPr>
          <w:p>
            <w:pPr/>
          </w:p>
        </w:tc>
        <w:tc>
          <w:tcPr>
            <w:tcW w:w="1615" w:type="dxa"/>
            <w:tcBorders>
              <w:top w:val="nil" w:sz="6" w:space="0" w:color="auto"/>
              <w:left w:val="single" w:sz="6" w:space="0" w:color="000000"/>
              <w:bottom w:val="nil" w:sz="6" w:space="0" w:color="auto"/>
              <w:right w:val="single" w:sz="6" w:space="0" w:color="000000"/>
            </w:tcBorders>
          </w:tcPr>
          <w:p>
            <w:pPr/>
          </w:p>
        </w:tc>
        <w:tc>
          <w:tcPr>
            <w:tcW w:w="2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高校、企业提供一流的在线教育</w:t>
            </w:r>
          </w:p>
        </w:tc>
      </w:tr>
      <w:tr>
        <w:trPr>
          <w:trHeight w:val="329" w:hRule="exact"/>
        </w:trPr>
        <w:tc>
          <w:tcPr>
            <w:tcW w:w="966" w:type="dxa"/>
            <w:tcBorders>
              <w:top w:val="nil" w:sz="6" w:space="0" w:color="auto"/>
              <w:left w:val="single" w:sz="6" w:space="0" w:color="000000"/>
              <w:bottom w:val="single" w:sz="6" w:space="0" w:color="000000"/>
              <w:right w:val="single" w:sz="6" w:space="0" w:color="000000"/>
            </w:tcBorders>
          </w:tcPr>
          <w:p>
            <w:pPr/>
          </w:p>
        </w:tc>
        <w:tc>
          <w:tcPr>
            <w:tcW w:w="1104" w:type="dxa"/>
            <w:tcBorders>
              <w:top w:val="nil" w:sz="6" w:space="0" w:color="auto"/>
              <w:left w:val="single" w:sz="6" w:space="0" w:color="000000"/>
              <w:bottom w:val="single" w:sz="6" w:space="0" w:color="000000"/>
              <w:right w:val="single" w:sz="6" w:space="0" w:color="000000"/>
            </w:tcBorders>
          </w:tcPr>
          <w:p>
            <w:pPr/>
          </w:p>
        </w:tc>
        <w:tc>
          <w:tcPr>
            <w:tcW w:w="1615" w:type="dxa"/>
            <w:tcBorders>
              <w:top w:val="nil" w:sz="6" w:space="0" w:color="auto"/>
              <w:left w:val="single" w:sz="6" w:space="0" w:color="000000"/>
              <w:bottom w:val="single" w:sz="6" w:space="0" w:color="000000"/>
              <w:right w:val="single" w:sz="6" w:space="0" w:color="000000"/>
            </w:tcBorders>
          </w:tcPr>
          <w:p>
            <w:pPr/>
          </w:p>
        </w:tc>
        <w:tc>
          <w:tcPr>
            <w:tcW w:w="1615" w:type="dxa"/>
            <w:tcBorders>
              <w:top w:val="nil" w:sz="6" w:space="0" w:color="auto"/>
              <w:left w:val="single" w:sz="6" w:space="0" w:color="000000"/>
              <w:bottom w:val="single" w:sz="6" w:space="0" w:color="000000"/>
              <w:right w:val="single" w:sz="6" w:space="0" w:color="000000"/>
            </w:tcBorders>
          </w:tcPr>
          <w:p>
            <w:pPr/>
          </w:p>
        </w:tc>
        <w:tc>
          <w:tcPr>
            <w:tcW w:w="1615" w:type="dxa"/>
            <w:tcBorders>
              <w:top w:val="nil" w:sz="6" w:space="0" w:color="auto"/>
              <w:left w:val="single" w:sz="6" w:space="0" w:color="000000"/>
              <w:bottom w:val="single" w:sz="6" w:space="0" w:color="000000"/>
              <w:right w:val="single" w:sz="6" w:space="0" w:color="000000"/>
            </w:tcBorders>
          </w:tcPr>
          <w:p>
            <w:pPr/>
          </w:p>
        </w:tc>
        <w:tc>
          <w:tcPr>
            <w:tcW w:w="258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和人才服务</w:t>
            </w:r>
          </w:p>
        </w:tc>
      </w:tr>
      <w:tr>
        <w:trPr>
          <w:trHeight w:val="335" w:hRule="exact"/>
        </w:trPr>
        <w:tc>
          <w:tcPr>
            <w:tcW w:w="96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云和数据</w:t>
            </w:r>
          </w:p>
        </w:tc>
        <w:tc>
          <w:tcPr>
            <w:tcW w:w="110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线下实体教育</w:t>
            </w:r>
          </w:p>
        </w:tc>
        <w:tc>
          <w:tcPr>
            <w:tcW w:w="161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61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宋体" w:hAnsi="宋体" w:cs="宋体" w:eastAsia="宋体" w:hint="default"/>
                <w:sz w:val="18"/>
                <w:szCs w:val="18"/>
              </w:rPr>
              <w:t>万元</w:t>
            </w:r>
          </w:p>
        </w:tc>
        <w:tc>
          <w:tcPr>
            <w:tcW w:w="161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20.00%</w:t>
            </w:r>
          </w:p>
        </w:tc>
        <w:tc>
          <w:tcPr>
            <w:tcW w:w="25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pacing w:val="2"/>
                <w:sz w:val="18"/>
                <w:szCs w:val="18"/>
              </w:rPr>
              <w:t>云和数据属于</w:t>
            </w:r>
            <w:r>
              <w:rPr>
                <w:rFonts w:ascii="Times New Roman" w:hAnsi="Times New Roman" w:cs="Times New Roman" w:eastAsia="Times New Roman" w:hint="default"/>
                <w:spacing w:val="2"/>
                <w:sz w:val="18"/>
                <w:szCs w:val="18"/>
              </w:rPr>
              <w:t>IT</w:t>
            </w:r>
            <w:r>
              <w:rPr>
                <w:rFonts w:ascii="宋体" w:hAnsi="宋体" w:cs="宋体" w:eastAsia="宋体" w:hint="default"/>
                <w:spacing w:val="2"/>
                <w:sz w:val="18"/>
                <w:szCs w:val="18"/>
              </w:rPr>
              <w:t>职业教育领域具</w:t>
            </w:r>
          </w:p>
        </w:tc>
      </w:tr>
      <w:tr>
        <w:trPr>
          <w:trHeight w:val="312" w:hRule="exact"/>
        </w:trPr>
        <w:tc>
          <w:tcPr>
            <w:tcW w:w="966" w:type="dxa"/>
            <w:tcBorders>
              <w:top w:val="nil" w:sz="6" w:space="0" w:color="auto"/>
              <w:left w:val="single" w:sz="6" w:space="0" w:color="000000"/>
              <w:bottom w:val="nil" w:sz="6" w:space="0" w:color="auto"/>
              <w:right w:val="single" w:sz="6" w:space="0" w:color="000000"/>
            </w:tcBorders>
          </w:tcPr>
          <w:p>
            <w:pPr/>
          </w:p>
        </w:tc>
        <w:tc>
          <w:tcPr>
            <w:tcW w:w="110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与在线教育相</w:t>
            </w:r>
          </w:p>
        </w:tc>
        <w:tc>
          <w:tcPr>
            <w:tcW w:w="1615" w:type="dxa"/>
            <w:tcBorders>
              <w:top w:val="nil" w:sz="6" w:space="0" w:color="auto"/>
              <w:left w:val="single" w:sz="6" w:space="0" w:color="000000"/>
              <w:bottom w:val="nil" w:sz="6" w:space="0" w:color="auto"/>
              <w:right w:val="single" w:sz="6" w:space="0" w:color="000000"/>
            </w:tcBorders>
          </w:tcPr>
          <w:p>
            <w:pPr/>
          </w:p>
        </w:tc>
        <w:tc>
          <w:tcPr>
            <w:tcW w:w="1615" w:type="dxa"/>
            <w:tcBorders>
              <w:top w:val="nil" w:sz="6" w:space="0" w:color="auto"/>
              <w:left w:val="single" w:sz="6" w:space="0" w:color="000000"/>
              <w:bottom w:val="nil" w:sz="6" w:space="0" w:color="auto"/>
              <w:right w:val="single" w:sz="6" w:space="0" w:color="000000"/>
            </w:tcBorders>
          </w:tcPr>
          <w:p>
            <w:pPr/>
          </w:p>
        </w:tc>
        <w:tc>
          <w:tcPr>
            <w:tcW w:w="1615" w:type="dxa"/>
            <w:tcBorders>
              <w:top w:val="nil" w:sz="6" w:space="0" w:color="auto"/>
              <w:left w:val="single" w:sz="6" w:space="0" w:color="000000"/>
              <w:bottom w:val="nil" w:sz="6" w:space="0" w:color="auto"/>
              <w:right w:val="single" w:sz="6" w:space="0" w:color="000000"/>
            </w:tcBorders>
          </w:tcPr>
          <w:p>
            <w:pPr/>
          </w:p>
        </w:tc>
        <w:tc>
          <w:tcPr>
            <w:tcW w:w="258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3"/>
              <w:jc w:val="center"/>
              <w:rPr>
                <w:rFonts w:ascii="宋体" w:hAnsi="宋体" w:cs="宋体" w:eastAsia="宋体" w:hint="default"/>
                <w:sz w:val="18"/>
                <w:szCs w:val="18"/>
              </w:rPr>
            </w:pPr>
            <w:r>
              <w:rPr>
                <w:rFonts w:ascii="宋体" w:hAnsi="宋体" w:cs="宋体" w:eastAsia="宋体" w:hint="default"/>
                <w:spacing w:val="3"/>
                <w:sz w:val="18"/>
                <w:szCs w:val="18"/>
              </w:rPr>
              <w:t>备区域优势资源的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产学研</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结合</w:t>
            </w:r>
            <w:r>
              <w:rPr>
                <w:rFonts w:ascii="宋体" w:hAnsi="宋体" w:cs="宋体" w:eastAsia="宋体" w:hint="default"/>
                <w:sz w:val="18"/>
                <w:szCs w:val="18"/>
              </w:rPr>
            </w:r>
          </w:p>
        </w:tc>
      </w:tr>
      <w:tr>
        <w:trPr>
          <w:trHeight w:val="325" w:hRule="exact"/>
        </w:trPr>
        <w:tc>
          <w:tcPr>
            <w:tcW w:w="966" w:type="dxa"/>
            <w:tcBorders>
              <w:top w:val="nil" w:sz="6" w:space="0" w:color="auto"/>
              <w:left w:val="single" w:sz="6" w:space="0" w:color="000000"/>
              <w:bottom w:val="single" w:sz="6" w:space="0" w:color="000000"/>
              <w:right w:val="single" w:sz="6" w:space="0" w:color="000000"/>
            </w:tcBorders>
          </w:tcPr>
          <w:p>
            <w:pPr/>
          </w:p>
        </w:tc>
        <w:tc>
          <w:tcPr>
            <w:tcW w:w="110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结合的泛</w:t>
            </w:r>
            <w:r>
              <w:rPr>
                <w:rFonts w:ascii="Times New Roman" w:hAnsi="Times New Roman" w:cs="Times New Roman" w:eastAsia="Times New Roman" w:hint="default"/>
                <w:sz w:val="18"/>
                <w:szCs w:val="18"/>
              </w:rPr>
              <w:t>IT</w:t>
            </w:r>
            <w:r>
              <w:rPr>
                <w:rFonts w:ascii="宋体" w:hAnsi="宋体" w:cs="宋体" w:eastAsia="宋体" w:hint="default"/>
                <w:sz w:val="18"/>
                <w:szCs w:val="18"/>
              </w:rPr>
              <w:t>类</w:t>
            </w:r>
          </w:p>
        </w:tc>
        <w:tc>
          <w:tcPr>
            <w:tcW w:w="1615" w:type="dxa"/>
            <w:tcBorders>
              <w:top w:val="nil" w:sz="6" w:space="0" w:color="auto"/>
              <w:left w:val="single" w:sz="6" w:space="0" w:color="000000"/>
              <w:bottom w:val="single" w:sz="6" w:space="0" w:color="000000"/>
              <w:right w:val="single" w:sz="6" w:space="0" w:color="000000"/>
            </w:tcBorders>
          </w:tcPr>
          <w:p>
            <w:pPr/>
          </w:p>
        </w:tc>
        <w:tc>
          <w:tcPr>
            <w:tcW w:w="1615" w:type="dxa"/>
            <w:tcBorders>
              <w:top w:val="nil" w:sz="6" w:space="0" w:color="auto"/>
              <w:left w:val="single" w:sz="6" w:space="0" w:color="000000"/>
              <w:bottom w:val="single" w:sz="6" w:space="0" w:color="000000"/>
              <w:right w:val="single" w:sz="6" w:space="0" w:color="000000"/>
            </w:tcBorders>
          </w:tcPr>
          <w:p>
            <w:pPr/>
          </w:p>
        </w:tc>
        <w:tc>
          <w:tcPr>
            <w:tcW w:w="1615" w:type="dxa"/>
            <w:tcBorders>
              <w:top w:val="nil" w:sz="6" w:space="0" w:color="auto"/>
              <w:left w:val="single" w:sz="6" w:space="0" w:color="000000"/>
              <w:bottom w:val="single" w:sz="6" w:space="0" w:color="000000"/>
              <w:right w:val="single" w:sz="6" w:space="0" w:color="000000"/>
            </w:tcBorders>
          </w:tcPr>
          <w:p>
            <w:pPr/>
          </w:p>
        </w:tc>
        <w:tc>
          <w:tcPr>
            <w:tcW w:w="258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pacing w:val="2"/>
                <w:sz w:val="18"/>
                <w:szCs w:val="18"/>
              </w:rPr>
              <w:t>企业，有利于加速推动公司面向</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966"/>
        <w:gridCol w:w="1104"/>
        <w:gridCol w:w="1615"/>
        <w:gridCol w:w="1615"/>
        <w:gridCol w:w="1615"/>
        <w:gridCol w:w="2582"/>
      </w:tblGrid>
      <w:tr>
        <w:trPr>
          <w:trHeight w:val="335" w:hRule="exact"/>
        </w:trPr>
        <w:tc>
          <w:tcPr>
            <w:tcW w:w="966" w:type="dxa"/>
            <w:vMerge w:val="restart"/>
            <w:tcBorders>
              <w:top w:val="single" w:sz="6" w:space="0" w:color="000000"/>
              <w:left w:val="single" w:sz="6" w:space="0" w:color="000000"/>
              <w:right w:val="single" w:sz="6" w:space="0" w:color="000000"/>
            </w:tcBorders>
          </w:tcPr>
          <w:p>
            <w:pPr/>
          </w:p>
        </w:tc>
        <w:tc>
          <w:tcPr>
            <w:tcW w:w="110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职业教育综合</w:t>
            </w:r>
          </w:p>
        </w:tc>
        <w:tc>
          <w:tcPr>
            <w:tcW w:w="1615" w:type="dxa"/>
            <w:vMerge w:val="restart"/>
            <w:tcBorders>
              <w:top w:val="single" w:sz="6" w:space="0" w:color="000000"/>
              <w:left w:val="single" w:sz="6" w:space="0" w:color="000000"/>
              <w:right w:val="single" w:sz="6" w:space="0" w:color="000000"/>
            </w:tcBorders>
          </w:tcPr>
          <w:p>
            <w:pPr/>
          </w:p>
        </w:tc>
        <w:tc>
          <w:tcPr>
            <w:tcW w:w="1615" w:type="dxa"/>
            <w:vMerge w:val="restart"/>
            <w:tcBorders>
              <w:top w:val="single" w:sz="6" w:space="0" w:color="000000"/>
              <w:left w:val="single" w:sz="6" w:space="0" w:color="000000"/>
              <w:right w:val="single" w:sz="6" w:space="0" w:color="000000"/>
            </w:tcBorders>
          </w:tcPr>
          <w:p>
            <w:pPr/>
          </w:p>
        </w:tc>
        <w:tc>
          <w:tcPr>
            <w:tcW w:w="1615" w:type="dxa"/>
            <w:vMerge w:val="restart"/>
            <w:tcBorders>
              <w:top w:val="single" w:sz="6" w:space="0" w:color="000000"/>
              <w:left w:val="single" w:sz="6" w:space="0" w:color="000000"/>
              <w:right w:val="single" w:sz="6" w:space="0" w:color="000000"/>
            </w:tcBorders>
          </w:tcPr>
          <w:p>
            <w:pPr/>
          </w:p>
        </w:tc>
        <w:tc>
          <w:tcPr>
            <w:tcW w:w="25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pacing w:val="2"/>
                <w:sz w:val="18"/>
                <w:szCs w:val="18"/>
              </w:rPr>
              <w:t>大学生开展泛</w:t>
            </w:r>
            <w:r>
              <w:rPr>
                <w:rFonts w:ascii="Times New Roman" w:hAnsi="Times New Roman" w:cs="Times New Roman" w:eastAsia="Times New Roman" w:hint="default"/>
                <w:spacing w:val="2"/>
                <w:sz w:val="18"/>
                <w:szCs w:val="18"/>
              </w:rPr>
              <w:t>IT</w:t>
            </w:r>
            <w:r>
              <w:rPr>
                <w:rFonts w:ascii="宋体" w:hAnsi="宋体" w:cs="宋体" w:eastAsia="宋体" w:hint="default"/>
                <w:spacing w:val="2"/>
                <w:sz w:val="18"/>
                <w:szCs w:val="18"/>
              </w:rPr>
              <w:t>类职业教育战略</w:t>
            </w:r>
          </w:p>
        </w:tc>
      </w:tr>
      <w:tr>
        <w:trPr>
          <w:trHeight w:val="312" w:hRule="exact"/>
        </w:trPr>
        <w:tc>
          <w:tcPr>
            <w:tcW w:w="966" w:type="dxa"/>
            <w:vMerge/>
            <w:tcBorders>
              <w:left w:val="single" w:sz="6" w:space="0" w:color="000000"/>
              <w:right w:val="single" w:sz="6" w:space="0" w:color="000000"/>
            </w:tcBorders>
          </w:tcPr>
          <w:p>
            <w:pPr/>
          </w:p>
        </w:tc>
        <w:tc>
          <w:tcPr>
            <w:tcW w:w="110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615" w:type="dxa"/>
            <w:vMerge/>
            <w:tcBorders>
              <w:left w:val="single" w:sz="6" w:space="0" w:color="000000"/>
              <w:right w:val="single" w:sz="6" w:space="0" w:color="000000"/>
            </w:tcBorders>
          </w:tcPr>
          <w:p>
            <w:pPr/>
          </w:p>
        </w:tc>
        <w:tc>
          <w:tcPr>
            <w:tcW w:w="1615" w:type="dxa"/>
            <w:vMerge/>
            <w:tcBorders>
              <w:left w:val="single" w:sz="6" w:space="0" w:color="000000"/>
              <w:right w:val="single" w:sz="6" w:space="0" w:color="000000"/>
            </w:tcBorders>
          </w:tcPr>
          <w:p>
            <w:pPr/>
          </w:p>
        </w:tc>
        <w:tc>
          <w:tcPr>
            <w:tcW w:w="1615" w:type="dxa"/>
            <w:vMerge/>
            <w:tcBorders>
              <w:left w:val="single" w:sz="6" w:space="0" w:color="000000"/>
              <w:right w:val="single" w:sz="6" w:space="0" w:color="000000"/>
            </w:tcBorders>
          </w:tcPr>
          <w:p>
            <w:pPr/>
          </w:p>
        </w:tc>
        <w:tc>
          <w:tcPr>
            <w:tcW w:w="258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pacing w:val="2"/>
                <w:sz w:val="18"/>
                <w:szCs w:val="18"/>
              </w:rPr>
              <w:t>的实施，围绕</w:t>
            </w:r>
            <w:r>
              <w:rPr>
                <w:rFonts w:ascii="Times New Roman" w:hAnsi="Times New Roman" w:cs="Times New Roman" w:eastAsia="Times New Roman" w:hint="default"/>
                <w:spacing w:val="2"/>
                <w:sz w:val="18"/>
                <w:szCs w:val="18"/>
              </w:rPr>
              <w:t>IT</w:t>
            </w:r>
            <w:r>
              <w:rPr>
                <w:rFonts w:ascii="宋体" w:hAnsi="宋体" w:cs="宋体" w:eastAsia="宋体" w:hint="default"/>
                <w:spacing w:val="2"/>
                <w:sz w:val="18"/>
                <w:szCs w:val="18"/>
              </w:rPr>
              <w:t>职业教育提供实</w:t>
            </w:r>
          </w:p>
        </w:tc>
      </w:tr>
      <w:tr>
        <w:trPr>
          <w:trHeight w:val="307" w:hRule="exact"/>
        </w:trPr>
        <w:tc>
          <w:tcPr>
            <w:tcW w:w="966" w:type="dxa"/>
            <w:vMerge/>
            <w:tcBorders>
              <w:left w:val="single" w:sz="6" w:space="0" w:color="000000"/>
              <w:right w:val="single" w:sz="6" w:space="0" w:color="000000"/>
            </w:tcBorders>
          </w:tcPr>
          <w:p>
            <w:pPr/>
          </w:p>
        </w:tc>
        <w:tc>
          <w:tcPr>
            <w:tcW w:w="1104" w:type="dxa"/>
            <w:tcBorders>
              <w:top w:val="nil" w:sz="6" w:space="0" w:color="auto"/>
              <w:left w:val="single" w:sz="6" w:space="0" w:color="000000"/>
              <w:bottom w:val="nil" w:sz="6" w:space="0" w:color="auto"/>
              <w:right w:val="single" w:sz="6" w:space="0" w:color="000000"/>
            </w:tcBorders>
          </w:tcPr>
          <w:p>
            <w:pPr/>
          </w:p>
        </w:tc>
        <w:tc>
          <w:tcPr>
            <w:tcW w:w="1615" w:type="dxa"/>
            <w:vMerge/>
            <w:tcBorders>
              <w:left w:val="single" w:sz="6" w:space="0" w:color="000000"/>
              <w:right w:val="single" w:sz="6" w:space="0" w:color="000000"/>
            </w:tcBorders>
          </w:tcPr>
          <w:p>
            <w:pPr/>
          </w:p>
        </w:tc>
        <w:tc>
          <w:tcPr>
            <w:tcW w:w="1615" w:type="dxa"/>
            <w:vMerge/>
            <w:tcBorders>
              <w:left w:val="single" w:sz="6" w:space="0" w:color="000000"/>
              <w:right w:val="single" w:sz="6" w:space="0" w:color="000000"/>
            </w:tcBorders>
          </w:tcPr>
          <w:p>
            <w:pPr/>
          </w:p>
        </w:tc>
        <w:tc>
          <w:tcPr>
            <w:tcW w:w="1615" w:type="dxa"/>
            <w:vMerge/>
            <w:tcBorders>
              <w:left w:val="single" w:sz="6" w:space="0" w:color="000000"/>
              <w:right w:val="single" w:sz="6" w:space="0" w:color="000000"/>
            </w:tcBorders>
          </w:tcPr>
          <w:p>
            <w:pPr/>
          </w:p>
        </w:tc>
        <w:tc>
          <w:tcPr>
            <w:tcW w:w="258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pacing w:val="2"/>
                <w:sz w:val="18"/>
                <w:szCs w:val="18"/>
              </w:rPr>
              <w:t>训设备、产学结合服务及解决方</w:t>
            </w:r>
          </w:p>
        </w:tc>
      </w:tr>
      <w:tr>
        <w:trPr>
          <w:trHeight w:val="330" w:hRule="exact"/>
        </w:trPr>
        <w:tc>
          <w:tcPr>
            <w:tcW w:w="966" w:type="dxa"/>
            <w:vMerge/>
            <w:tcBorders>
              <w:left w:val="single" w:sz="6" w:space="0" w:color="000000"/>
              <w:bottom w:val="single" w:sz="6" w:space="0" w:color="000000"/>
              <w:right w:val="single" w:sz="6" w:space="0" w:color="000000"/>
            </w:tcBorders>
          </w:tcPr>
          <w:p>
            <w:pPr/>
          </w:p>
        </w:tc>
        <w:tc>
          <w:tcPr>
            <w:tcW w:w="1104" w:type="dxa"/>
            <w:tcBorders>
              <w:top w:val="nil" w:sz="6" w:space="0" w:color="auto"/>
              <w:left w:val="single" w:sz="6" w:space="0" w:color="000000"/>
              <w:bottom w:val="single" w:sz="6" w:space="0" w:color="000000"/>
              <w:right w:val="single" w:sz="6" w:space="0" w:color="000000"/>
            </w:tcBorders>
          </w:tcPr>
          <w:p>
            <w:pPr/>
          </w:p>
        </w:tc>
        <w:tc>
          <w:tcPr>
            <w:tcW w:w="1615" w:type="dxa"/>
            <w:vMerge/>
            <w:tcBorders>
              <w:left w:val="single" w:sz="6" w:space="0" w:color="000000"/>
              <w:bottom w:val="single" w:sz="6" w:space="0" w:color="000000"/>
              <w:right w:val="single" w:sz="6" w:space="0" w:color="000000"/>
            </w:tcBorders>
          </w:tcPr>
          <w:p>
            <w:pPr/>
          </w:p>
        </w:tc>
        <w:tc>
          <w:tcPr>
            <w:tcW w:w="1615" w:type="dxa"/>
            <w:vMerge/>
            <w:tcBorders>
              <w:left w:val="single" w:sz="6" w:space="0" w:color="000000"/>
              <w:bottom w:val="single" w:sz="6" w:space="0" w:color="000000"/>
              <w:right w:val="single" w:sz="6" w:space="0" w:color="000000"/>
            </w:tcBorders>
          </w:tcPr>
          <w:p>
            <w:pPr/>
          </w:p>
        </w:tc>
        <w:tc>
          <w:tcPr>
            <w:tcW w:w="1615" w:type="dxa"/>
            <w:vMerge/>
            <w:tcBorders>
              <w:left w:val="single" w:sz="6" w:space="0" w:color="000000"/>
              <w:bottom w:val="single" w:sz="6" w:space="0" w:color="000000"/>
              <w:right w:val="single" w:sz="6" w:space="0" w:color="000000"/>
            </w:tcBorders>
          </w:tcPr>
          <w:p>
            <w:pPr/>
          </w:p>
        </w:tc>
        <w:tc>
          <w:tcPr>
            <w:tcW w:w="258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案</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2"/>
        <w:spacing w:line="240" w:lineRule="auto" w:before="26"/>
        <w:ind w:right="0"/>
        <w:jc w:val="left"/>
        <w:rPr>
          <w:b w:val="0"/>
          <w:bCs w:val="0"/>
        </w:rPr>
      </w:pPr>
      <w:r>
        <w:rPr/>
        <w:t>十九、社会责任情况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3"/>
        <w:ind w:left="574" w:right="0"/>
        <w:jc w:val="left"/>
      </w:pPr>
      <w:r>
        <w:rPr/>
        <w:t>具体内容请查看公司于在巨潮资讯网刊登的《</w:t>
      </w:r>
      <w:r>
        <w:rPr>
          <w:rFonts w:ascii="Times New Roman" w:hAnsi="Times New Roman" w:cs="Times New Roman" w:eastAsia="Times New Roman" w:hint="default"/>
        </w:rPr>
        <w:t>2015</w:t>
      </w:r>
      <w:r>
        <w:rPr/>
        <w:t>年度社会责任报告》。</w:t>
      </w:r>
    </w:p>
    <w:p>
      <w:pPr>
        <w:spacing w:before="165"/>
        <w:ind w:left="154" w:right="0"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上市公司及其子公司是否属于国家环境保护部门规定的重污染行业</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二十、公司债券相关情况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1131"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965" w:right="95"/>
        <w:jc w:val="left"/>
        <w:rPr>
          <w:b w:val="0"/>
          <w:bCs w:val="0"/>
        </w:rPr>
      </w:pPr>
      <w:bookmarkStart w:name="_TOC_250005"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5"/>
        <w:jc w:val="left"/>
        <w:rPr>
          <w:b w:val="0"/>
          <w:bCs w:val="0"/>
        </w:rPr>
      </w:pPr>
      <w:r>
        <w:rPr/>
        <w:t>一、股份变动情况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5"/>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27"/>
        <w:gridCol w:w="823"/>
        <w:gridCol w:w="823"/>
        <w:gridCol w:w="822"/>
        <w:gridCol w:w="822"/>
        <w:gridCol w:w="822"/>
        <w:gridCol w:w="822"/>
        <w:gridCol w:w="822"/>
        <w:gridCol w:w="794"/>
        <w:gridCol w:w="794"/>
      </w:tblGrid>
      <w:tr>
        <w:trPr>
          <w:trHeight w:val="402" w:hRule="exact"/>
        </w:trPr>
        <w:tc>
          <w:tcPr>
            <w:tcW w:w="2227" w:type="dxa"/>
            <w:vMerge w:val="restart"/>
            <w:tcBorders>
              <w:top w:val="single" w:sz="4" w:space="0" w:color="000000"/>
              <w:left w:val="single" w:sz="4" w:space="0" w:color="000000"/>
              <w:right w:val="single" w:sz="4" w:space="0" w:color="000000"/>
            </w:tcBorders>
            <w:shd w:val="clear" w:color="auto" w:fill="D3D3D3"/>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227" w:type="dxa"/>
            <w:vMerge/>
            <w:tcBorders>
              <w:left w:val="single" w:sz="4" w:space="0" w:color="000000"/>
              <w:bottom w:val="single" w:sz="4" w:space="0" w:color="000000"/>
              <w:right w:val="single" w:sz="4" w:space="0" w:color="000000"/>
            </w:tcBorders>
            <w:shd w:val="clear" w:color="auto" w:fill="D3D3D3"/>
          </w:tcPr>
          <w:p>
            <w:pPr/>
          </w:p>
        </w:tc>
        <w:tc>
          <w:tcPr>
            <w:tcW w:w="8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57,191,25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40.07%</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16,654,90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57,191,25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1,875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73,848,02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131,039,2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43.38%</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57,191,25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40.07%</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16,654,90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57,191,25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1,875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73,848,02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131,039,2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43.38%</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3,775,582</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3,775,582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3,775,582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1.25%</w:t>
            </w:r>
            <w:r>
              <w:rPr>
                <w:rFonts w:ascii="Times New Roman"/>
                <w:sz w:val="18"/>
              </w:rPr>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      境内自然人持股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57,191,25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40.07%</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12,879,31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57,191,25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1,875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70,072,44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127,263,6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42.13%</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85,528,75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59.93%</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85,528,75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-1,875</w:t>
            </w:r>
            <w:r>
              <w:rPr>
                <w:rFonts w:ascii="Times New Roman"/>
                <w:sz w:val="18"/>
              </w:rPr>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85,526,87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171,055,6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56.62%</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85,528,75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59.93%</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85,528,75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-1,875</w:t>
            </w:r>
            <w:r>
              <w:rPr>
                <w:rFonts w:ascii="Times New Roman"/>
                <w:sz w:val="18"/>
              </w:rPr>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85,526,87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171,055,6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56.62%</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142,720,0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16,654,90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142,720,0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159,374,9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302,094,9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before="51"/>
        <w:ind w:left="154" w:right="95"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4"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3"/>
        <w:ind w:left="574" w:right="95"/>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日，公司召开的</w:t>
      </w:r>
      <w:r>
        <w:rPr>
          <w:rFonts w:ascii="Times New Roman" w:hAnsi="Times New Roman" w:cs="Times New Roman" w:eastAsia="Times New Roman" w:hint="default"/>
        </w:rPr>
        <w:t>2014</w:t>
      </w:r>
      <w:r>
        <w:rPr/>
        <w:t>年年度股东大会审议通过了《关于审议新开普电子股份有限公司</w:t>
      </w:r>
    </w:p>
    <w:p>
      <w:pPr>
        <w:pStyle w:val="BodyText"/>
        <w:spacing w:line="240" w:lineRule="auto" w:before="177"/>
        <w:ind w:right="95"/>
        <w:jc w:val="left"/>
      </w:pPr>
      <w:r>
        <w:rPr>
          <w:rFonts w:ascii="Times New Roman" w:hAnsi="Times New Roman" w:cs="Times New Roman" w:eastAsia="Times New Roman" w:hint="default"/>
        </w:rPr>
        <w:t>2014</w:t>
      </w:r>
      <w:r>
        <w:rPr/>
        <w:t>年度利润分配及资本公积金转增股本预案的议案》。与会股东同意以截止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p>
    <w:p>
      <w:pPr>
        <w:pStyle w:val="BodyText"/>
        <w:spacing w:line="386" w:lineRule="auto" w:before="177"/>
        <w:ind w:left="153" w:right="95"/>
        <w:jc w:val="left"/>
      </w:pPr>
      <w:r>
        <w:rPr>
          <w:rFonts w:ascii="Times New Roman" w:hAnsi="Times New Roman" w:cs="Times New Roman" w:eastAsia="Times New Roman" w:hint="default"/>
        </w:rPr>
        <w:t>142,720,000</w:t>
      </w:r>
      <w:r>
        <w:rPr/>
        <w:t>股为基数，向全体股东每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1</w:t>
      </w:r>
      <w:r>
        <w:rPr/>
        <w:t>元人民币（含税）；同时进行资本公积金转增股本， </w:t>
      </w:r>
      <w:r>
        <w:rPr>
          <w:spacing w:val="-3"/>
        </w:rPr>
        <w:t>以公司总股本</w:t>
      </w:r>
      <w:r>
        <w:rPr>
          <w:rFonts w:ascii="Times New Roman" w:hAnsi="Times New Roman" w:cs="Times New Roman" w:eastAsia="Times New Roman" w:hint="default"/>
          <w:spacing w:val="-3"/>
        </w:rPr>
        <w:t>142,720,000</w:t>
      </w:r>
      <w:r>
        <w:rPr>
          <w:spacing w:val="-3"/>
        </w:rPr>
        <w:t>股为基数，向全体股东每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10</w:t>
      </w:r>
      <w:r>
        <w:rPr>
          <w:spacing w:val="-3"/>
        </w:rPr>
        <w:t>股，转增后公司总股本增加至</w:t>
      </w:r>
      <w:r>
        <w:rPr>
          <w:rFonts w:ascii="Times New Roman" w:hAnsi="Times New Roman" w:cs="Times New Roman" w:eastAsia="Times New Roman" w:hint="default"/>
          <w:spacing w:val="-3"/>
        </w:rPr>
        <w:t>285,440,000</w:t>
      </w:r>
      <w:r>
        <w:rPr>
          <w:spacing w:val="-3"/>
        </w:rPr>
        <w:t>股。</w:t>
      </w:r>
      <w:r>
        <w:rPr>
          <w:spacing w:val="-67"/>
        </w:rPr>
        <w:t> </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18</w:t>
      </w:r>
      <w:r>
        <w:rPr>
          <w:spacing w:val="-3"/>
        </w:rPr>
        <w:t>日，公司在《巨潮资讯网》上刊登了《</w:t>
      </w:r>
      <w:r>
        <w:rPr>
          <w:rFonts w:ascii="Times New Roman" w:hAnsi="Times New Roman" w:cs="Times New Roman" w:eastAsia="Times New Roman" w:hint="default"/>
          <w:spacing w:val="-3"/>
        </w:rPr>
        <w:t>2014</w:t>
      </w:r>
      <w:r>
        <w:rPr>
          <w:spacing w:val="-3"/>
        </w:rPr>
        <w:t>年年度权益分派实施公告》，截至</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25</w:t>
      </w:r>
      <w:r>
        <w:rPr>
          <w:spacing w:val="-3"/>
        </w:rPr>
        <w:t>日，</w:t>
      </w:r>
      <w:r>
        <w:rPr>
          <w:spacing w:val="-83"/>
        </w:rPr>
        <w:t> </w:t>
      </w:r>
      <w:r>
        <w:rPr/>
        <w:t>公司</w:t>
      </w:r>
      <w:r>
        <w:rPr>
          <w:rFonts w:ascii="Times New Roman" w:hAnsi="Times New Roman" w:cs="Times New Roman" w:eastAsia="Times New Roman" w:hint="default"/>
        </w:rPr>
        <w:t>2014</w:t>
      </w:r>
      <w:r>
        <w:rPr/>
        <w:t>年年度权益分派已实施完毕。</w:t>
      </w:r>
    </w:p>
    <w:p>
      <w:pPr>
        <w:pStyle w:val="BodyText"/>
        <w:spacing w:line="386" w:lineRule="auto" w:before="35"/>
        <w:ind w:left="153" w:right="206" w:firstLine="42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t>日，公司收到中国证监会《关于核准新开普电子股份有限公司向刘永春等发行股份购 </w:t>
      </w:r>
      <w:r>
        <w:rPr>
          <w:spacing w:val="-1"/>
        </w:rPr>
        <w:t>买资产并募集配套资金的批复》（证监许可〔</w:t>
      </w:r>
      <w:r>
        <w:rPr>
          <w:rFonts w:ascii="Times New Roman" w:hAnsi="Times New Roman" w:cs="Times New Roman" w:eastAsia="Times New Roman" w:hint="default"/>
          <w:spacing w:val="-1"/>
        </w:rPr>
        <w:t>2015</w:t>
      </w:r>
      <w:r>
        <w:rPr>
          <w:spacing w:val="-1"/>
        </w:rPr>
        <w:t>〕</w:t>
      </w:r>
      <w:r>
        <w:rPr>
          <w:rFonts w:ascii="Times New Roman" w:hAnsi="Times New Roman" w:cs="Times New Roman" w:eastAsia="Times New Roman" w:hint="default"/>
          <w:spacing w:val="-1"/>
        </w:rPr>
        <w:t>1417</w:t>
      </w:r>
      <w:r>
        <w:rPr>
          <w:spacing w:val="-1"/>
        </w:rPr>
        <w:t>号），公司以发行股份及支付现金的方式向刘永</w:t>
      </w:r>
      <w:r>
        <w:rPr>
          <w:spacing w:val="-85"/>
        </w:rPr>
        <w:t> </w:t>
      </w:r>
      <w:r>
        <w:rPr>
          <w:spacing w:val="-85"/>
        </w:rPr>
      </w:r>
      <w:r>
        <w:rPr/>
        <w:t>春、丛伟滋、李洪、熊小洪、白海清、黄暂度共</w:t>
      </w:r>
      <w:r>
        <w:rPr>
          <w:rFonts w:ascii="Times New Roman" w:hAnsi="Times New Roman" w:cs="Times New Roman" w:eastAsia="Times New Roman" w:hint="default"/>
        </w:rPr>
        <w:t>6</w:t>
      </w:r>
      <w:r>
        <w:rPr/>
        <w:t>名交易对方购买其合计持有的迪科远望</w:t>
      </w:r>
      <w:r>
        <w:rPr>
          <w:rFonts w:ascii="Times New Roman" w:hAnsi="Times New Roman" w:cs="Times New Roman" w:eastAsia="Times New Roman" w:hint="default"/>
        </w:rPr>
        <w:t>100%</w:t>
      </w:r>
      <w:r>
        <w:rPr/>
        <w:t>股权。迪科</w:t>
      </w:r>
    </w:p>
    <w:p>
      <w:pPr>
        <w:spacing w:after="0" w:line="386"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386" w:lineRule="auto" w:before="35"/>
        <w:ind w:left="153" w:right="164"/>
        <w:jc w:val="both"/>
      </w:pPr>
      <w:r>
        <w:rPr/>
        <w:t>远望</w:t>
      </w:r>
      <w:r>
        <w:rPr>
          <w:rFonts w:ascii="Times New Roman" w:hAnsi="Times New Roman" w:cs="Times New Roman" w:eastAsia="Times New Roman" w:hint="default"/>
        </w:rPr>
        <w:t>100%</w:t>
      </w:r>
      <w:r>
        <w:rPr/>
        <w:t>股权作价</w:t>
      </w:r>
      <w:r>
        <w:rPr>
          <w:rFonts w:ascii="Times New Roman" w:hAnsi="Times New Roman" w:cs="Times New Roman" w:eastAsia="Times New Roman" w:hint="default"/>
        </w:rPr>
        <w:t>32,000</w:t>
      </w:r>
      <w:r>
        <w:rPr/>
        <w:t>万元，其中，公司以发行股份方式支付交易对价中的</w:t>
      </w:r>
      <w:r>
        <w:rPr>
          <w:rFonts w:ascii="Times New Roman" w:hAnsi="Times New Roman" w:cs="Times New Roman" w:eastAsia="Times New Roman" w:hint="default"/>
        </w:rPr>
        <w:t>15,600</w:t>
      </w:r>
      <w:r>
        <w:rPr/>
        <w:t>万元，以现金方式支 付交易对价中的</w:t>
      </w:r>
      <w:r>
        <w:rPr>
          <w:rFonts w:ascii="Times New Roman" w:hAnsi="Times New Roman" w:cs="Times New Roman" w:eastAsia="Times New Roman" w:hint="default"/>
        </w:rPr>
        <w:t>16,400</w:t>
      </w:r>
      <w:r>
        <w:rPr/>
        <w:t>万元。</w:t>
      </w:r>
    </w:p>
    <w:p>
      <w:pPr>
        <w:pStyle w:val="BodyText"/>
        <w:spacing w:line="386" w:lineRule="auto" w:before="35"/>
        <w:ind w:left="153" w:right="143" w:firstLine="420"/>
        <w:jc w:val="left"/>
      </w:pPr>
      <w:r>
        <w:rPr/>
        <w:t>同时，公司以非公开发行股份的方式向郑州佳辰、罗会军、柳楠、吴凤辉共</w:t>
      </w:r>
      <w:r>
        <w:rPr>
          <w:rFonts w:ascii="Times New Roman" w:hAnsi="Times New Roman" w:cs="Times New Roman" w:eastAsia="Times New Roman" w:hint="default"/>
        </w:rPr>
        <w:t>4</w:t>
      </w:r>
      <w:r>
        <w:rPr/>
        <w:t>名认购对象非公开发行 </w:t>
      </w:r>
      <w:r>
        <w:rPr>
          <w:spacing w:val="-1"/>
        </w:rPr>
        <w:t>股份募集配套资金不超过</w:t>
      </w:r>
      <w:r>
        <w:rPr>
          <w:rFonts w:ascii="Times New Roman" w:hAnsi="Times New Roman" w:cs="Times New Roman" w:eastAsia="Times New Roman" w:hint="default"/>
          <w:spacing w:val="-1"/>
        </w:rPr>
        <w:t>8,000</w:t>
      </w:r>
      <w:r>
        <w:rPr>
          <w:spacing w:val="-1"/>
        </w:rPr>
        <w:t>万元。本次募集配套资金总额不超过本次交易总金额的</w:t>
      </w:r>
      <w:r>
        <w:rPr>
          <w:rFonts w:ascii="Times New Roman" w:hAnsi="Times New Roman" w:cs="Times New Roman" w:eastAsia="Times New Roman" w:hint="default"/>
          <w:spacing w:val="-1"/>
        </w:rPr>
        <w:t>25%</w:t>
      </w:r>
      <w:r>
        <w:rPr>
          <w:spacing w:val="-1"/>
        </w:rPr>
        <w:t>，本次募集配套</w:t>
      </w:r>
      <w:r>
        <w:rPr>
          <w:spacing w:val="-101"/>
        </w:rPr>
        <w:t> </w:t>
      </w:r>
      <w:r>
        <w:rPr>
          <w:spacing w:val="-101"/>
        </w:rPr>
      </w:r>
      <w:r>
        <w:rPr/>
        <w:t>资金扣除发行费用后将全部用于支付本次交易的现金对价。</w:t>
      </w:r>
    </w:p>
    <w:p>
      <w:pPr>
        <w:pStyle w:val="BodyText"/>
        <w:spacing w:line="388" w:lineRule="auto" w:before="65"/>
        <w:ind w:left="153" w:right="0" w:firstLine="420"/>
        <w:jc w:val="left"/>
      </w:pPr>
      <w:r>
        <w:rPr/>
        <w:t>公司本次向交易对方发行股份购买资产的发行价格和向认购对象非公开发行股份募集配套资金的发 行价格相同。本次发行的定价基准日为本公司第三届董事会第八次会议决议公告日，发行价格为</w:t>
      </w:r>
      <w:r>
        <w:rPr>
          <w:rFonts w:ascii="Times New Roman" w:hAnsi="Times New Roman" w:cs="Times New Roman" w:eastAsia="Times New Roman" w:hint="default"/>
        </w:rPr>
        <w:t>28.44</w:t>
      </w:r>
      <w:r>
        <w:rPr/>
        <w:t>元</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1"/>
        </w:rPr>
        <w:t>股。根据公司</w:t>
      </w:r>
      <w:r>
        <w:rPr>
          <w:rFonts w:ascii="Times New Roman" w:hAnsi="Times New Roman" w:cs="Times New Roman" w:eastAsia="Times New Roman" w:hint="default"/>
          <w:spacing w:val="-1"/>
        </w:rPr>
        <w:t>2014</w:t>
      </w:r>
      <w:r>
        <w:rPr>
          <w:spacing w:val="-1"/>
        </w:rPr>
        <w:t>年年度股东大会审议通过的</w:t>
      </w:r>
      <w:r>
        <w:rPr>
          <w:rFonts w:ascii="Times New Roman" w:hAnsi="Times New Roman" w:cs="Times New Roman" w:eastAsia="Times New Roman" w:hint="default"/>
          <w:spacing w:val="-1"/>
        </w:rPr>
        <w:t>2014</w:t>
      </w:r>
      <w:r>
        <w:rPr>
          <w:spacing w:val="-1"/>
        </w:rPr>
        <w:t>年度利润分配方案，新开普以截至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日总股</w:t>
      </w:r>
      <w:r>
        <w:rPr>
          <w:spacing w:val="-84"/>
        </w:rPr>
        <w:t> </w:t>
      </w:r>
      <w:r>
        <w:rPr/>
        <w:t>本</w:t>
      </w:r>
      <w:r>
        <w:rPr>
          <w:rFonts w:ascii="Times New Roman" w:hAnsi="Times New Roman" w:cs="Times New Roman" w:eastAsia="Times New Roman" w:hint="default"/>
        </w:rPr>
        <w:t>14,272</w:t>
      </w:r>
      <w:r>
        <w:rPr/>
        <w:t>万股为基数，向全体股东每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1.00</w:t>
      </w:r>
      <w:r>
        <w:rPr/>
        <w:t>元（含税）；同时进行资本公积转增股本，以总股 本</w:t>
      </w:r>
      <w:r>
        <w:rPr>
          <w:rFonts w:ascii="Times New Roman" w:hAnsi="Times New Roman" w:cs="Times New Roman" w:eastAsia="Times New Roman" w:hint="default"/>
        </w:rPr>
        <w:t>14,272</w:t>
      </w:r>
      <w:r>
        <w:rPr/>
        <w:t>万股为基数，向全体股东每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股，转增后新开普总股本增至</w:t>
      </w:r>
      <w:r>
        <w:rPr>
          <w:rFonts w:ascii="Times New Roman" w:hAnsi="Times New Roman" w:cs="Times New Roman" w:eastAsia="Times New Roman" w:hint="default"/>
        </w:rPr>
        <w:t>28,544</w:t>
      </w:r>
      <w:r>
        <w:rPr/>
        <w:t>万股。根据公司</w:t>
      </w:r>
      <w:r>
        <w:rPr>
          <w:rFonts w:ascii="Times New Roman" w:hAnsi="Times New Roman" w:cs="Times New Roman" w:eastAsia="Times New Roman" w:hint="default"/>
        </w:rPr>
        <w:t>2014 </w:t>
      </w:r>
      <w:r>
        <w:rPr/>
        <w:t>年度利润分配方案，本次募集配套资金的发行价格经除权除息后调整为</w:t>
      </w:r>
      <w:r>
        <w:rPr>
          <w:rFonts w:ascii="Times New Roman" w:hAnsi="Times New Roman" w:cs="Times New Roman" w:eastAsia="Times New Roman" w:hint="default"/>
        </w:rPr>
        <w:t>14.17</w:t>
      </w:r>
      <w:r>
        <w:rPr/>
        <w:t>元</w:t>
      </w:r>
      <w:r>
        <w:rPr>
          <w:rFonts w:ascii="Times New Roman" w:hAnsi="Times New Roman" w:cs="Times New Roman" w:eastAsia="Times New Roman" w:hint="default"/>
        </w:rPr>
        <w:t>/</w:t>
      </w:r>
      <w:r>
        <w:rPr/>
        <w:t>股。同时，根据本次交易 标的资产的交易价格以及确定的发行价格计算，公司向交易对方合计发行股份</w:t>
      </w:r>
      <w:r>
        <w:rPr>
          <w:rFonts w:ascii="Times New Roman" w:hAnsi="Times New Roman" w:cs="Times New Roman" w:eastAsia="Times New Roman" w:hint="default"/>
        </w:rPr>
        <w:t>11,009,172</w:t>
      </w:r>
      <w:r>
        <w:rPr/>
        <w:t>股。依据募集配 套资金金额以及确定的发行价格计算，公司向认购对象合计发行股份</w:t>
      </w:r>
      <w:r>
        <w:rPr>
          <w:rFonts w:ascii="Times New Roman" w:hAnsi="Times New Roman" w:cs="Times New Roman" w:eastAsia="Times New Roman" w:hint="default"/>
        </w:rPr>
        <w:t>5,645,729</w:t>
      </w:r>
      <w:r>
        <w:rPr/>
        <w:t>股。</w:t>
      </w:r>
    </w:p>
    <w:p>
      <w:pPr>
        <w:pStyle w:val="BodyText"/>
        <w:spacing w:line="386" w:lineRule="auto" w:before="33"/>
        <w:ind w:right="0" w:firstLine="419"/>
        <w:jc w:val="left"/>
      </w:pPr>
      <w:r>
        <w:rPr>
          <w:spacing w:val="-1"/>
        </w:rPr>
        <w:t>本次交易新增股份</w:t>
      </w:r>
      <w:r>
        <w:rPr>
          <w:rFonts w:ascii="Times New Roman" w:hAnsi="Times New Roman" w:cs="Times New Roman" w:eastAsia="Times New Roman" w:hint="default"/>
          <w:spacing w:val="-1"/>
        </w:rPr>
        <w:t>16,654,901</w:t>
      </w:r>
      <w:r>
        <w:rPr>
          <w:spacing w:val="-1"/>
        </w:rPr>
        <w:t>股为有限售条件的流通股，已于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15</w:t>
      </w:r>
      <w:r>
        <w:rPr>
          <w:spacing w:val="-1"/>
        </w:rPr>
        <w:t>日在中国证券登记结算有限</w:t>
      </w:r>
      <w:r>
        <w:rPr/>
        <w:t> 责任公司深圳分公司办理完毕登记手续，并于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日在深圳证券交易所上市。</w:t>
      </w:r>
    </w:p>
    <w:p>
      <w:pPr>
        <w:pStyle w:val="BodyText"/>
        <w:spacing w:line="240" w:lineRule="auto" w:before="35"/>
        <w:ind w:left="574" w:right="0"/>
        <w:jc w:val="left"/>
      </w:pPr>
      <w:r>
        <w:rPr>
          <w:rFonts w:ascii="Times New Roman" w:hAnsi="Times New Roman" w:cs="Times New Roman" w:eastAsia="Times New Roman" w:hint="default"/>
        </w:rPr>
        <w:t>3</w:t>
      </w:r>
      <w:r>
        <w:rPr/>
        <w:t>、监事王葆玲女士曾于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日以竞价交易方式减持过公司股份，其响应证监会</w:t>
      </w:r>
    </w:p>
    <w:p>
      <w:pPr>
        <w:pStyle w:val="BodyText"/>
        <w:spacing w:line="386" w:lineRule="auto" w:before="177"/>
        <w:ind w:left="153" w:right="151"/>
        <w:jc w:val="both"/>
      </w:pPr>
      <w:r>
        <w:rPr>
          <w:spacing w:val="-1"/>
        </w:rPr>
        <w:t>【</w:t>
      </w:r>
      <w:r>
        <w:rPr>
          <w:rFonts w:ascii="Times New Roman" w:hAnsi="Times New Roman" w:cs="Times New Roman" w:eastAsia="Times New Roman" w:hint="default"/>
          <w:spacing w:val="-1"/>
        </w:rPr>
        <w:t>2015</w:t>
      </w:r>
      <w:r>
        <w:rPr>
          <w:spacing w:val="-1"/>
        </w:rPr>
        <w:t>】</w:t>
      </w:r>
      <w:r>
        <w:rPr>
          <w:rFonts w:ascii="Times New Roman" w:hAnsi="Times New Roman" w:cs="Times New Roman" w:eastAsia="Times New Roman" w:hint="default"/>
          <w:spacing w:val="-1"/>
        </w:rPr>
        <w:t>51</w:t>
      </w:r>
      <w:r>
        <w:rPr>
          <w:spacing w:val="-1"/>
        </w:rPr>
        <w:t>号《关于上市公司大股东及董事、监事、高级管理人员增持本公司股票相关事项的通知》的要</w:t>
      </w:r>
      <w:r>
        <w:rPr>
          <w:spacing w:val="-83"/>
        </w:rPr>
        <w:t> </w:t>
      </w:r>
      <w:r>
        <w:rPr>
          <w:spacing w:val="-83"/>
        </w:rPr>
      </w:r>
      <w:r>
        <w:rPr>
          <w:spacing w:val="-2"/>
        </w:rPr>
        <w:t>求，于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26</w:t>
      </w:r>
      <w:r>
        <w:rPr>
          <w:spacing w:val="-2"/>
        </w:rPr>
        <w:t>日已通过深圳证券交易所证券交易系统在二级市场增持了本公司股票</w:t>
      </w:r>
      <w:r>
        <w:rPr>
          <w:rFonts w:ascii="Times New Roman" w:hAnsi="Times New Roman" w:cs="Times New Roman" w:eastAsia="Times New Roman" w:hint="default"/>
          <w:spacing w:val="-2"/>
        </w:rPr>
        <w:t>2,500</w:t>
      </w:r>
      <w:r>
        <w:rPr>
          <w:spacing w:val="-2"/>
        </w:rPr>
        <w:t>股，并根据</w:t>
      </w:r>
      <w:r>
        <w:rPr>
          <w:spacing w:val="-85"/>
        </w:rPr>
        <w:t> </w:t>
      </w:r>
      <w:r>
        <w:rPr>
          <w:spacing w:val="-85"/>
        </w:rPr>
      </w:r>
      <w:r>
        <w:rPr/>
        <w:t>相关规定进行锁定。</w:t>
      </w:r>
    </w:p>
    <w:p>
      <w:pPr>
        <w:spacing w:before="53"/>
        <w:ind w:left="154" w:right="0" w:firstLine="0"/>
        <w:jc w:val="both"/>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7"/>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3"/>
        <w:ind w:right="216" w:firstLine="419"/>
        <w:jc w:val="left"/>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2014</w:t>
      </w:r>
      <w:r>
        <w:rPr/>
        <w:t>年度利润分配及资本公积金转增股本预案已经由公司第三届董事会第八次会议及</w:t>
      </w:r>
      <w:r>
        <w:rPr>
          <w:rFonts w:ascii="Times New Roman" w:hAnsi="Times New Roman" w:cs="Times New Roman" w:eastAsia="Times New Roman" w:hint="default"/>
        </w:rPr>
        <w:t>2014</w:t>
      </w:r>
      <w:r>
        <w:rPr/>
        <w:t>年 年度股东大会审议通过并予以实施。</w:t>
      </w:r>
    </w:p>
    <w:p>
      <w:pPr>
        <w:pStyle w:val="BodyText"/>
        <w:spacing w:line="391" w:lineRule="auto" w:before="65"/>
        <w:ind w:right="139" w:firstLine="420"/>
        <w:jc w:val="left"/>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12</w:t>
      </w:r>
      <w:r>
        <w:rPr>
          <w:spacing w:val="-1"/>
        </w:rPr>
        <w:t>日，公司第三届董事会第八次会议审议通过了《关于公司发行股份及支付现金购买资</w:t>
      </w:r>
      <w:r>
        <w:rPr/>
        <w:t> 产方案的议案》、《关于公司募集配套资金方案的议案》、《</w:t>
      </w:r>
      <w:r>
        <w:rPr>
          <w:rFonts w:ascii="Times New Roman" w:hAnsi="Times New Roman" w:cs="Times New Roman" w:eastAsia="Times New Roman" w:hint="default"/>
        </w:rPr>
        <w:t>&lt;</w:t>
      </w:r>
      <w:r>
        <w:rPr/>
        <w:t>新开普电子股份有限公司发行股份及支付 现金购买资产并募集配套资金暨关联交易报告书（草案）</w:t>
      </w:r>
      <w:r>
        <w:rPr>
          <w:rFonts w:ascii="Times New Roman" w:hAnsi="Times New Roman" w:cs="Times New Roman" w:eastAsia="Times New Roman" w:hint="default"/>
        </w:rPr>
        <w:t>&gt;</w:t>
      </w:r>
      <w:r>
        <w:rPr/>
        <w:t>及其摘要的议案》等相关议案，独立董事对本 次交易发表了独立意见。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日，上市公司</w:t>
      </w:r>
      <w:r>
        <w:rPr>
          <w:rFonts w:ascii="Times New Roman" w:hAnsi="Times New Roman" w:cs="Times New Roman" w:eastAsia="Times New Roman" w:hint="default"/>
        </w:rPr>
        <w:t>2014</w:t>
      </w:r>
      <w:r>
        <w:rPr>
          <w:rFonts w:ascii="Times New Roman" w:hAnsi="Times New Roman" w:cs="Times New Roman" w:eastAsia="Times New Roman" w:hint="default"/>
          <w:spacing w:val="23"/>
        </w:rPr>
        <w:t> </w:t>
      </w:r>
      <w:r>
        <w:rPr/>
        <w:t>年年度股东大会审议通过了《关于公司发行股份 </w:t>
      </w:r>
      <w:r>
        <w:rPr>
          <w:spacing w:val="-1"/>
        </w:rPr>
        <w:t>及支付现金购买资产方案的议案》、《关于公司募集配套资金方案的议案》等相关议案，均审议通过公司</w:t>
      </w:r>
      <w:r>
        <w:rPr>
          <w:spacing w:val="-83"/>
        </w:rPr>
        <w:t> </w:t>
      </w:r>
      <w:r>
        <w:rPr>
          <w:spacing w:val="-83"/>
        </w:rPr>
      </w:r>
      <w:r>
        <w:rPr/>
        <w:t>以发行股份及支付现金的方式向刘永春、丛伟滋、李洪、熊小洪、白海清、黄暂度共</w:t>
      </w:r>
      <w:r>
        <w:rPr>
          <w:rFonts w:ascii="Times New Roman" w:hAnsi="Times New Roman" w:cs="Times New Roman" w:eastAsia="Times New Roman" w:hint="default"/>
        </w:rPr>
        <w:t>6</w:t>
      </w:r>
      <w:r>
        <w:rPr/>
        <w:t>名交易对方购买其 </w:t>
      </w:r>
      <w:r>
        <w:rPr>
          <w:spacing w:val="-2"/>
        </w:rPr>
        <w:t>合计持有的迪科远望</w:t>
      </w:r>
      <w:r>
        <w:rPr>
          <w:rFonts w:ascii="Times New Roman" w:hAnsi="Times New Roman" w:cs="Times New Roman" w:eastAsia="Times New Roman" w:hint="default"/>
          <w:spacing w:val="-2"/>
        </w:rPr>
        <w:t>100%</w:t>
      </w:r>
      <w:r>
        <w:rPr>
          <w:spacing w:val="-2"/>
        </w:rPr>
        <w:t>股权的相关事项。</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w:t>
      </w:r>
      <w:r>
        <w:rPr>
          <w:spacing w:val="-2"/>
        </w:rPr>
        <w:t>日，公司收到中国证监会《关于核准新开普电子股</w:t>
      </w:r>
    </w:p>
    <w:p>
      <w:pPr>
        <w:spacing w:after="0" w:line="391"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386" w:lineRule="auto" w:before="35"/>
        <w:ind w:right="0" w:hanging="1"/>
        <w:jc w:val="left"/>
      </w:pPr>
      <w:r>
        <w:rPr>
          <w:spacing w:val="-1"/>
        </w:rPr>
        <w:t>份有限公司向刘永春等发行股份购买资产并募集配套资金的批复》（证监许可〔</w:t>
      </w:r>
      <w:r>
        <w:rPr>
          <w:rFonts w:ascii="Times New Roman" w:hAnsi="Times New Roman" w:cs="Times New Roman" w:eastAsia="Times New Roman" w:hint="default"/>
          <w:spacing w:val="-1"/>
        </w:rPr>
        <w:t>2015</w:t>
      </w:r>
      <w:r>
        <w:rPr>
          <w:spacing w:val="-1"/>
        </w:rPr>
        <w:t>〕</w:t>
      </w:r>
      <w:r>
        <w:rPr>
          <w:rFonts w:ascii="Times New Roman" w:hAnsi="Times New Roman" w:cs="Times New Roman" w:eastAsia="Times New Roman" w:hint="default"/>
          <w:spacing w:val="-1"/>
        </w:rPr>
        <w:t>1417</w:t>
      </w:r>
      <w:r>
        <w:rPr>
          <w:spacing w:val="-1"/>
        </w:rPr>
        <w:t>号），本次交</w:t>
      </w:r>
      <w:r>
        <w:rPr>
          <w:spacing w:val="-85"/>
        </w:rPr>
        <w:t> </w:t>
      </w:r>
      <w:r>
        <w:rPr>
          <w:spacing w:val="-85"/>
        </w:rPr>
      </w:r>
      <w:r>
        <w:rPr/>
        <w:t>易经中国证监会核准。</w:t>
      </w:r>
    </w:p>
    <w:p>
      <w:pPr>
        <w:spacing w:before="53"/>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3"/>
        <w:ind w:right="148" w:firstLine="420"/>
        <w:jc w:val="both"/>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w:t>
      </w:r>
      <w:r>
        <w:rPr>
          <w:spacing w:val="-1"/>
        </w:rPr>
        <w:t>日，立信会计师事务所（特殊普通合伙）出具了编号为</w:t>
      </w:r>
      <w:r>
        <w:rPr>
          <w:rFonts w:ascii="Times New Roman" w:hAnsi="Times New Roman" w:cs="Times New Roman" w:eastAsia="Times New Roman" w:hint="default"/>
          <w:spacing w:val="-1"/>
        </w:rPr>
        <w:t>“</w:t>
      </w:r>
      <w:r>
        <w:rPr>
          <w:spacing w:val="-1"/>
        </w:rPr>
        <w:t>信会师报字【</w:t>
      </w:r>
      <w:r>
        <w:rPr>
          <w:rFonts w:ascii="Times New Roman" w:hAnsi="Times New Roman" w:cs="Times New Roman" w:eastAsia="Times New Roman" w:hint="default"/>
          <w:spacing w:val="-1"/>
        </w:rPr>
        <w:t>2015</w:t>
      </w:r>
      <w:r>
        <w:rPr>
          <w:spacing w:val="-1"/>
        </w:rPr>
        <w:t>】第</w:t>
      </w:r>
      <w:r>
        <w:rPr>
          <w:rFonts w:ascii="Times New Roman" w:hAnsi="Times New Roman" w:cs="Times New Roman" w:eastAsia="Times New Roman" w:hint="default"/>
          <w:spacing w:val="-1"/>
        </w:rPr>
        <w:t>710636 </w:t>
      </w:r>
      <w:r>
        <w:rPr>
          <w:spacing w:val="-1"/>
        </w:rPr>
        <w:t>号</w:t>
      </w:r>
      <w:r>
        <w:rPr>
          <w:rFonts w:ascii="Times New Roman" w:hAnsi="Times New Roman" w:cs="Times New Roman" w:eastAsia="Times New Roman" w:hint="default"/>
          <w:spacing w:val="-1"/>
        </w:rPr>
        <w:t>”</w:t>
      </w:r>
      <w:r>
        <w:rPr>
          <w:spacing w:val="-1"/>
        </w:rPr>
        <w:t>的《验资报告》，验证截至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25</w:t>
      </w:r>
      <w:r>
        <w:rPr>
          <w:spacing w:val="-1"/>
        </w:rPr>
        <w:t>日，公司已将资本公积</w:t>
      </w:r>
      <w:r>
        <w:rPr>
          <w:rFonts w:ascii="Times New Roman" w:hAnsi="Times New Roman" w:cs="Times New Roman" w:eastAsia="Times New Roman" w:hint="default"/>
          <w:spacing w:val="-1"/>
        </w:rPr>
        <w:t>14,272.00</w:t>
      </w:r>
      <w:r>
        <w:rPr>
          <w:spacing w:val="-1"/>
        </w:rPr>
        <w:t>万元转增股本；变更后累计实</w:t>
      </w:r>
      <w:r>
        <w:rPr>
          <w:spacing w:val="-73"/>
        </w:rPr>
        <w:t> </w:t>
      </w:r>
      <w:r>
        <w:rPr>
          <w:spacing w:val="-73"/>
        </w:rPr>
      </w:r>
      <w:r>
        <w:rPr/>
        <w:t>收资本为</w:t>
      </w:r>
      <w:r>
        <w:rPr>
          <w:rFonts w:ascii="Times New Roman" w:hAnsi="Times New Roman" w:cs="Times New Roman" w:eastAsia="Times New Roman" w:hint="default"/>
        </w:rPr>
        <w:t>28,544.00</w:t>
      </w:r>
      <w:r>
        <w:rPr/>
        <w:t>万元。</w:t>
      </w:r>
    </w:p>
    <w:p>
      <w:pPr>
        <w:pStyle w:val="BodyText"/>
        <w:spacing w:line="240" w:lineRule="auto" w:before="35"/>
        <w:ind w:left="574" w:right="0"/>
        <w:jc w:val="left"/>
      </w:pPr>
      <w:r>
        <w:rPr>
          <w:rFonts w:ascii="Times New Roman" w:hAnsi="Times New Roman" w:cs="Times New Roman" w:eastAsia="Times New Roman" w:hint="default"/>
        </w:rPr>
        <w:t>2</w:t>
      </w:r>
      <w:r>
        <w:rPr/>
        <w:t>、公司以支付现金和发行股份购买资产并募集配套资金的方式实施了重大资产重组，新增发行股份</w:t>
      </w:r>
    </w:p>
    <w:p>
      <w:pPr>
        <w:pStyle w:val="BodyText"/>
        <w:spacing w:line="240" w:lineRule="auto" w:before="177"/>
        <w:ind w:right="0"/>
        <w:jc w:val="left"/>
      </w:pPr>
      <w:r>
        <w:rPr>
          <w:rFonts w:ascii="Times New Roman" w:hAnsi="Times New Roman" w:cs="Times New Roman" w:eastAsia="Times New Roman" w:hint="default"/>
        </w:rPr>
        <w:t>16,654,901</w:t>
      </w:r>
      <w:r>
        <w:rPr/>
        <w:t>股已于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日在中国证券登记结算有限责任公司深圳分公司办理完毕登记手续，并于</w:t>
      </w:r>
    </w:p>
    <w:p>
      <w:pPr>
        <w:spacing w:line="381" w:lineRule="auto" w:before="177"/>
        <w:ind w:left="154" w:right="215" w:firstLine="0"/>
        <w:jc w:val="left"/>
        <w:rPr>
          <w:rFonts w:ascii="宋体" w:hAnsi="宋体" w:cs="宋体" w:eastAsia="宋体" w:hint="default"/>
          <w:sz w:val="18"/>
          <w:szCs w:val="18"/>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29</w:t>
      </w:r>
      <w:r>
        <w:rPr>
          <w:rFonts w:ascii="宋体" w:hAnsi="宋体" w:cs="宋体" w:eastAsia="宋体" w:hint="default"/>
          <w:sz w:val="21"/>
          <w:szCs w:val="21"/>
        </w:rPr>
        <w:t>日在深圳证券交易所上市。前述注册资本增加情况业已经过立信会计师事务所（特殊普通合 伙）出具的编号为</w:t>
      </w:r>
      <w:r>
        <w:rPr>
          <w:rFonts w:ascii="Times New Roman" w:hAnsi="Times New Roman" w:cs="Times New Roman" w:eastAsia="Times New Roman" w:hint="default"/>
          <w:sz w:val="21"/>
          <w:szCs w:val="21"/>
        </w:rPr>
        <w:t>“</w:t>
      </w:r>
      <w:r>
        <w:rPr>
          <w:rFonts w:ascii="宋体" w:hAnsi="宋体" w:cs="宋体" w:eastAsia="宋体" w:hint="default"/>
          <w:sz w:val="21"/>
          <w:szCs w:val="21"/>
        </w:rPr>
        <w:t>信会师报字</w:t>
      </w:r>
      <w:r>
        <w:rPr>
          <w:rFonts w:ascii="Times New Roman" w:hAnsi="Times New Roman" w:cs="Times New Roman" w:eastAsia="Times New Roman" w:hint="default"/>
          <w:sz w:val="21"/>
          <w:szCs w:val="21"/>
        </w:rPr>
        <w:t>[2015]</w:t>
      </w:r>
      <w:r>
        <w:rPr>
          <w:rFonts w:ascii="宋体" w:hAnsi="宋体" w:cs="宋体" w:eastAsia="宋体" w:hint="default"/>
          <w:sz w:val="21"/>
          <w:szCs w:val="21"/>
        </w:rPr>
        <w:t>第</w:t>
      </w:r>
      <w:r>
        <w:rPr>
          <w:rFonts w:ascii="Times New Roman" w:hAnsi="Times New Roman" w:cs="Times New Roman" w:eastAsia="Times New Roman" w:hint="default"/>
          <w:sz w:val="21"/>
          <w:szCs w:val="21"/>
        </w:rPr>
        <w:t>711441</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的《验资报告》予以验证。 </w:t>
      </w: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before="1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1" w:lineRule="auto" w:before="153"/>
        <w:ind w:right="0" w:firstLine="420"/>
        <w:jc w:val="left"/>
        <w:rPr>
          <w:sz w:val="18"/>
          <w:szCs w:val="18"/>
        </w:rPr>
      </w:pPr>
      <w:r>
        <w:rPr>
          <w:spacing w:val="-1"/>
        </w:rPr>
        <w:t>报告期内，公司股份由上年期末</w:t>
      </w:r>
      <w:r>
        <w:rPr>
          <w:rFonts w:ascii="Times New Roman" w:hAnsi="Times New Roman" w:cs="Times New Roman" w:eastAsia="Times New Roman" w:hint="default"/>
          <w:spacing w:val="-1"/>
        </w:rPr>
        <w:t>14,272.00</w:t>
      </w:r>
      <w:r>
        <w:rPr>
          <w:spacing w:val="-1"/>
        </w:rPr>
        <w:t>万股增加至</w:t>
      </w:r>
      <w:r>
        <w:rPr>
          <w:rFonts w:ascii="Times New Roman" w:hAnsi="Times New Roman" w:cs="Times New Roman" w:eastAsia="Times New Roman" w:hint="default"/>
          <w:spacing w:val="-1"/>
        </w:rPr>
        <w:t>30,209.4901</w:t>
      </w:r>
      <w:r>
        <w:rPr>
          <w:spacing w:val="-1"/>
        </w:rPr>
        <w:t>万股，从而摊薄了报告期末的基本每</w:t>
      </w:r>
      <w:r>
        <w:rPr/>
        <w:t> 股收益。本报告期调整后的每股收益为</w:t>
      </w:r>
      <w:r>
        <w:rPr>
          <w:rFonts w:ascii="Times New Roman" w:hAnsi="Times New Roman" w:cs="Times New Roman" w:eastAsia="Times New Roman" w:hint="default"/>
        </w:rPr>
        <w:t>0.21</w:t>
      </w:r>
      <w:r>
        <w:rPr/>
        <w:t>元，上年同期调整后的每股收益为</w:t>
      </w:r>
      <w:r>
        <w:rPr>
          <w:rFonts w:ascii="Times New Roman" w:hAnsi="Times New Roman" w:cs="Times New Roman" w:eastAsia="Times New Roman" w:hint="default"/>
        </w:rPr>
        <w:t>0.13</w:t>
      </w:r>
      <w:r>
        <w:rPr/>
        <w:t>元。</w:t>
      </w:r>
      <w:r>
        <w:rPr>
          <w:spacing w:val="-2"/>
        </w:rPr>
        <w:t> </w:t>
      </w:r>
      <w:r>
        <w:rPr>
          <w:sz w:val="18"/>
          <w:szCs w:val="18"/>
        </w:rPr>
        <w:t>公司认为必要或证券监管机构要求披露的其他内容</w:t>
      </w:r>
    </w:p>
    <w:p>
      <w:pPr>
        <w:spacing w:before="1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78"/>
        <w:gridCol w:w="1349"/>
        <w:gridCol w:w="1349"/>
        <w:gridCol w:w="1349"/>
        <w:gridCol w:w="1349"/>
        <w:gridCol w:w="1350"/>
        <w:gridCol w:w="1345"/>
      </w:tblGrid>
      <w:tr>
        <w:trPr>
          <w:trHeight w:val="713" w:hRule="exact"/>
        </w:trPr>
        <w:tc>
          <w:tcPr>
            <w:tcW w:w="14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78" w:right="3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78" w:right="3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358" w:hRule="exact"/>
        </w:trPr>
        <w:tc>
          <w:tcPr>
            <w:tcW w:w="1478"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50"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任职期间每年转</w:t>
            </w:r>
          </w:p>
        </w:tc>
      </w:tr>
      <w:tr>
        <w:trPr>
          <w:trHeight w:val="624" w:hRule="exact"/>
        </w:trPr>
        <w:tc>
          <w:tcPr>
            <w:tcW w:w="14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25,440,000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25,440,000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50,880,000</w:t>
            </w:r>
          </w:p>
        </w:tc>
        <w:tc>
          <w:tcPr>
            <w:tcW w:w="13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50"/>
              <w:jc w:val="left"/>
              <w:rPr>
                <w:rFonts w:ascii="宋体" w:hAnsi="宋体" w:cs="宋体" w:eastAsia="宋体" w:hint="default"/>
                <w:sz w:val="18"/>
                <w:szCs w:val="18"/>
              </w:rPr>
            </w:pPr>
            <w:r>
              <w:rPr>
                <w:rFonts w:ascii="宋体" w:hAnsi="宋体" w:cs="宋体" w:eastAsia="宋体" w:hint="default"/>
                <w:sz w:val="18"/>
                <w:szCs w:val="18"/>
              </w:rPr>
              <w:t>让的股份不超过 其所持有公司股</w:t>
            </w:r>
          </w:p>
        </w:tc>
      </w:tr>
      <w:tr>
        <w:trPr>
          <w:trHeight w:val="356" w:hRule="exact"/>
        </w:trPr>
        <w:tc>
          <w:tcPr>
            <w:tcW w:w="1478"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50"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58" w:hRule="exact"/>
        </w:trPr>
        <w:tc>
          <w:tcPr>
            <w:tcW w:w="1478"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50"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任职期间每年转</w:t>
            </w:r>
          </w:p>
        </w:tc>
      </w:tr>
      <w:tr>
        <w:trPr>
          <w:trHeight w:val="624" w:hRule="exact"/>
        </w:trPr>
        <w:tc>
          <w:tcPr>
            <w:tcW w:w="14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尚卫国</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5,245,200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5,245,200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10,490,400</w:t>
            </w:r>
          </w:p>
        </w:tc>
        <w:tc>
          <w:tcPr>
            <w:tcW w:w="13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50"/>
              <w:jc w:val="left"/>
              <w:rPr>
                <w:rFonts w:ascii="宋体" w:hAnsi="宋体" w:cs="宋体" w:eastAsia="宋体" w:hint="default"/>
                <w:sz w:val="18"/>
                <w:szCs w:val="18"/>
              </w:rPr>
            </w:pPr>
            <w:r>
              <w:rPr>
                <w:rFonts w:ascii="宋体" w:hAnsi="宋体" w:cs="宋体" w:eastAsia="宋体" w:hint="default"/>
                <w:sz w:val="18"/>
                <w:szCs w:val="18"/>
              </w:rPr>
              <w:t>让的股份不超过 其所持有公司股</w:t>
            </w:r>
          </w:p>
        </w:tc>
      </w:tr>
      <w:tr>
        <w:trPr>
          <w:trHeight w:val="356" w:hRule="exact"/>
        </w:trPr>
        <w:tc>
          <w:tcPr>
            <w:tcW w:w="1478"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50"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58" w:hRule="exact"/>
        </w:trPr>
        <w:tc>
          <w:tcPr>
            <w:tcW w:w="1478"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50"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任职期间每年转</w:t>
            </w:r>
          </w:p>
        </w:tc>
      </w:tr>
      <w:tr>
        <w:trPr>
          <w:trHeight w:val="624" w:hRule="exact"/>
        </w:trPr>
        <w:tc>
          <w:tcPr>
            <w:tcW w:w="14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付秋生</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5,050,800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5,050,800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10,101,600</w:t>
            </w:r>
          </w:p>
        </w:tc>
        <w:tc>
          <w:tcPr>
            <w:tcW w:w="13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50"/>
              <w:jc w:val="left"/>
              <w:rPr>
                <w:rFonts w:ascii="宋体" w:hAnsi="宋体" w:cs="宋体" w:eastAsia="宋体" w:hint="default"/>
                <w:sz w:val="18"/>
                <w:szCs w:val="18"/>
              </w:rPr>
            </w:pPr>
            <w:r>
              <w:rPr>
                <w:rFonts w:ascii="宋体" w:hAnsi="宋体" w:cs="宋体" w:eastAsia="宋体" w:hint="default"/>
                <w:sz w:val="18"/>
                <w:szCs w:val="18"/>
              </w:rPr>
              <w:t>让的股份不超过 其所持有公司股</w:t>
            </w:r>
          </w:p>
        </w:tc>
      </w:tr>
      <w:tr>
        <w:trPr>
          <w:trHeight w:val="357" w:hRule="exact"/>
        </w:trPr>
        <w:tc>
          <w:tcPr>
            <w:tcW w:w="1478"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50"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r>
        <w:rPr/>
        <w:pict>
          <v:shape style="position:absolute;margin-left:56.459999pt;margin-top:71.999962pt;width:479.2pt;height:689.7pt;mso-position-horizontal-relative:page;mso-position-vertical-relative:page;z-index:31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78"/>
                    <w:gridCol w:w="1349"/>
                    <w:gridCol w:w="1349"/>
                    <w:gridCol w:w="1349"/>
                    <w:gridCol w:w="1349"/>
                    <w:gridCol w:w="1350"/>
                    <w:gridCol w:w="1345"/>
                  </w:tblGrid>
                  <w:tr>
                    <w:trPr>
                      <w:trHeight w:val="358" w:hRule="exact"/>
                    </w:trPr>
                    <w:tc>
                      <w:tcPr>
                        <w:tcW w:w="1478"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50"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任职期间每年转</w:t>
                        </w:r>
                      </w:p>
                    </w:tc>
                  </w:tr>
                  <w:tr>
                    <w:trPr>
                      <w:trHeight w:val="625" w:hRule="exact"/>
                    </w:trPr>
                    <w:tc>
                      <w:tcPr>
                        <w:tcW w:w="147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赵利宾</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4,320,000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4,320,000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8,640,000</w:t>
                        </w:r>
                      </w:p>
                    </w:tc>
                    <w:tc>
                      <w:tcPr>
                        <w:tcW w:w="135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50"/>
                          <w:jc w:val="left"/>
                          <w:rPr>
                            <w:rFonts w:ascii="宋体" w:hAnsi="宋体" w:cs="宋体" w:eastAsia="宋体" w:hint="default"/>
                            <w:sz w:val="18"/>
                            <w:szCs w:val="18"/>
                          </w:rPr>
                        </w:pPr>
                        <w:r>
                          <w:rPr>
                            <w:rFonts w:ascii="宋体" w:hAnsi="宋体" w:cs="宋体" w:eastAsia="宋体" w:hint="default"/>
                            <w:sz w:val="18"/>
                            <w:szCs w:val="18"/>
                          </w:rPr>
                          <w:t>让的股份不超过 其所持有公司股</w:t>
                        </w:r>
                      </w:p>
                    </w:tc>
                  </w:tr>
                  <w:tr>
                    <w:trPr>
                      <w:trHeight w:val="356" w:hRule="exact"/>
                    </w:trPr>
                    <w:tc>
                      <w:tcPr>
                        <w:tcW w:w="1478"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50"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58" w:hRule="exact"/>
                    </w:trPr>
                    <w:tc>
                      <w:tcPr>
                        <w:tcW w:w="1478"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50"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任职期间每年转</w:t>
                        </w:r>
                      </w:p>
                    </w:tc>
                  </w:tr>
                  <w:tr>
                    <w:trPr>
                      <w:trHeight w:val="625" w:hRule="exact"/>
                    </w:trPr>
                    <w:tc>
                      <w:tcPr>
                        <w:tcW w:w="147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华梦阳</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4,320,000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4,320,000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8,640,000</w:t>
                        </w:r>
                      </w:p>
                    </w:tc>
                    <w:tc>
                      <w:tcPr>
                        <w:tcW w:w="135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50"/>
                          <w:jc w:val="left"/>
                          <w:rPr>
                            <w:rFonts w:ascii="宋体" w:hAnsi="宋体" w:cs="宋体" w:eastAsia="宋体" w:hint="default"/>
                            <w:sz w:val="18"/>
                            <w:szCs w:val="18"/>
                          </w:rPr>
                        </w:pPr>
                        <w:r>
                          <w:rPr>
                            <w:rFonts w:ascii="宋体" w:hAnsi="宋体" w:cs="宋体" w:eastAsia="宋体" w:hint="default"/>
                            <w:sz w:val="18"/>
                            <w:szCs w:val="18"/>
                          </w:rPr>
                          <w:t>让的股份不超过 其所持有公司股</w:t>
                        </w:r>
                      </w:p>
                    </w:tc>
                  </w:tr>
                  <w:tr>
                    <w:trPr>
                      <w:trHeight w:val="356" w:hRule="exact"/>
                    </w:trPr>
                    <w:tc>
                      <w:tcPr>
                        <w:tcW w:w="1478"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50"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58" w:hRule="exact"/>
                    </w:trPr>
                    <w:tc>
                      <w:tcPr>
                        <w:tcW w:w="1478"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50"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任职期间每年转</w:t>
                        </w:r>
                      </w:p>
                    </w:tc>
                  </w:tr>
                  <w:tr>
                    <w:trPr>
                      <w:trHeight w:val="625" w:hRule="exact"/>
                    </w:trPr>
                    <w:tc>
                      <w:tcPr>
                        <w:tcW w:w="147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傅常顺</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4,320,000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4,320,000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8,640,000</w:t>
                        </w:r>
                      </w:p>
                    </w:tc>
                    <w:tc>
                      <w:tcPr>
                        <w:tcW w:w="135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50"/>
                          <w:jc w:val="left"/>
                          <w:rPr>
                            <w:rFonts w:ascii="宋体" w:hAnsi="宋体" w:cs="宋体" w:eastAsia="宋体" w:hint="default"/>
                            <w:sz w:val="18"/>
                            <w:szCs w:val="18"/>
                          </w:rPr>
                        </w:pPr>
                        <w:r>
                          <w:rPr>
                            <w:rFonts w:ascii="宋体" w:hAnsi="宋体" w:cs="宋体" w:eastAsia="宋体" w:hint="default"/>
                            <w:sz w:val="18"/>
                            <w:szCs w:val="18"/>
                          </w:rPr>
                          <w:t>让的股份不超过 其所持有公司股</w:t>
                        </w:r>
                      </w:p>
                    </w:tc>
                  </w:tr>
                  <w:tr>
                    <w:trPr>
                      <w:trHeight w:val="356" w:hRule="exact"/>
                    </w:trPr>
                    <w:tc>
                      <w:tcPr>
                        <w:tcW w:w="1478"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50"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58" w:hRule="exact"/>
                    </w:trPr>
                    <w:tc>
                      <w:tcPr>
                        <w:tcW w:w="1478"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50"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任职期间每年转</w:t>
                        </w:r>
                      </w:p>
                    </w:tc>
                  </w:tr>
                  <w:tr>
                    <w:trPr>
                      <w:trHeight w:val="625" w:hRule="exact"/>
                    </w:trPr>
                    <w:tc>
                      <w:tcPr>
                        <w:tcW w:w="147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杜建平</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4,320,000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4,320,000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8,640,000</w:t>
                        </w:r>
                      </w:p>
                    </w:tc>
                    <w:tc>
                      <w:tcPr>
                        <w:tcW w:w="135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50"/>
                          <w:jc w:val="left"/>
                          <w:rPr>
                            <w:rFonts w:ascii="宋体" w:hAnsi="宋体" w:cs="宋体" w:eastAsia="宋体" w:hint="default"/>
                            <w:sz w:val="18"/>
                            <w:szCs w:val="18"/>
                          </w:rPr>
                        </w:pPr>
                        <w:r>
                          <w:rPr>
                            <w:rFonts w:ascii="宋体" w:hAnsi="宋体" w:cs="宋体" w:eastAsia="宋体" w:hint="default"/>
                            <w:sz w:val="18"/>
                            <w:szCs w:val="18"/>
                          </w:rPr>
                          <w:t>让的股份不超过 其所持有公司股</w:t>
                        </w:r>
                      </w:p>
                    </w:tc>
                  </w:tr>
                  <w:tr>
                    <w:trPr>
                      <w:trHeight w:val="356" w:hRule="exact"/>
                    </w:trPr>
                    <w:tc>
                      <w:tcPr>
                        <w:tcW w:w="1478"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50"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58" w:hRule="exact"/>
                    </w:trPr>
                    <w:tc>
                      <w:tcPr>
                        <w:tcW w:w="1478"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50"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任职期间每年转</w:t>
                        </w:r>
                      </w:p>
                    </w:tc>
                  </w:tr>
                  <w:tr>
                    <w:trPr>
                      <w:trHeight w:val="625" w:hRule="exact"/>
                    </w:trPr>
                    <w:tc>
                      <w:tcPr>
                        <w:tcW w:w="147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刘恩臣</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4,057,500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4,057,500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8,115,000</w:t>
                        </w:r>
                      </w:p>
                    </w:tc>
                    <w:tc>
                      <w:tcPr>
                        <w:tcW w:w="135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50"/>
                          <w:jc w:val="left"/>
                          <w:rPr>
                            <w:rFonts w:ascii="宋体" w:hAnsi="宋体" w:cs="宋体" w:eastAsia="宋体" w:hint="default"/>
                            <w:sz w:val="18"/>
                            <w:szCs w:val="18"/>
                          </w:rPr>
                        </w:pPr>
                        <w:r>
                          <w:rPr>
                            <w:rFonts w:ascii="宋体" w:hAnsi="宋体" w:cs="宋体" w:eastAsia="宋体" w:hint="default"/>
                            <w:sz w:val="18"/>
                            <w:szCs w:val="18"/>
                          </w:rPr>
                          <w:t>让的股份不超过 其所持有公司股</w:t>
                        </w:r>
                      </w:p>
                    </w:tc>
                  </w:tr>
                  <w:tr>
                    <w:trPr>
                      <w:trHeight w:val="356" w:hRule="exact"/>
                    </w:trPr>
                    <w:tc>
                      <w:tcPr>
                        <w:tcW w:w="1478"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50"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58" w:hRule="exact"/>
                    </w:trPr>
                    <w:tc>
                      <w:tcPr>
                        <w:tcW w:w="1478"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50"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任职期间每年转</w:t>
                        </w:r>
                      </w:p>
                    </w:tc>
                  </w:tr>
                  <w:tr>
                    <w:trPr>
                      <w:trHeight w:val="625" w:hRule="exact"/>
                    </w:trPr>
                    <w:tc>
                      <w:tcPr>
                        <w:tcW w:w="147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王葆玲</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117,750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237,375</w:t>
                        </w:r>
                      </w:p>
                    </w:tc>
                    <w:tc>
                      <w:tcPr>
                        <w:tcW w:w="135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50"/>
                          <w:jc w:val="left"/>
                          <w:rPr>
                            <w:rFonts w:ascii="宋体" w:hAnsi="宋体" w:cs="宋体" w:eastAsia="宋体" w:hint="default"/>
                            <w:sz w:val="18"/>
                            <w:szCs w:val="18"/>
                          </w:rPr>
                        </w:pPr>
                        <w:r>
                          <w:rPr>
                            <w:rFonts w:ascii="宋体" w:hAnsi="宋体" w:cs="宋体" w:eastAsia="宋体" w:hint="default"/>
                            <w:sz w:val="18"/>
                            <w:szCs w:val="18"/>
                          </w:rPr>
                          <w:t>让的股份不超过 其所持有公司股</w:t>
                        </w:r>
                      </w:p>
                    </w:tc>
                  </w:tr>
                  <w:tr>
                    <w:trPr>
                      <w:trHeight w:val="356" w:hRule="exact"/>
                    </w:trPr>
                    <w:tc>
                      <w:tcPr>
                        <w:tcW w:w="1478"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50"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63" w:hRule="exact"/>
                    </w:trPr>
                    <w:tc>
                      <w:tcPr>
                        <w:tcW w:w="1478"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50"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tc>
                  </w:tr>
                  <w:tr>
                    <w:trPr>
                      <w:trHeight w:val="307" w:hRule="exact"/>
                    </w:trPr>
                    <w:tc>
                      <w:tcPr>
                        <w:tcW w:w="1478"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50"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日；在迪科远望</w:t>
                        </w:r>
                      </w:p>
                    </w:tc>
                  </w:tr>
                  <w:tr>
                    <w:trPr>
                      <w:trHeight w:val="317" w:hRule="exact"/>
                    </w:trPr>
                    <w:tc>
                      <w:tcPr>
                        <w:tcW w:w="1478"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50"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年年度审计</w:t>
                        </w:r>
                      </w:p>
                    </w:tc>
                  </w:tr>
                  <w:tr>
                    <w:trPr>
                      <w:trHeight w:val="307" w:hRule="exact"/>
                    </w:trPr>
                    <w:tc>
                      <w:tcPr>
                        <w:tcW w:w="1478"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50"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报告和关于业绩</w:t>
                        </w:r>
                      </w:p>
                    </w:tc>
                  </w:tr>
                  <w:tr>
                    <w:trPr>
                      <w:trHeight w:val="312" w:hRule="exact"/>
                    </w:trPr>
                    <w:tc>
                      <w:tcPr>
                        <w:tcW w:w="1478"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50"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承诺实现情况的</w:t>
                        </w:r>
                      </w:p>
                    </w:tc>
                  </w:tr>
                  <w:tr>
                    <w:trPr>
                      <w:trHeight w:val="624" w:hRule="exact"/>
                    </w:trPr>
                    <w:tc>
                      <w:tcPr>
                        <w:tcW w:w="147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刘永春</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5,064,220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5,064,220</w:t>
                        </w:r>
                      </w:p>
                    </w:tc>
                    <w:tc>
                      <w:tcPr>
                        <w:tcW w:w="135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50"/>
                          <w:jc w:val="left"/>
                          <w:rPr>
                            <w:rFonts w:ascii="宋体" w:hAnsi="宋体" w:cs="宋体" w:eastAsia="宋体" w:hint="default"/>
                            <w:sz w:val="18"/>
                            <w:szCs w:val="18"/>
                          </w:rPr>
                        </w:pPr>
                        <w:r>
                          <w:rPr>
                            <w:rFonts w:ascii="宋体" w:hAnsi="宋体" w:cs="宋体" w:eastAsia="宋体" w:hint="default"/>
                            <w:sz w:val="18"/>
                            <w:szCs w:val="18"/>
                          </w:rPr>
                          <w:t>专项审核报告、 减值测试报告出</w:t>
                        </w:r>
                      </w:p>
                    </w:tc>
                  </w:tr>
                  <w:tr>
                    <w:trPr>
                      <w:trHeight w:val="312" w:hRule="exact"/>
                    </w:trPr>
                    <w:tc>
                      <w:tcPr>
                        <w:tcW w:w="1478"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50"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具后且交易对方</w:t>
                        </w:r>
                      </w:p>
                    </w:tc>
                  </w:tr>
                  <w:tr>
                    <w:trPr>
                      <w:trHeight w:val="312" w:hRule="exact"/>
                    </w:trPr>
                    <w:tc>
                      <w:tcPr>
                        <w:tcW w:w="1478"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50"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已履行完毕全部</w:t>
                        </w:r>
                      </w:p>
                    </w:tc>
                  </w:tr>
                  <w:tr>
                    <w:trPr>
                      <w:trHeight w:val="312" w:hRule="exact"/>
                    </w:trPr>
                    <w:tc>
                      <w:tcPr>
                        <w:tcW w:w="1478"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50"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9"/>
                            <w:sz w:val="18"/>
                            <w:szCs w:val="18"/>
                          </w:rPr>
                          <w:t>补偿义务（如有</w:t>
                        </w:r>
                      </w:p>
                    </w:tc>
                  </w:tr>
                  <w:tr>
                    <w:trPr>
                      <w:trHeight w:val="313" w:hRule="exact"/>
                    </w:trPr>
                    <w:tc>
                      <w:tcPr>
                        <w:tcW w:w="1478"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50"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后方可进行转让</w:t>
                        </w:r>
                      </w:p>
                    </w:tc>
                  </w:tr>
                  <w:tr>
                    <w:trPr>
                      <w:trHeight w:val="356" w:hRule="exact"/>
                    </w:trPr>
                    <w:tc>
                      <w:tcPr>
                        <w:tcW w:w="1478"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50"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或上市交易</w:t>
                        </w:r>
                      </w:p>
                    </w:tc>
                  </w:tr>
                  <w:tr>
                    <w:trPr>
                      <w:trHeight w:val="363" w:hRule="exact"/>
                    </w:trPr>
                    <w:tc>
                      <w:tcPr>
                        <w:tcW w:w="1478"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50"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tc>
                  </w:tr>
                  <w:tr>
                    <w:trPr>
                      <w:trHeight w:val="307" w:hRule="exact"/>
                    </w:trPr>
                    <w:tc>
                      <w:tcPr>
                        <w:tcW w:w="1478"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50"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日；在迪科远望</w:t>
                        </w:r>
                      </w:p>
                    </w:tc>
                  </w:tr>
                  <w:tr>
                    <w:trPr>
                      <w:trHeight w:val="624" w:hRule="exact"/>
                    </w:trPr>
                    <w:tc>
                      <w:tcPr>
                        <w:tcW w:w="1478"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2" w:right="0"/>
                          <w:jc w:val="left"/>
                          <w:rPr>
                            <w:rFonts w:ascii="宋体" w:hAnsi="宋体" w:cs="宋体" w:eastAsia="宋体" w:hint="default"/>
                            <w:sz w:val="18"/>
                            <w:szCs w:val="18"/>
                          </w:rPr>
                        </w:pPr>
                        <w:r>
                          <w:rPr>
                            <w:rFonts w:ascii="宋体" w:hAnsi="宋体" w:cs="宋体" w:eastAsia="宋体" w:hint="default"/>
                            <w:sz w:val="18"/>
                            <w:szCs w:val="18"/>
                          </w:rPr>
                          <w:t>丛伟滋</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5,064,220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5,064,220</w:t>
                        </w:r>
                      </w:p>
                    </w:tc>
                    <w:tc>
                      <w:tcPr>
                        <w:tcW w:w="1350"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3"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年年度审计 报告和关于业绩</w:t>
                        </w:r>
                      </w:p>
                    </w:tc>
                  </w:tr>
                  <w:tr>
                    <w:trPr>
                      <w:trHeight w:val="312" w:hRule="exact"/>
                    </w:trPr>
                    <w:tc>
                      <w:tcPr>
                        <w:tcW w:w="1478"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50"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承诺实现情况的</w:t>
                        </w:r>
                      </w:p>
                    </w:tc>
                  </w:tr>
                  <w:tr>
                    <w:trPr>
                      <w:trHeight w:val="317" w:hRule="exact"/>
                    </w:trPr>
                    <w:tc>
                      <w:tcPr>
                        <w:tcW w:w="1478"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50"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专项审核报告、</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before="44"/>
        <w:ind w:left="0" w:right="157"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r>
        <w:rPr/>
        <w:pict>
          <v:shape style="position:absolute;margin-left:56.459999pt;margin-top:71.999962pt;width:479.2pt;height:691.8pt;mso-position-horizontal-relative:page;mso-position-vertical-relative:page;z-index:31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78"/>
                    <w:gridCol w:w="1349"/>
                    <w:gridCol w:w="1349"/>
                    <w:gridCol w:w="1349"/>
                    <w:gridCol w:w="1349"/>
                    <w:gridCol w:w="1350"/>
                    <w:gridCol w:w="1345"/>
                  </w:tblGrid>
                  <w:tr>
                    <w:trPr>
                      <w:trHeight w:val="317" w:hRule="exact"/>
                    </w:trPr>
                    <w:tc>
                      <w:tcPr>
                        <w:tcW w:w="1478" w:type="dxa"/>
                        <w:vMerge w:val="restart"/>
                        <w:tcBorders>
                          <w:top w:val="single" w:sz="4" w:space="0" w:color="000000"/>
                          <w:left w:val="single" w:sz="4" w:space="0" w:color="000000"/>
                          <w:right w:val="single" w:sz="4" w:space="0" w:color="000000"/>
                        </w:tcBorders>
                      </w:tcPr>
                      <w:p>
                        <w:pPr/>
                      </w:p>
                    </w:tc>
                    <w:tc>
                      <w:tcPr>
                        <w:tcW w:w="1349" w:type="dxa"/>
                        <w:vMerge w:val="restart"/>
                        <w:tcBorders>
                          <w:top w:val="single" w:sz="4" w:space="0" w:color="000000"/>
                          <w:left w:val="single" w:sz="4" w:space="0" w:color="000000"/>
                          <w:right w:val="single" w:sz="4" w:space="0" w:color="000000"/>
                        </w:tcBorders>
                      </w:tcPr>
                      <w:p>
                        <w:pPr/>
                      </w:p>
                    </w:tc>
                    <w:tc>
                      <w:tcPr>
                        <w:tcW w:w="1349" w:type="dxa"/>
                        <w:vMerge w:val="restart"/>
                        <w:tcBorders>
                          <w:top w:val="single" w:sz="4" w:space="0" w:color="000000"/>
                          <w:left w:val="single" w:sz="4" w:space="0" w:color="000000"/>
                          <w:right w:val="single" w:sz="4" w:space="0" w:color="000000"/>
                        </w:tcBorders>
                      </w:tcPr>
                      <w:p>
                        <w:pPr/>
                      </w:p>
                    </w:tc>
                    <w:tc>
                      <w:tcPr>
                        <w:tcW w:w="1349" w:type="dxa"/>
                        <w:vMerge w:val="restart"/>
                        <w:tcBorders>
                          <w:top w:val="single" w:sz="4" w:space="0" w:color="000000"/>
                          <w:left w:val="single" w:sz="4" w:space="0" w:color="000000"/>
                          <w:right w:val="single" w:sz="4" w:space="0" w:color="000000"/>
                        </w:tcBorders>
                      </w:tcPr>
                      <w:p>
                        <w:pPr/>
                      </w:p>
                    </w:tc>
                    <w:tc>
                      <w:tcPr>
                        <w:tcW w:w="1349" w:type="dxa"/>
                        <w:vMerge w:val="restart"/>
                        <w:tcBorders>
                          <w:top w:val="single" w:sz="4" w:space="0" w:color="000000"/>
                          <w:left w:val="single" w:sz="4" w:space="0" w:color="000000"/>
                          <w:right w:val="single" w:sz="4" w:space="0" w:color="000000"/>
                        </w:tcBorders>
                      </w:tcPr>
                      <w:p>
                        <w:pPr/>
                      </w:p>
                    </w:tc>
                    <w:tc>
                      <w:tcPr>
                        <w:tcW w:w="1350" w:type="dxa"/>
                        <w:vMerge w:val="restart"/>
                        <w:tcBorders>
                          <w:top w:val="single" w:sz="4" w:space="0" w:color="000000"/>
                          <w:left w:val="single" w:sz="4" w:space="0" w:color="000000"/>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减值测试报告出</w:t>
                        </w:r>
                      </w:p>
                    </w:tc>
                  </w:tr>
                  <w:tr>
                    <w:trPr>
                      <w:trHeight w:val="312" w:hRule="exact"/>
                    </w:trPr>
                    <w:tc>
                      <w:tcPr>
                        <w:tcW w:w="1478"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50" w:type="dxa"/>
                        <w:vMerge/>
                        <w:tcBorders>
                          <w:left w:val="single" w:sz="4" w:space="0" w:color="000000"/>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具后且交易对方</w:t>
                        </w:r>
                      </w:p>
                    </w:tc>
                  </w:tr>
                  <w:tr>
                    <w:trPr>
                      <w:trHeight w:val="312" w:hRule="exact"/>
                    </w:trPr>
                    <w:tc>
                      <w:tcPr>
                        <w:tcW w:w="1478"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50" w:type="dxa"/>
                        <w:vMerge/>
                        <w:tcBorders>
                          <w:left w:val="single" w:sz="4" w:space="0" w:color="000000"/>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已履行完毕全部</w:t>
                        </w:r>
                      </w:p>
                    </w:tc>
                  </w:tr>
                  <w:tr>
                    <w:trPr>
                      <w:trHeight w:val="312" w:hRule="exact"/>
                    </w:trPr>
                    <w:tc>
                      <w:tcPr>
                        <w:tcW w:w="1478"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50" w:type="dxa"/>
                        <w:vMerge/>
                        <w:tcBorders>
                          <w:left w:val="single" w:sz="4" w:space="0" w:color="000000"/>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9"/>
                            <w:sz w:val="18"/>
                            <w:szCs w:val="18"/>
                          </w:rPr>
                          <w:t>补偿义务（如有</w:t>
                        </w:r>
                      </w:p>
                    </w:tc>
                  </w:tr>
                  <w:tr>
                    <w:trPr>
                      <w:trHeight w:val="313" w:hRule="exact"/>
                    </w:trPr>
                    <w:tc>
                      <w:tcPr>
                        <w:tcW w:w="1478"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c>
                      <w:tcPr>
                        <w:tcW w:w="1350" w:type="dxa"/>
                        <w:vMerge/>
                        <w:tcBorders>
                          <w:left w:val="single" w:sz="4" w:space="0" w:color="000000"/>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后方可进行转让</w:t>
                        </w:r>
                      </w:p>
                    </w:tc>
                  </w:tr>
                  <w:tr>
                    <w:trPr>
                      <w:trHeight w:val="357" w:hRule="exact"/>
                    </w:trPr>
                    <w:tc>
                      <w:tcPr>
                        <w:tcW w:w="1478" w:type="dxa"/>
                        <w:vMerge/>
                        <w:tcBorders>
                          <w:left w:val="single" w:sz="4" w:space="0" w:color="000000"/>
                          <w:bottom w:val="single" w:sz="4" w:space="0" w:color="000000"/>
                          <w:right w:val="single" w:sz="4" w:space="0" w:color="000000"/>
                        </w:tcBorders>
                      </w:tcPr>
                      <w:p>
                        <w:pPr/>
                      </w:p>
                    </w:tc>
                    <w:tc>
                      <w:tcPr>
                        <w:tcW w:w="1349" w:type="dxa"/>
                        <w:vMerge/>
                        <w:tcBorders>
                          <w:left w:val="single" w:sz="4" w:space="0" w:color="000000"/>
                          <w:bottom w:val="single" w:sz="4" w:space="0" w:color="000000"/>
                          <w:right w:val="single" w:sz="4" w:space="0" w:color="000000"/>
                        </w:tcBorders>
                      </w:tcPr>
                      <w:p>
                        <w:pPr/>
                      </w:p>
                    </w:tc>
                    <w:tc>
                      <w:tcPr>
                        <w:tcW w:w="1349" w:type="dxa"/>
                        <w:vMerge/>
                        <w:tcBorders>
                          <w:left w:val="single" w:sz="4" w:space="0" w:color="000000"/>
                          <w:bottom w:val="single" w:sz="4" w:space="0" w:color="000000"/>
                          <w:right w:val="single" w:sz="4" w:space="0" w:color="000000"/>
                        </w:tcBorders>
                      </w:tcPr>
                      <w:p>
                        <w:pPr/>
                      </w:p>
                    </w:tc>
                    <w:tc>
                      <w:tcPr>
                        <w:tcW w:w="1349" w:type="dxa"/>
                        <w:vMerge/>
                        <w:tcBorders>
                          <w:left w:val="single" w:sz="4" w:space="0" w:color="000000"/>
                          <w:bottom w:val="single" w:sz="4" w:space="0" w:color="000000"/>
                          <w:right w:val="single" w:sz="4" w:space="0" w:color="000000"/>
                        </w:tcBorders>
                      </w:tcPr>
                      <w:p>
                        <w:pPr/>
                      </w:p>
                    </w:tc>
                    <w:tc>
                      <w:tcPr>
                        <w:tcW w:w="1349" w:type="dxa"/>
                        <w:vMerge/>
                        <w:tcBorders>
                          <w:left w:val="single" w:sz="4" w:space="0" w:color="000000"/>
                          <w:bottom w:val="single" w:sz="4" w:space="0" w:color="000000"/>
                          <w:right w:val="single" w:sz="4" w:space="0" w:color="000000"/>
                        </w:tcBorders>
                      </w:tcPr>
                      <w:p>
                        <w:pPr/>
                      </w:p>
                    </w:tc>
                    <w:tc>
                      <w:tcPr>
                        <w:tcW w:w="1350" w:type="dxa"/>
                        <w:vMerge/>
                        <w:tcBorders>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或上市交易</w:t>
                        </w:r>
                      </w:p>
                    </w:tc>
                  </w:tr>
                  <w:tr>
                    <w:trPr>
                      <w:trHeight w:val="362" w:hRule="exact"/>
                    </w:trPr>
                    <w:tc>
                      <w:tcPr>
                        <w:tcW w:w="1478"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50"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tc>
                  </w:tr>
                  <w:tr>
                    <w:trPr>
                      <w:trHeight w:val="306" w:hRule="exact"/>
                    </w:trPr>
                    <w:tc>
                      <w:tcPr>
                        <w:tcW w:w="1478"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50"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日；在迪科远望</w:t>
                        </w:r>
                      </w:p>
                    </w:tc>
                  </w:tr>
                  <w:tr>
                    <w:trPr>
                      <w:trHeight w:val="317" w:hRule="exact"/>
                    </w:trPr>
                    <w:tc>
                      <w:tcPr>
                        <w:tcW w:w="1478"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50"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年年度审计</w:t>
                        </w:r>
                      </w:p>
                    </w:tc>
                  </w:tr>
                  <w:tr>
                    <w:trPr>
                      <w:trHeight w:val="307" w:hRule="exact"/>
                    </w:trPr>
                    <w:tc>
                      <w:tcPr>
                        <w:tcW w:w="1478"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50"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报告和关于业绩</w:t>
                        </w:r>
                      </w:p>
                    </w:tc>
                  </w:tr>
                  <w:tr>
                    <w:trPr>
                      <w:trHeight w:val="312" w:hRule="exact"/>
                    </w:trPr>
                    <w:tc>
                      <w:tcPr>
                        <w:tcW w:w="1478"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50"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承诺实现情况的</w:t>
                        </w:r>
                      </w:p>
                    </w:tc>
                  </w:tr>
                  <w:tr>
                    <w:trPr>
                      <w:trHeight w:val="624" w:hRule="exact"/>
                    </w:trPr>
                    <w:tc>
                      <w:tcPr>
                        <w:tcW w:w="14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白海清</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220,183</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220,183</w:t>
                        </w:r>
                      </w:p>
                    </w:tc>
                    <w:tc>
                      <w:tcPr>
                        <w:tcW w:w="13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50"/>
                          <w:jc w:val="left"/>
                          <w:rPr>
                            <w:rFonts w:ascii="宋体" w:hAnsi="宋体" w:cs="宋体" w:eastAsia="宋体" w:hint="default"/>
                            <w:sz w:val="18"/>
                            <w:szCs w:val="18"/>
                          </w:rPr>
                        </w:pPr>
                        <w:r>
                          <w:rPr>
                            <w:rFonts w:ascii="宋体" w:hAnsi="宋体" w:cs="宋体" w:eastAsia="宋体" w:hint="default"/>
                            <w:sz w:val="18"/>
                            <w:szCs w:val="18"/>
                          </w:rPr>
                          <w:t>专项审核报告、 减值测试报告出</w:t>
                        </w:r>
                      </w:p>
                    </w:tc>
                  </w:tr>
                  <w:tr>
                    <w:trPr>
                      <w:trHeight w:val="312" w:hRule="exact"/>
                    </w:trPr>
                    <w:tc>
                      <w:tcPr>
                        <w:tcW w:w="1478"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50"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具后且交易对方</w:t>
                        </w:r>
                      </w:p>
                    </w:tc>
                  </w:tr>
                  <w:tr>
                    <w:trPr>
                      <w:trHeight w:val="312" w:hRule="exact"/>
                    </w:trPr>
                    <w:tc>
                      <w:tcPr>
                        <w:tcW w:w="1478"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50"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已履行完毕全部</w:t>
                        </w:r>
                      </w:p>
                    </w:tc>
                  </w:tr>
                  <w:tr>
                    <w:trPr>
                      <w:trHeight w:val="312" w:hRule="exact"/>
                    </w:trPr>
                    <w:tc>
                      <w:tcPr>
                        <w:tcW w:w="1478"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50"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9"/>
                            <w:sz w:val="18"/>
                            <w:szCs w:val="18"/>
                          </w:rPr>
                          <w:t>补偿义务（如有</w:t>
                        </w:r>
                      </w:p>
                    </w:tc>
                  </w:tr>
                  <w:tr>
                    <w:trPr>
                      <w:trHeight w:val="313" w:hRule="exact"/>
                    </w:trPr>
                    <w:tc>
                      <w:tcPr>
                        <w:tcW w:w="1478"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50"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后方可进行转让</w:t>
                        </w:r>
                      </w:p>
                    </w:tc>
                  </w:tr>
                  <w:tr>
                    <w:trPr>
                      <w:trHeight w:val="357" w:hRule="exact"/>
                    </w:trPr>
                    <w:tc>
                      <w:tcPr>
                        <w:tcW w:w="1478"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50"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或上市交易</w:t>
                        </w:r>
                      </w:p>
                    </w:tc>
                  </w:tr>
                  <w:tr>
                    <w:trPr>
                      <w:trHeight w:val="362" w:hRule="exact"/>
                    </w:trPr>
                    <w:tc>
                      <w:tcPr>
                        <w:tcW w:w="1478"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50"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tc>
                  </w:tr>
                  <w:tr>
                    <w:trPr>
                      <w:trHeight w:val="306" w:hRule="exact"/>
                    </w:trPr>
                    <w:tc>
                      <w:tcPr>
                        <w:tcW w:w="1478"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50"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日；在迪科远望</w:t>
                        </w:r>
                      </w:p>
                    </w:tc>
                  </w:tr>
                  <w:tr>
                    <w:trPr>
                      <w:trHeight w:val="317" w:hRule="exact"/>
                    </w:trPr>
                    <w:tc>
                      <w:tcPr>
                        <w:tcW w:w="1478"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50"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年年度审计</w:t>
                        </w:r>
                      </w:p>
                    </w:tc>
                  </w:tr>
                  <w:tr>
                    <w:trPr>
                      <w:trHeight w:val="307" w:hRule="exact"/>
                    </w:trPr>
                    <w:tc>
                      <w:tcPr>
                        <w:tcW w:w="1478"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50"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报告和关于业绩</w:t>
                        </w:r>
                      </w:p>
                    </w:tc>
                  </w:tr>
                  <w:tr>
                    <w:trPr>
                      <w:trHeight w:val="312" w:hRule="exact"/>
                    </w:trPr>
                    <w:tc>
                      <w:tcPr>
                        <w:tcW w:w="1478"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50"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承诺实现情况的</w:t>
                        </w:r>
                      </w:p>
                    </w:tc>
                  </w:tr>
                  <w:tr>
                    <w:trPr>
                      <w:trHeight w:val="624" w:hRule="exact"/>
                    </w:trPr>
                    <w:tc>
                      <w:tcPr>
                        <w:tcW w:w="14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熊小洪</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220,183</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220,183</w:t>
                        </w:r>
                      </w:p>
                    </w:tc>
                    <w:tc>
                      <w:tcPr>
                        <w:tcW w:w="13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50"/>
                          <w:jc w:val="left"/>
                          <w:rPr>
                            <w:rFonts w:ascii="宋体" w:hAnsi="宋体" w:cs="宋体" w:eastAsia="宋体" w:hint="default"/>
                            <w:sz w:val="18"/>
                            <w:szCs w:val="18"/>
                          </w:rPr>
                        </w:pPr>
                        <w:r>
                          <w:rPr>
                            <w:rFonts w:ascii="宋体" w:hAnsi="宋体" w:cs="宋体" w:eastAsia="宋体" w:hint="default"/>
                            <w:sz w:val="18"/>
                            <w:szCs w:val="18"/>
                          </w:rPr>
                          <w:t>专项审核报告、 减值测试报告出</w:t>
                        </w:r>
                      </w:p>
                    </w:tc>
                  </w:tr>
                  <w:tr>
                    <w:trPr>
                      <w:trHeight w:val="312" w:hRule="exact"/>
                    </w:trPr>
                    <w:tc>
                      <w:tcPr>
                        <w:tcW w:w="1478"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50"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具后且交易对方</w:t>
                        </w:r>
                      </w:p>
                    </w:tc>
                  </w:tr>
                  <w:tr>
                    <w:trPr>
                      <w:trHeight w:val="312" w:hRule="exact"/>
                    </w:trPr>
                    <w:tc>
                      <w:tcPr>
                        <w:tcW w:w="1478"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50"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已履行完毕全部</w:t>
                        </w:r>
                      </w:p>
                    </w:tc>
                  </w:tr>
                  <w:tr>
                    <w:trPr>
                      <w:trHeight w:val="312" w:hRule="exact"/>
                    </w:trPr>
                    <w:tc>
                      <w:tcPr>
                        <w:tcW w:w="1478"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50"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9"/>
                            <w:sz w:val="18"/>
                            <w:szCs w:val="18"/>
                          </w:rPr>
                          <w:t>补偿义务（如有</w:t>
                        </w:r>
                      </w:p>
                    </w:tc>
                  </w:tr>
                  <w:tr>
                    <w:trPr>
                      <w:trHeight w:val="313" w:hRule="exact"/>
                    </w:trPr>
                    <w:tc>
                      <w:tcPr>
                        <w:tcW w:w="1478"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50"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后方可进行转让</w:t>
                        </w:r>
                      </w:p>
                    </w:tc>
                  </w:tr>
                  <w:tr>
                    <w:trPr>
                      <w:trHeight w:val="357" w:hRule="exact"/>
                    </w:trPr>
                    <w:tc>
                      <w:tcPr>
                        <w:tcW w:w="1478"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50"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或上市交易</w:t>
                        </w:r>
                      </w:p>
                    </w:tc>
                  </w:tr>
                  <w:tr>
                    <w:trPr>
                      <w:trHeight w:val="362" w:hRule="exact"/>
                    </w:trPr>
                    <w:tc>
                      <w:tcPr>
                        <w:tcW w:w="1478"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50"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tc>
                  </w:tr>
                  <w:tr>
                    <w:trPr>
                      <w:trHeight w:val="306" w:hRule="exact"/>
                    </w:trPr>
                    <w:tc>
                      <w:tcPr>
                        <w:tcW w:w="1478"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50"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日；在迪科远望</w:t>
                        </w:r>
                      </w:p>
                    </w:tc>
                  </w:tr>
                  <w:tr>
                    <w:trPr>
                      <w:trHeight w:val="317" w:hRule="exact"/>
                    </w:trPr>
                    <w:tc>
                      <w:tcPr>
                        <w:tcW w:w="1478"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50"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年年度审计</w:t>
                        </w:r>
                      </w:p>
                    </w:tc>
                  </w:tr>
                  <w:tr>
                    <w:trPr>
                      <w:trHeight w:val="307" w:hRule="exact"/>
                    </w:trPr>
                    <w:tc>
                      <w:tcPr>
                        <w:tcW w:w="1478"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50"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报告和关于业绩</w:t>
                        </w:r>
                      </w:p>
                    </w:tc>
                  </w:tr>
                  <w:tr>
                    <w:trPr>
                      <w:trHeight w:val="312" w:hRule="exact"/>
                    </w:trPr>
                    <w:tc>
                      <w:tcPr>
                        <w:tcW w:w="1478"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50"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承诺实现情况的</w:t>
                        </w:r>
                      </w:p>
                    </w:tc>
                  </w:tr>
                  <w:tr>
                    <w:trPr>
                      <w:trHeight w:val="624" w:hRule="exact"/>
                    </w:trPr>
                    <w:tc>
                      <w:tcPr>
                        <w:tcW w:w="14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李洪</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220,183</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220,183</w:t>
                        </w:r>
                      </w:p>
                    </w:tc>
                    <w:tc>
                      <w:tcPr>
                        <w:tcW w:w="13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50"/>
                          <w:jc w:val="left"/>
                          <w:rPr>
                            <w:rFonts w:ascii="宋体" w:hAnsi="宋体" w:cs="宋体" w:eastAsia="宋体" w:hint="default"/>
                            <w:sz w:val="18"/>
                            <w:szCs w:val="18"/>
                          </w:rPr>
                        </w:pPr>
                        <w:r>
                          <w:rPr>
                            <w:rFonts w:ascii="宋体" w:hAnsi="宋体" w:cs="宋体" w:eastAsia="宋体" w:hint="default"/>
                            <w:sz w:val="18"/>
                            <w:szCs w:val="18"/>
                          </w:rPr>
                          <w:t>专项审核报告、 减值测试报告出</w:t>
                        </w:r>
                      </w:p>
                    </w:tc>
                  </w:tr>
                  <w:tr>
                    <w:trPr>
                      <w:trHeight w:val="312" w:hRule="exact"/>
                    </w:trPr>
                    <w:tc>
                      <w:tcPr>
                        <w:tcW w:w="1478"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50"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具后且交易对方</w:t>
                        </w:r>
                      </w:p>
                    </w:tc>
                  </w:tr>
                  <w:tr>
                    <w:trPr>
                      <w:trHeight w:val="312" w:hRule="exact"/>
                    </w:trPr>
                    <w:tc>
                      <w:tcPr>
                        <w:tcW w:w="1478"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50"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已履行完毕全部</w:t>
                        </w:r>
                      </w:p>
                    </w:tc>
                  </w:tr>
                  <w:tr>
                    <w:trPr>
                      <w:trHeight w:val="312" w:hRule="exact"/>
                    </w:trPr>
                    <w:tc>
                      <w:tcPr>
                        <w:tcW w:w="1478"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50"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9"/>
                            <w:sz w:val="18"/>
                            <w:szCs w:val="18"/>
                          </w:rPr>
                          <w:t>补偿义务（如有</w:t>
                        </w:r>
                      </w:p>
                    </w:tc>
                  </w:tr>
                  <w:tr>
                    <w:trPr>
                      <w:trHeight w:val="313" w:hRule="exact"/>
                    </w:trPr>
                    <w:tc>
                      <w:tcPr>
                        <w:tcW w:w="1478"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50"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后方可进行转让</w:t>
                        </w:r>
                      </w:p>
                    </w:tc>
                  </w:tr>
                  <w:tr>
                    <w:trPr>
                      <w:trHeight w:val="357" w:hRule="exact"/>
                    </w:trPr>
                    <w:tc>
                      <w:tcPr>
                        <w:tcW w:w="1478"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50"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或上市交易</w:t>
                        </w:r>
                      </w:p>
                    </w:tc>
                  </w:tr>
                  <w:tr>
                    <w:trPr>
                      <w:trHeight w:val="402"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黄暂度</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220,183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220,183</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44"/>
        <w:ind w:left="0" w:right="15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0"/>
        <w:ind w:left="0" w:right="15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0"/>
        <w:ind w:left="0" w:right="15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0"/>
        <w:ind w:left="0" w:right="157"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before="0"/>
        <w:ind w:left="0" w:right="157" w:firstLine="0"/>
        <w:jc w:val="right"/>
        <w:rPr>
          <w:rFonts w:ascii="宋体" w:hAnsi="宋体" w:cs="宋体" w:eastAsia="宋体" w:hint="default"/>
          <w:sz w:val="18"/>
          <w:szCs w:val="18"/>
        </w:rPr>
      </w:pPr>
      <w:r>
        <w:rPr/>
        <w:pict>
          <v:shape style="position:absolute;margin-left:56.459999pt;margin-top:-125.808022pt;width:479.2pt;height:353.1pt;mso-position-horizontal-relative:page;mso-position-vertical-relative:paragraph;z-index:31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78"/>
                    <w:gridCol w:w="1349"/>
                    <w:gridCol w:w="1349"/>
                    <w:gridCol w:w="1349"/>
                    <w:gridCol w:w="1349"/>
                    <w:gridCol w:w="1350"/>
                    <w:gridCol w:w="1345"/>
                  </w:tblGrid>
                  <w:tr>
                    <w:trPr>
                      <w:trHeight w:val="3482" w:hRule="exact"/>
                    </w:trPr>
                    <w:tc>
                      <w:tcPr>
                        <w:tcW w:w="147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日；在迪科远望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年年度审计 报告和关于业绩 承诺实现情况的 专项审核报告、 减值测试报告出 具后且交易对方 已履行完毕全部 </w:t>
                        </w:r>
                        <w:r>
                          <w:rPr>
                            <w:rFonts w:ascii="宋体" w:hAnsi="宋体" w:cs="宋体" w:eastAsia="宋体" w:hint="default"/>
                            <w:spacing w:val="-9"/>
                            <w:sz w:val="18"/>
                            <w:szCs w:val="18"/>
                          </w:rPr>
                          <w:t>补偿义务（如有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后方可进行转让 或上市交易</w:t>
                        </w:r>
                      </w:p>
                    </w:tc>
                  </w:tr>
                  <w:tr>
                    <w:trPr>
                      <w:trHeight w:val="1026"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郑州佳辰企业管 </w:t>
                        </w:r>
                        <w:r>
                          <w:rPr>
                            <w:rFonts w:ascii="宋体" w:hAnsi="宋体" w:cs="宋体" w:eastAsia="宋体" w:hint="default"/>
                            <w:spacing w:val="-3"/>
                            <w:sz w:val="18"/>
                            <w:szCs w:val="18"/>
                          </w:rPr>
                          <w:t>理咨询中心（有限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合伙）</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3,775,582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3,775,582</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罗会军</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762,173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762,173</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柳楠</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705,716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705,716</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吴凤辉</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402,258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402,258</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4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57,191,250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73,848,401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131,039,276</w:t>
                        </w:r>
                      </w:p>
                    </w:tc>
                    <w:tc>
                      <w:tcPr>
                        <w:tcW w:w="13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2"/>
        <w:spacing w:line="240" w:lineRule="auto" w:before="26"/>
        <w:ind w:right="0"/>
        <w:jc w:val="left"/>
        <w:rPr>
          <w:b w:val="0"/>
          <w:bCs w:val="0"/>
        </w:rPr>
      </w:pP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12"/>
        <w:gridCol w:w="1292"/>
        <w:gridCol w:w="1295"/>
        <w:gridCol w:w="1296"/>
        <w:gridCol w:w="1296"/>
        <w:gridCol w:w="1295"/>
        <w:gridCol w:w="1682"/>
      </w:tblGrid>
      <w:tr>
        <w:trPr>
          <w:trHeight w:val="714" w:hRule="exact"/>
        </w:trPr>
        <w:tc>
          <w:tcPr>
            <w:tcW w:w="14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30" w:right="71"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61" w:right="23"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61" w:right="101"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5"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2" w:right="0"/>
              <w:jc w:val="left"/>
              <w:rPr>
                <w:rFonts w:ascii="Times New Roman" w:hAnsi="Times New Roman" w:cs="Times New Roman" w:eastAsia="Times New Roman" w:hint="default"/>
                <w:sz w:val="18"/>
                <w:szCs w:val="18"/>
              </w:rPr>
            </w:pPr>
            <w:r>
              <w:rPr>
                <w:rFonts w:ascii="Times New Roman"/>
                <w:sz w:val="18"/>
              </w:rPr>
              <w:t>16,654,901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16,654,901</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报告期内证券发行（不含优先股）情况的说明</w:t>
      </w:r>
    </w:p>
    <w:p>
      <w:pPr>
        <w:spacing w:line="240" w:lineRule="auto" w:before="10"/>
        <w:rPr>
          <w:rFonts w:ascii="宋体" w:hAnsi="宋体" w:cs="宋体" w:eastAsia="宋体" w:hint="default"/>
          <w:sz w:val="12"/>
          <w:szCs w:val="12"/>
        </w:rPr>
      </w:pPr>
    </w:p>
    <w:p>
      <w:pPr>
        <w:pStyle w:val="BodyText"/>
        <w:spacing w:line="386" w:lineRule="auto" w:before="0"/>
        <w:ind w:right="128" w:firstLine="420"/>
        <w:jc w:val="both"/>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w:t>
      </w:r>
      <w:r>
        <w:rPr>
          <w:spacing w:val="-1"/>
        </w:rPr>
        <w:t>日，公司收到中国证监会《关于核准新开普电子股份有限公司向刘永春等发行股份购买资</w:t>
      </w:r>
      <w:r>
        <w:rPr/>
        <w:t> 产并募集配套资金的批复》（证监许可〔</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1417</w:t>
      </w:r>
      <w:r>
        <w:rPr/>
        <w:t>号），公司以发行股份及支付现金的方式向刘永春、 丛伟滋、李洪、熊小洪、白海清、黄暂度共</w:t>
      </w:r>
      <w:r>
        <w:rPr>
          <w:rFonts w:ascii="Times New Roman" w:hAnsi="Times New Roman" w:cs="Times New Roman" w:eastAsia="Times New Roman" w:hint="default"/>
        </w:rPr>
        <w:t>6</w:t>
      </w:r>
      <w:r>
        <w:rPr/>
        <w:t>名交易对方购买其合计持有的迪科远望</w:t>
      </w:r>
      <w:r>
        <w:rPr>
          <w:rFonts w:ascii="Times New Roman" w:hAnsi="Times New Roman" w:cs="Times New Roman" w:eastAsia="Times New Roman" w:hint="default"/>
        </w:rPr>
        <w:t>100%</w:t>
      </w:r>
      <w:r>
        <w:rPr/>
        <w:t>股权。迪科远望 </w:t>
      </w:r>
      <w:r>
        <w:rPr>
          <w:rFonts w:ascii="Times New Roman" w:hAnsi="Times New Roman" w:cs="Times New Roman" w:eastAsia="Times New Roman" w:hint="default"/>
        </w:rPr>
        <w:t>100%</w:t>
      </w:r>
      <w:r>
        <w:rPr/>
        <w:t>股权作价</w:t>
      </w:r>
      <w:r>
        <w:rPr>
          <w:rFonts w:ascii="Times New Roman" w:hAnsi="Times New Roman" w:cs="Times New Roman" w:eastAsia="Times New Roman" w:hint="default"/>
        </w:rPr>
        <w:t>32,000</w:t>
      </w:r>
      <w:r>
        <w:rPr/>
        <w:t>万元，其中，公司以发行股份方式支付交易对价中的</w:t>
      </w:r>
      <w:r>
        <w:rPr>
          <w:rFonts w:ascii="Times New Roman" w:hAnsi="Times New Roman" w:cs="Times New Roman" w:eastAsia="Times New Roman" w:hint="default"/>
        </w:rPr>
        <w:t>15,600</w:t>
      </w:r>
      <w:r>
        <w:rPr/>
        <w:t>万元，以现金方式支付交</w:t>
      </w:r>
    </w:p>
    <w:p>
      <w:pPr>
        <w:spacing w:after="0" w:line="386" w:lineRule="auto"/>
        <w:jc w:val="both"/>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386" w:lineRule="auto" w:before="35"/>
        <w:ind w:left="573" w:right="216" w:hanging="420"/>
        <w:jc w:val="left"/>
      </w:pPr>
      <w:r>
        <w:rPr/>
        <w:t>易对价中的</w:t>
      </w:r>
      <w:r>
        <w:rPr>
          <w:rFonts w:ascii="Times New Roman" w:hAnsi="Times New Roman" w:cs="Times New Roman" w:eastAsia="Times New Roman" w:hint="default"/>
        </w:rPr>
        <w:t>16,400</w:t>
      </w:r>
      <w:r>
        <w:rPr/>
        <w:t>万元。 同时，公司以非公开发行股份的方式向郑州佳辰、罗会军、柳楠、吴凤辉共</w:t>
      </w:r>
      <w:r>
        <w:rPr>
          <w:rFonts w:ascii="Times New Roman" w:hAnsi="Times New Roman" w:cs="Times New Roman" w:eastAsia="Times New Roman" w:hint="default"/>
        </w:rPr>
        <w:t>4</w:t>
      </w:r>
      <w:r>
        <w:rPr/>
        <w:t>名认购对象非公开发行</w:t>
      </w:r>
    </w:p>
    <w:p>
      <w:pPr>
        <w:pStyle w:val="BodyText"/>
        <w:spacing w:line="386" w:lineRule="auto" w:before="35"/>
        <w:ind w:left="153" w:right="143"/>
        <w:jc w:val="left"/>
      </w:pPr>
      <w:r>
        <w:rPr>
          <w:spacing w:val="-1"/>
        </w:rPr>
        <w:t>股份募集配套资金不超过</w:t>
      </w:r>
      <w:r>
        <w:rPr>
          <w:rFonts w:ascii="Times New Roman" w:hAnsi="Times New Roman" w:cs="Times New Roman" w:eastAsia="Times New Roman" w:hint="default"/>
          <w:spacing w:val="-1"/>
        </w:rPr>
        <w:t>8,000</w:t>
      </w:r>
      <w:r>
        <w:rPr>
          <w:spacing w:val="-1"/>
        </w:rPr>
        <w:t>万元。本次募集配套资金总额不超过本次交易总金额的</w:t>
      </w:r>
      <w:r>
        <w:rPr>
          <w:rFonts w:ascii="Times New Roman" w:hAnsi="Times New Roman" w:cs="Times New Roman" w:eastAsia="Times New Roman" w:hint="default"/>
          <w:spacing w:val="-1"/>
        </w:rPr>
        <w:t>25%</w:t>
      </w:r>
      <w:r>
        <w:rPr>
          <w:spacing w:val="-1"/>
        </w:rPr>
        <w:t>，本次募集配套</w:t>
      </w:r>
      <w:r>
        <w:rPr>
          <w:spacing w:val="-101"/>
        </w:rPr>
        <w:t> </w:t>
      </w:r>
      <w:r>
        <w:rPr>
          <w:spacing w:val="-101"/>
        </w:rPr>
      </w:r>
      <w:r>
        <w:rPr/>
        <w:t>资金扣除发行费用后将全部用于支付本次交易的现金对价。</w:t>
      </w:r>
    </w:p>
    <w:p>
      <w:pPr>
        <w:pStyle w:val="BodyText"/>
        <w:spacing w:line="388" w:lineRule="auto" w:before="65"/>
        <w:ind w:left="153" w:right="0" w:firstLine="420"/>
        <w:jc w:val="left"/>
      </w:pPr>
      <w:r>
        <w:rPr/>
        <w:t>公司本次向交易对方发行股份购买资产的发行价格和向认购对象非公开发行股份募集配套资金的发 行价格相同。本次发行的定价基准日为本公司第三届董事会第八次会议决议公告日，发行价格为</w:t>
      </w:r>
      <w:r>
        <w:rPr>
          <w:rFonts w:ascii="Times New Roman" w:hAnsi="Times New Roman" w:cs="Times New Roman" w:eastAsia="Times New Roman" w:hint="default"/>
        </w:rPr>
        <w:t>28.44</w:t>
      </w:r>
      <w:r>
        <w:rPr/>
        <w:t>元</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1"/>
        </w:rPr>
        <w:t>股。根据公司</w:t>
      </w:r>
      <w:r>
        <w:rPr>
          <w:rFonts w:ascii="Times New Roman" w:hAnsi="Times New Roman" w:cs="Times New Roman" w:eastAsia="Times New Roman" w:hint="default"/>
          <w:spacing w:val="-1"/>
        </w:rPr>
        <w:t>2014</w:t>
      </w:r>
      <w:r>
        <w:rPr>
          <w:spacing w:val="-1"/>
        </w:rPr>
        <w:t>年年度股东大会审议通过的</w:t>
      </w:r>
      <w:r>
        <w:rPr>
          <w:rFonts w:ascii="Times New Roman" w:hAnsi="Times New Roman" w:cs="Times New Roman" w:eastAsia="Times New Roman" w:hint="default"/>
          <w:spacing w:val="-1"/>
        </w:rPr>
        <w:t>2014</w:t>
      </w:r>
      <w:r>
        <w:rPr>
          <w:spacing w:val="-1"/>
        </w:rPr>
        <w:t>年度利润分配方案，新开普以截至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日总股</w:t>
      </w:r>
      <w:r>
        <w:rPr>
          <w:spacing w:val="-84"/>
        </w:rPr>
        <w:t> </w:t>
      </w:r>
      <w:r>
        <w:rPr/>
        <w:t>本</w:t>
      </w:r>
      <w:r>
        <w:rPr>
          <w:rFonts w:ascii="Times New Roman" w:hAnsi="Times New Roman" w:cs="Times New Roman" w:eastAsia="Times New Roman" w:hint="default"/>
        </w:rPr>
        <w:t>14,272</w:t>
      </w:r>
      <w:r>
        <w:rPr/>
        <w:t>万股为基数，向全体股东每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1.00</w:t>
      </w:r>
      <w:r>
        <w:rPr/>
        <w:t>元（含税）；同时进行资本公积转增股本，以总股 本</w:t>
      </w:r>
      <w:r>
        <w:rPr>
          <w:rFonts w:ascii="Times New Roman" w:hAnsi="Times New Roman" w:cs="Times New Roman" w:eastAsia="Times New Roman" w:hint="default"/>
        </w:rPr>
        <w:t>14,272</w:t>
      </w:r>
      <w:r>
        <w:rPr/>
        <w:t>万股为基数，向全体股东每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股，转增后新开普总股本增至</w:t>
      </w:r>
      <w:r>
        <w:rPr>
          <w:rFonts w:ascii="Times New Roman" w:hAnsi="Times New Roman" w:cs="Times New Roman" w:eastAsia="Times New Roman" w:hint="default"/>
        </w:rPr>
        <w:t>28,544</w:t>
      </w:r>
      <w:r>
        <w:rPr/>
        <w:t>万股。根据公司</w:t>
      </w:r>
      <w:r>
        <w:rPr>
          <w:rFonts w:ascii="Times New Roman" w:hAnsi="Times New Roman" w:cs="Times New Roman" w:eastAsia="Times New Roman" w:hint="default"/>
        </w:rPr>
        <w:t>2014 </w:t>
      </w:r>
      <w:r>
        <w:rPr/>
        <w:t>年度利润分配方案，本次募集配套资金的发行价格经除权除息后调整为</w:t>
      </w:r>
      <w:r>
        <w:rPr>
          <w:rFonts w:ascii="Times New Roman" w:hAnsi="Times New Roman" w:cs="Times New Roman" w:eastAsia="Times New Roman" w:hint="default"/>
        </w:rPr>
        <w:t>14.17</w:t>
      </w:r>
      <w:r>
        <w:rPr/>
        <w:t>元</w:t>
      </w:r>
      <w:r>
        <w:rPr>
          <w:rFonts w:ascii="Times New Roman" w:hAnsi="Times New Roman" w:cs="Times New Roman" w:eastAsia="Times New Roman" w:hint="default"/>
        </w:rPr>
        <w:t>/</w:t>
      </w:r>
      <w:r>
        <w:rPr/>
        <w:t>股。同时，根据本次交易 标的资产的交易价格以及确定的发行价格计算，公司向交易对方合计发行股份</w:t>
      </w:r>
      <w:r>
        <w:rPr>
          <w:rFonts w:ascii="Times New Roman" w:hAnsi="Times New Roman" w:cs="Times New Roman" w:eastAsia="Times New Roman" w:hint="default"/>
        </w:rPr>
        <w:t>11,009,172</w:t>
      </w:r>
      <w:r>
        <w:rPr/>
        <w:t>股。依据募集配 套资金金额以及确定的发行价格计算，公司向认购对象合计发行股份</w:t>
      </w:r>
      <w:r>
        <w:rPr>
          <w:rFonts w:ascii="Times New Roman" w:hAnsi="Times New Roman" w:cs="Times New Roman" w:eastAsia="Times New Roman" w:hint="default"/>
        </w:rPr>
        <w:t>5,645,729</w:t>
      </w:r>
      <w:r>
        <w:rPr/>
        <w:t>股。</w:t>
      </w:r>
    </w:p>
    <w:p>
      <w:pPr>
        <w:pStyle w:val="BodyText"/>
        <w:spacing w:line="386" w:lineRule="auto" w:before="33"/>
        <w:ind w:right="320" w:firstLine="420"/>
        <w:jc w:val="left"/>
      </w:pPr>
      <w:r>
        <w:rPr/>
        <w:t>公司本次交易新增股份</w:t>
      </w:r>
      <w:r>
        <w:rPr>
          <w:rFonts w:ascii="Times New Roman" w:hAnsi="Times New Roman" w:cs="Times New Roman" w:eastAsia="Times New Roman" w:hint="default"/>
        </w:rPr>
        <w:t>16,654,901</w:t>
      </w:r>
      <w:r>
        <w:rPr/>
        <w:t>股已于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日在中国证券登记结算有限责任公司深圳分公 司办理完毕登记手续。</w:t>
      </w:r>
    </w:p>
    <w:p>
      <w:pPr>
        <w:pStyle w:val="BodyText"/>
        <w:spacing w:line="408" w:lineRule="auto" w:before="65"/>
        <w:ind w:right="0" w:firstLine="420"/>
        <w:jc w:val="left"/>
      </w:pPr>
      <w:r>
        <w:rPr>
          <w:spacing w:val="-1"/>
        </w:rPr>
        <w:t>具体内容详见公司刊登在巨潮资讯网上的《发行股份及支付现金购买资产并募集配套资金暨关联交易</w:t>
      </w:r>
      <w:r>
        <w:rPr/>
        <w:t> 实施情况暨新增股份上市公告书》（公告时间：</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日）等相关文件。</w:t>
      </w:r>
    </w:p>
    <w:p>
      <w:pPr>
        <w:spacing w:line="240" w:lineRule="auto" w:before="2"/>
        <w:rPr>
          <w:rFonts w:ascii="宋体" w:hAnsi="宋体" w:cs="宋体" w:eastAsia="宋体" w:hint="default"/>
          <w:sz w:val="18"/>
          <w:szCs w:val="18"/>
        </w:rPr>
      </w:pPr>
    </w:p>
    <w:p>
      <w:pPr>
        <w:pStyle w:val="Heading4"/>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3"/>
        <w:ind w:right="151" w:firstLine="419"/>
        <w:jc w:val="both"/>
      </w:pPr>
      <w:r>
        <w:rPr>
          <w:rFonts w:ascii="Times New Roman" w:hAnsi="Times New Roman" w:cs="Times New Roman" w:eastAsia="Times New Roman" w:hint="default"/>
          <w:spacing w:val="-1"/>
        </w:rPr>
        <w:t>1</w:t>
      </w:r>
      <w:r>
        <w:rPr>
          <w:spacing w:val="-1"/>
        </w:rPr>
        <w:t>、公司于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25</w:t>
      </w:r>
      <w:r>
        <w:rPr>
          <w:spacing w:val="-1"/>
        </w:rPr>
        <w:t>日实施</w:t>
      </w:r>
      <w:r>
        <w:rPr>
          <w:rFonts w:ascii="Times New Roman" w:hAnsi="Times New Roman" w:cs="Times New Roman" w:eastAsia="Times New Roman" w:hint="default"/>
          <w:spacing w:val="-1"/>
        </w:rPr>
        <w:t>2014</w:t>
      </w:r>
      <w:r>
        <w:rPr>
          <w:spacing w:val="-1"/>
        </w:rPr>
        <w:t>年度利润分配及资本公积金转增股本方案，向全体股东每</w:t>
      </w:r>
      <w:r>
        <w:rPr>
          <w:rFonts w:ascii="Times New Roman" w:hAnsi="Times New Roman" w:cs="Times New Roman" w:eastAsia="Times New Roman" w:hint="default"/>
          <w:spacing w:val="-1"/>
        </w:rPr>
        <w:t>10</w:t>
      </w:r>
      <w:r>
        <w:rPr>
          <w:spacing w:val="-1"/>
        </w:rPr>
        <w:t>股派发</w:t>
      </w:r>
      <w:r>
        <w:rPr/>
        <w:t> 现金股利</w:t>
      </w:r>
      <w:r>
        <w:rPr>
          <w:rFonts w:ascii="Times New Roman" w:hAnsi="Times New Roman" w:cs="Times New Roman" w:eastAsia="Times New Roman" w:hint="default"/>
        </w:rPr>
        <w:t>1.00</w:t>
      </w:r>
      <w:r>
        <w:rPr/>
        <w:t>元人民币（含税），同时以资本公积金向全体股东每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股。本次转增后，公司总股 本增加至</w:t>
      </w:r>
      <w:r>
        <w:rPr>
          <w:rFonts w:ascii="Times New Roman" w:hAnsi="Times New Roman" w:cs="Times New Roman" w:eastAsia="Times New Roman" w:hint="default"/>
        </w:rPr>
        <w:t>285,440,000</w:t>
      </w:r>
      <w:r>
        <w:rPr/>
        <w:t>股。上述股份变动不影响公司资产和负债结构。</w:t>
      </w:r>
    </w:p>
    <w:p>
      <w:pPr>
        <w:pStyle w:val="BodyText"/>
        <w:spacing w:line="240" w:lineRule="auto" w:before="35"/>
        <w:ind w:left="574" w:right="0"/>
        <w:jc w:val="left"/>
      </w:pPr>
      <w:r>
        <w:rPr>
          <w:rFonts w:ascii="Times New Roman" w:hAnsi="Times New Roman" w:cs="Times New Roman" w:eastAsia="Times New Roman" w:hint="default"/>
        </w:rPr>
        <w:t>2</w:t>
      </w:r>
      <w:r>
        <w:rPr/>
        <w:t>、报告期内，公司发行股份及支付现金购买资产并募集配套资金暨关联交易事项共非公开发行</w:t>
      </w:r>
    </w:p>
    <w:p>
      <w:pPr>
        <w:pStyle w:val="BodyText"/>
        <w:spacing w:line="386" w:lineRule="auto" w:before="177"/>
        <w:ind w:right="215"/>
        <w:jc w:val="left"/>
      </w:pPr>
      <w:r>
        <w:rPr>
          <w:rFonts w:ascii="Times New Roman" w:hAnsi="Times New Roman" w:cs="Times New Roman" w:eastAsia="Times New Roman" w:hint="default"/>
        </w:rPr>
        <w:t>16,654,901</w:t>
      </w:r>
      <w:r>
        <w:rPr/>
        <w:t>股。本次交易完成后，上市公司总资产规模、净资产规模、收入规模得到进一步提升，净利润 水平有所增加。本次交易未导致公司的控制权未发生变化。</w:t>
      </w:r>
    </w:p>
    <w:p>
      <w:pPr>
        <w:spacing w:line="240" w:lineRule="auto" w:before="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pict>
          <v:shape style="position:absolute;margin-left:449.219696pt;margin-top:19.732040pt;width:85.6pt;height:82pt;mso-position-horizontal-relative:page;mso-position-vertical-relative:paragraph;z-index:-116694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rFonts w:ascii="宋体" w:hAnsi="宋体" w:cs="宋体" w:eastAsia="宋体" w:hint="default"/>
          <w:sz w:val="18"/>
          <w:szCs w:val="18"/>
        </w:rPr>
        <w:t>单位：股</w:t>
      </w:r>
    </w:p>
    <w:p>
      <w:pPr>
        <w:spacing w:line="240" w:lineRule="auto" w:before="10"/>
        <w:rPr>
          <w:rFonts w:ascii="宋体" w:hAnsi="宋体" w:cs="宋体" w:eastAsia="宋体" w:hint="default"/>
          <w:sz w:val="8"/>
          <w:szCs w:val="8"/>
        </w:rPr>
      </w:pPr>
    </w:p>
    <w:p>
      <w:pPr>
        <w:spacing w:line="1639" w:lineRule="exact"/>
        <w:ind w:left="8666" w:right="0" w:firstLine="0"/>
        <w:rPr>
          <w:rFonts w:ascii="宋体" w:hAnsi="宋体" w:cs="宋体" w:eastAsia="宋体" w:hint="default"/>
          <w:sz w:val="20"/>
          <w:szCs w:val="20"/>
        </w:rPr>
      </w:pPr>
      <w:r>
        <w:rPr>
          <w:rFonts w:ascii="宋体" w:hAnsi="宋体" w:cs="宋体" w:eastAsia="宋体" w:hint="default"/>
          <w:position w:val="-32"/>
          <w:sz w:val="20"/>
          <w:szCs w:val="20"/>
        </w:rPr>
        <w:pict>
          <v:group style="width:52.45pt;height:82pt;mso-position-horizontal-relative:char;mso-position-vertical-relative:line" coordorigin="0,0" coordsize="1049,1640">
            <v:group style="position:absolute;left:0;top:0;width:1049;height:1640" coordorigin="0,0" coordsize="1049,1640">
              <v:shape style="position:absolute;left:0;top:0;width:1049;height:1640" coordorigin="0,0" coordsize="1049,1640" path="m0,1639l1049,1639,1049,0,0,0,0,1639xe" filled="true" fillcolor="#ffffff" stroked="false">
                <v:path arrowok="t"/>
                <v:fill type="solid"/>
              </v:shape>
            </v:group>
            <v:group style="position:absolute;left:23;top:624;width:1004;height:392" coordorigin="23,624" coordsize="1004,392">
              <v:shape style="position:absolute;left:23;top:624;width:1004;height:392" coordorigin="23,624" coordsize="1004,392" path="m23,1015l1026,1015,1026,624,23,624,23,1015xe" filled="true" fillcolor="#ffffff" stroked="false">
                <v:path arrowok="t"/>
                <v:fill type="solid"/>
              </v:shape>
            </v:group>
          </v:group>
        </w:pict>
      </w:r>
      <w:r>
        <w:rPr>
          <w:rFonts w:ascii="宋体" w:hAnsi="宋体" w:cs="宋体" w:eastAsia="宋体" w:hint="default"/>
          <w:position w:val="-32"/>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before="44"/>
        <w:ind w:left="0" w:right="160" w:firstLine="0"/>
        <w:jc w:val="right"/>
        <w:rPr>
          <w:rFonts w:ascii="宋体" w:hAnsi="宋体" w:cs="宋体" w:eastAsia="宋体" w:hint="default"/>
          <w:sz w:val="18"/>
          <w:szCs w:val="18"/>
        </w:rPr>
      </w:pPr>
      <w:r>
        <w:rPr/>
        <w:pict>
          <v:shape style="position:absolute;margin-left:56.459999pt;margin-top:-578.708008pt;width:479.1pt;height:618.550pt;mso-position-horizontal-relative:page;mso-position-vertical-relative:paragraph;z-index:32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4"/>
                    <w:gridCol w:w="135"/>
                    <w:gridCol w:w="661"/>
                    <w:gridCol w:w="750"/>
                    <w:gridCol w:w="750"/>
                    <w:gridCol w:w="824"/>
                    <w:gridCol w:w="332"/>
                    <w:gridCol w:w="456"/>
                    <w:gridCol w:w="830"/>
                    <w:gridCol w:w="796"/>
                    <w:gridCol w:w="311"/>
                    <w:gridCol w:w="1038"/>
                    <w:gridCol w:w="290"/>
                    <w:gridCol w:w="1060"/>
                  </w:tblGrid>
                  <w:tr>
                    <w:trPr>
                      <w:trHeight w:val="1651" w:hRule="exact"/>
                    </w:trPr>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39"/>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29,454</w:t>
                        </w:r>
                      </w:p>
                    </w:tc>
                    <w:tc>
                      <w:tcPr>
                        <w:tcW w:w="15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205"/>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30" w:right="0"/>
                          <w:jc w:val="left"/>
                          <w:rPr>
                            <w:rFonts w:ascii="Times New Roman" w:hAnsi="Times New Roman" w:cs="Times New Roman" w:eastAsia="Times New Roman" w:hint="default"/>
                            <w:sz w:val="18"/>
                            <w:szCs w:val="18"/>
                          </w:rPr>
                        </w:pPr>
                        <w:r>
                          <w:rPr>
                            <w:rFonts w:ascii="Times New Roman"/>
                            <w:sz w:val="18"/>
                          </w:rPr>
                          <w:t>32,536</w:t>
                        </w:r>
                      </w:p>
                    </w:tc>
                    <w:tc>
                      <w:tcPr>
                        <w:tcW w:w="12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7"/>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35"/>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8" w:type="dxa"/>
                        <w:gridSpan w:val="1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9"/>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6" w:right="2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3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7" w:right="70"/>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0"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3" w:hRule="exact"/>
                    </w:trPr>
                    <w:tc>
                      <w:tcPr>
                        <w:tcW w:w="1469" w:type="dxa"/>
                        <w:gridSpan w:val="2"/>
                        <w:vMerge/>
                        <w:tcBorders>
                          <w:left w:val="single" w:sz="4" w:space="0" w:color="000000"/>
                          <w:bottom w:val="single" w:sz="4" w:space="0" w:color="000000"/>
                          <w:right w:val="single" w:sz="4" w:space="0" w:color="000000"/>
                        </w:tcBorders>
                        <w:shd w:val="clear" w:color="auto" w:fill="D3D3D3"/>
                      </w:tcPr>
                      <w:p>
                        <w:pPr/>
                      </w:p>
                    </w:tc>
                    <w:tc>
                      <w:tcPr>
                        <w:tcW w:w="1411" w:type="dxa"/>
                        <w:gridSpan w:val="2"/>
                        <w:vMerge/>
                        <w:tcBorders>
                          <w:left w:val="single" w:sz="4" w:space="0" w:color="000000"/>
                          <w:bottom w:val="single" w:sz="4" w:space="0" w:color="000000"/>
                          <w:right w:val="single" w:sz="4" w:space="0" w:color="000000"/>
                        </w:tcBorders>
                        <w:shd w:val="clear" w:color="auto" w:fill="D3D3D3"/>
                      </w:tcPr>
                      <w:p>
                        <w:pPr/>
                      </w:p>
                    </w:tc>
                    <w:tc>
                      <w:tcPr>
                        <w:tcW w:w="750" w:type="dxa"/>
                        <w:vMerge/>
                        <w:tcBorders>
                          <w:left w:val="single" w:sz="4" w:space="0" w:color="000000"/>
                          <w:bottom w:val="single" w:sz="4" w:space="0" w:color="000000"/>
                          <w:right w:val="single" w:sz="4" w:space="0" w:color="000000"/>
                        </w:tcBorders>
                        <w:shd w:val="clear" w:color="auto" w:fill="D3D3D3"/>
                      </w:tcPr>
                      <w:p>
                        <w:pPr/>
                      </w:p>
                    </w:tc>
                    <w:tc>
                      <w:tcPr>
                        <w:tcW w:w="824" w:type="dxa"/>
                        <w:vMerge/>
                        <w:tcBorders>
                          <w:left w:val="single" w:sz="4" w:space="0" w:color="000000"/>
                          <w:bottom w:val="single" w:sz="4" w:space="0" w:color="000000"/>
                          <w:right w:val="single" w:sz="4" w:space="0" w:color="000000"/>
                        </w:tcBorders>
                        <w:shd w:val="clear" w:color="auto" w:fill="D3D3D3"/>
                      </w:tcPr>
                      <w:p>
                        <w:pPr/>
                      </w:p>
                    </w:tc>
                    <w:tc>
                      <w:tcPr>
                        <w:tcW w:w="788" w:type="dxa"/>
                        <w:gridSpan w:val="2"/>
                        <w:vMerge/>
                        <w:tcBorders>
                          <w:left w:val="single" w:sz="4" w:space="0" w:color="000000"/>
                          <w:bottom w:val="single" w:sz="4" w:space="0" w:color="000000"/>
                          <w:right w:val="single" w:sz="4" w:space="0" w:color="000000"/>
                        </w:tcBorders>
                        <w:shd w:val="clear" w:color="auto" w:fill="D3D3D3"/>
                      </w:tcPr>
                      <w:p>
                        <w:pPr/>
                      </w:p>
                    </w:tc>
                    <w:tc>
                      <w:tcPr>
                        <w:tcW w:w="830" w:type="dxa"/>
                        <w:vMerge/>
                        <w:tcBorders>
                          <w:left w:val="single" w:sz="4" w:space="0" w:color="000000"/>
                          <w:bottom w:val="single" w:sz="4" w:space="0" w:color="000000"/>
                          <w:right w:val="single" w:sz="4" w:space="0" w:color="000000"/>
                        </w:tcBorders>
                        <w:shd w:val="clear" w:color="auto" w:fill="D3D3D3"/>
                      </w:tcPr>
                      <w:p>
                        <w:pPr/>
                      </w:p>
                    </w:tc>
                    <w:tc>
                      <w:tcPr>
                        <w:tcW w:w="796" w:type="dxa"/>
                        <w:vMerge/>
                        <w:tcBorders>
                          <w:left w:val="single" w:sz="4" w:space="0" w:color="000000"/>
                          <w:bottom w:val="single" w:sz="4" w:space="0" w:color="000000"/>
                          <w:right w:val="single" w:sz="4" w:space="0" w:color="000000"/>
                        </w:tcBorders>
                        <w:shd w:val="clear" w:color="auto" w:fill="D3D3D3"/>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22.46%</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67,840,00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64"/>
                          <w:jc w:val="right"/>
                          <w:rPr>
                            <w:rFonts w:ascii="Times New Roman" w:hAnsi="Times New Roman" w:cs="Times New Roman" w:eastAsia="Times New Roman" w:hint="default"/>
                            <w:sz w:val="18"/>
                            <w:szCs w:val="18"/>
                          </w:rPr>
                        </w:pPr>
                        <w:r>
                          <w:rPr>
                            <w:rFonts w:ascii="Times New Roman"/>
                            <w:sz w:val="18"/>
                          </w:rPr>
                          <w:t>50,880,00</w:t>
                        </w:r>
                      </w:p>
                      <w:p>
                        <w:pPr>
                          <w:pStyle w:val="TableParagraph"/>
                          <w:spacing w:line="240" w:lineRule="auto" w:before="105"/>
                          <w:ind w:right="65"/>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16,960,00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16,300,000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尚卫国</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4.63%</w:t>
                        </w:r>
                        <w:r>
                          <w:rPr>
                            <w:rFonts w:ascii="Times New Roman"/>
                            <w:sz w:val="18"/>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13,987,20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64"/>
                          <w:jc w:val="right"/>
                          <w:rPr>
                            <w:rFonts w:ascii="Times New Roman" w:hAnsi="Times New Roman" w:cs="Times New Roman" w:eastAsia="Times New Roman" w:hint="default"/>
                            <w:sz w:val="18"/>
                            <w:szCs w:val="18"/>
                          </w:rPr>
                        </w:pPr>
                        <w:r>
                          <w:rPr>
                            <w:rFonts w:ascii="Times New Roman"/>
                            <w:sz w:val="18"/>
                          </w:rPr>
                          <w:t>10,490,40</w:t>
                        </w:r>
                      </w:p>
                      <w:p>
                        <w:pPr>
                          <w:pStyle w:val="TableParagraph"/>
                          <w:spacing w:line="240" w:lineRule="auto" w:before="105"/>
                          <w:ind w:right="65"/>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3,496,800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6" w:right="0"/>
                          <w:jc w:val="left"/>
                          <w:rPr>
                            <w:rFonts w:ascii="Times New Roman" w:hAnsi="Times New Roman" w:cs="Times New Roman" w:eastAsia="Times New Roman" w:hint="default"/>
                            <w:sz w:val="18"/>
                            <w:szCs w:val="18"/>
                          </w:rPr>
                        </w:pPr>
                        <w:r>
                          <w:rPr>
                            <w:rFonts w:ascii="Times New Roman"/>
                            <w:sz w:val="18"/>
                          </w:rPr>
                          <w:t>1,240,000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付秋生</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4.46%</w:t>
                        </w:r>
                        <w:r>
                          <w:rPr>
                            <w:rFonts w:ascii="Times New Roman"/>
                            <w:sz w:val="18"/>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13,468,80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64"/>
                          <w:jc w:val="right"/>
                          <w:rPr>
                            <w:rFonts w:ascii="Times New Roman" w:hAnsi="Times New Roman" w:cs="Times New Roman" w:eastAsia="Times New Roman" w:hint="default"/>
                            <w:sz w:val="18"/>
                            <w:szCs w:val="18"/>
                          </w:rPr>
                        </w:pPr>
                        <w:r>
                          <w:rPr>
                            <w:rFonts w:ascii="Times New Roman"/>
                            <w:sz w:val="18"/>
                          </w:rPr>
                          <w:t>10,101,60</w:t>
                        </w:r>
                      </w:p>
                      <w:p>
                        <w:pPr>
                          <w:pStyle w:val="TableParagraph"/>
                          <w:spacing w:line="240" w:lineRule="auto" w:before="105"/>
                          <w:ind w:right="65"/>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3,367,200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6" w:right="0"/>
                          <w:jc w:val="left"/>
                          <w:rPr>
                            <w:rFonts w:ascii="Times New Roman" w:hAnsi="Times New Roman" w:cs="Times New Roman" w:eastAsia="Times New Roman" w:hint="default"/>
                            <w:sz w:val="18"/>
                            <w:szCs w:val="18"/>
                          </w:rPr>
                        </w:pPr>
                        <w:r>
                          <w:rPr>
                            <w:rFonts w:ascii="Times New Roman"/>
                            <w:sz w:val="18"/>
                          </w:rPr>
                          <w:t>4,150,000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傅常顺</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3.81%</w:t>
                        </w:r>
                        <w:r>
                          <w:rPr>
                            <w:rFonts w:ascii="Times New Roman"/>
                            <w:sz w:val="18"/>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11,520,00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z w:val="18"/>
                          </w:rPr>
                          <w:t>8,640,000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2,880,000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6" w:right="0"/>
                          <w:jc w:val="left"/>
                          <w:rPr>
                            <w:rFonts w:ascii="Times New Roman" w:hAnsi="Times New Roman" w:cs="Times New Roman" w:eastAsia="Times New Roman" w:hint="default"/>
                            <w:sz w:val="18"/>
                            <w:szCs w:val="18"/>
                          </w:rPr>
                        </w:pPr>
                        <w:r>
                          <w:rPr>
                            <w:rFonts w:ascii="Times New Roman"/>
                            <w:sz w:val="18"/>
                          </w:rPr>
                          <w:t>5,180,000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葛晓阁</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3.81%</w:t>
                        </w:r>
                        <w:r>
                          <w:rPr>
                            <w:rFonts w:ascii="Times New Roman"/>
                            <w:sz w:val="18"/>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11,520,00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65"/>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11,520,00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6" w:right="0"/>
                          <w:jc w:val="left"/>
                          <w:rPr>
                            <w:rFonts w:ascii="Times New Roman" w:hAnsi="Times New Roman" w:cs="Times New Roman" w:eastAsia="Times New Roman" w:hint="default"/>
                            <w:sz w:val="18"/>
                            <w:szCs w:val="18"/>
                          </w:rPr>
                        </w:pPr>
                        <w:r>
                          <w:rPr>
                            <w:rFonts w:ascii="Times New Roman"/>
                            <w:sz w:val="18"/>
                          </w:rPr>
                          <w:t>3,450,000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赵利宾</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3.81%</w:t>
                        </w:r>
                        <w:r>
                          <w:rPr>
                            <w:rFonts w:ascii="Times New Roman"/>
                            <w:sz w:val="18"/>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11,520,00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z w:val="18"/>
                          </w:rPr>
                          <w:t>8,640,000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2,880,000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6" w:right="0"/>
                          <w:jc w:val="left"/>
                          <w:rPr>
                            <w:rFonts w:ascii="Times New Roman" w:hAnsi="Times New Roman" w:cs="Times New Roman" w:eastAsia="Times New Roman" w:hint="default"/>
                            <w:sz w:val="18"/>
                            <w:szCs w:val="18"/>
                          </w:rPr>
                        </w:pPr>
                        <w:r>
                          <w:rPr>
                            <w:rFonts w:ascii="Times New Roman"/>
                            <w:sz w:val="18"/>
                          </w:rPr>
                          <w:t>6,620,000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杜建平</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3.81%</w:t>
                        </w:r>
                        <w:r>
                          <w:rPr>
                            <w:rFonts w:ascii="Times New Roman"/>
                            <w:sz w:val="18"/>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11,520,00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z w:val="18"/>
                          </w:rPr>
                          <w:t>8,640,000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2,880,000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6" w:right="0"/>
                          <w:jc w:val="left"/>
                          <w:rPr>
                            <w:rFonts w:ascii="Times New Roman" w:hAnsi="Times New Roman" w:cs="Times New Roman" w:eastAsia="Times New Roman" w:hint="default"/>
                            <w:sz w:val="18"/>
                            <w:szCs w:val="18"/>
                          </w:rPr>
                        </w:pPr>
                        <w:r>
                          <w:rPr>
                            <w:rFonts w:ascii="Times New Roman"/>
                            <w:sz w:val="18"/>
                          </w:rPr>
                          <w:t>3,140,000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华梦阳</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3.81%</w:t>
                        </w:r>
                        <w:r>
                          <w:rPr>
                            <w:rFonts w:ascii="Times New Roman"/>
                            <w:sz w:val="18"/>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11,520,00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z w:val="18"/>
                          </w:rPr>
                          <w:t>8,640,000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2,880,000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6" w:right="0"/>
                          <w:jc w:val="left"/>
                          <w:rPr>
                            <w:rFonts w:ascii="Times New Roman" w:hAnsi="Times New Roman" w:cs="Times New Roman" w:eastAsia="Times New Roman" w:hint="default"/>
                            <w:sz w:val="18"/>
                            <w:szCs w:val="18"/>
                          </w:rPr>
                        </w:pPr>
                        <w:r>
                          <w:rPr>
                            <w:rFonts w:ascii="Times New Roman"/>
                            <w:sz w:val="18"/>
                          </w:rPr>
                          <w:t>2,010,000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郎金文</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3.61%</w:t>
                        </w:r>
                        <w:r>
                          <w:rPr>
                            <w:rFonts w:ascii="Times New Roman"/>
                            <w:sz w:val="18"/>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10,920,00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65"/>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10,920,00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6" w:right="0"/>
                          <w:jc w:val="left"/>
                          <w:rPr>
                            <w:rFonts w:ascii="Times New Roman" w:hAnsi="Times New Roman" w:cs="Times New Roman" w:eastAsia="Times New Roman" w:hint="default"/>
                            <w:sz w:val="18"/>
                            <w:szCs w:val="18"/>
                          </w:rPr>
                        </w:pPr>
                        <w:r>
                          <w:rPr>
                            <w:rFonts w:ascii="Times New Roman"/>
                            <w:sz w:val="18"/>
                          </w:rPr>
                          <w:t>2,700,000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刘恩臣</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3.58%</w:t>
                        </w:r>
                        <w:r>
                          <w:rPr>
                            <w:rFonts w:ascii="Times New Roman"/>
                            <w:sz w:val="18"/>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10,820,00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pacing w:val="-1"/>
                            <w:sz w:val="18"/>
                          </w:rPr>
                          <w:t>8,115,000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2,705,000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6" w:right="0"/>
                          <w:jc w:val="left"/>
                          <w:rPr>
                            <w:rFonts w:ascii="Times New Roman" w:hAnsi="Times New Roman" w:cs="Times New Roman" w:eastAsia="Times New Roman" w:hint="default"/>
                            <w:sz w:val="18"/>
                            <w:szCs w:val="18"/>
                          </w:rPr>
                        </w:pPr>
                        <w:r>
                          <w:rPr>
                            <w:rFonts w:ascii="Times New Roman"/>
                            <w:sz w:val="18"/>
                          </w:rPr>
                          <w:t>2,440,000</w:t>
                        </w:r>
                      </w:p>
                    </w:tc>
                  </w:tr>
                  <w:tr>
                    <w:trPr>
                      <w:trHeight w:val="1026" w:hRule="exact"/>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10"/>
                        <w:tcBorders>
                          <w:top w:val="single" w:sz="4" w:space="0" w:color="000000"/>
                          <w:left w:val="single" w:sz="9"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10"/>
                        <w:tcBorders>
                          <w:top w:val="single" w:sz="4" w:space="0" w:color="000000"/>
                          <w:left w:val="single" w:sz="9" w:space="0" w:color="D3D3D3"/>
                          <w:bottom w:val="single" w:sz="4" w:space="0" w:color="000000"/>
                          <w:right w:val="single" w:sz="4" w:space="0" w:color="000000"/>
                        </w:tcBorders>
                      </w:tcPr>
                      <w:p>
                        <w:pPr>
                          <w:pStyle w:val="TableParagraph"/>
                          <w:spacing w:line="300" w:lineRule="auto" w:before="52"/>
                          <w:ind w:left="16" w:right="8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名股东中，杨维国与尚卫国、付秋生、傅常顺、葛晓阁、赵利宾、郎金文、杜 </w:t>
                        </w:r>
                        <w:r>
                          <w:rPr>
                            <w:rFonts w:ascii="宋体" w:hAnsi="宋体" w:cs="宋体" w:eastAsia="宋体" w:hint="default"/>
                            <w:spacing w:val="-9"/>
                            <w:sz w:val="18"/>
                            <w:szCs w:val="18"/>
                          </w:rPr>
                          <w:t>建平、华梦阳及刘恩臣等</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名自然人股东系一致行动人，合计持有公司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57.81%</w:t>
                        </w:r>
                        <w:r>
                          <w:rPr>
                            <w:rFonts w:ascii="宋体" w:hAnsi="宋体" w:cs="宋体" w:eastAsia="宋体" w:hint="default"/>
                            <w:sz w:val="18"/>
                            <w:szCs w:val="18"/>
                          </w:rPr>
                          <w:t>的股份</w:t>
                        </w:r>
                      </w:p>
                    </w:tc>
                  </w:tr>
                  <w:tr>
                    <w:trPr>
                      <w:trHeight w:val="402" w:hRule="exact"/>
                    </w:trPr>
                    <w:tc>
                      <w:tcPr>
                        <w:tcW w:w="9568" w:type="dxa"/>
                        <w:gridSpan w:val="1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before="44"/>
        <w:ind w:left="0" w:right="159" w:firstLine="0"/>
        <w:jc w:val="right"/>
        <w:rPr>
          <w:rFonts w:ascii="宋体" w:hAnsi="宋体" w:cs="宋体" w:eastAsia="宋体" w:hint="default"/>
          <w:sz w:val="18"/>
          <w:szCs w:val="18"/>
        </w:rPr>
      </w:pPr>
      <w:r>
        <w:rPr/>
        <w:pict>
          <v:shape style="position:absolute;margin-left:56.459999pt;margin-top:-288.848022pt;width:479.1pt;height:391.1pt;mso-position-horizontal-relative:page;mso-position-vertical-relative:paragraph;z-index:32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0"/>
                    <w:gridCol w:w="3989"/>
                    <w:gridCol w:w="1349"/>
                    <w:gridCol w:w="1350"/>
                  </w:tblGrid>
                  <w:tr>
                    <w:trPr>
                      <w:trHeight w:val="402" w:hRule="exact"/>
                    </w:trPr>
                    <w:tc>
                      <w:tcPr>
                        <w:tcW w:w="28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880" w:type="dxa"/>
                        <w:vMerge/>
                        <w:tcBorders>
                          <w:left w:val="single" w:sz="4" w:space="0" w:color="000000"/>
                          <w:bottom w:val="single" w:sz="4" w:space="0" w:color="000000"/>
                          <w:right w:val="single" w:sz="4" w:space="0" w:color="000000"/>
                        </w:tcBorders>
                        <w:shd w:val="clear" w:color="auto" w:fill="D3D3D3"/>
                      </w:tcPr>
                      <w:p>
                        <w:pPr/>
                      </w:p>
                    </w:tc>
                    <w:tc>
                      <w:tcPr>
                        <w:tcW w:w="3989" w:type="dxa"/>
                        <w:vMerge/>
                        <w:tcBorders>
                          <w:left w:val="single" w:sz="4" w:space="0" w:color="000000"/>
                          <w:bottom w:val="single" w:sz="4" w:space="0" w:color="000000"/>
                          <w:right w:val="single" w:sz="4" w:space="0" w:color="000000"/>
                        </w:tcBorders>
                        <w:shd w:val="clear" w:color="auto" w:fill="D3D3D3"/>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16,960,000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16,960,000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葛晓阁</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11,520,000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郎金文</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10,920,000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10,920,000</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中国建设银行股份有限公司－华宝 兴业服务优选混合型证券投资基金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5,781,221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5,781,221</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尚卫国</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3,496,800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3,496,800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付秋生</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3,367,200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336,720</w:t>
                        </w:r>
                      </w:p>
                    </w:tc>
                  </w:tr>
                  <w:tr>
                    <w:trPr>
                      <w:trHeight w:val="1026"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中国工商银行股份有限公司－中邮 趋势精选灵活配置混合型证券投资 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3,246,472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3,246,472</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傅常顺</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2,880,000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赵利宾</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2,880,000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杜建平</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2,880,000</w:t>
                        </w:r>
                      </w:p>
                    </w:tc>
                  </w:tr>
                  <w:tr>
                    <w:trPr>
                      <w:trHeight w:val="1338" w:hRule="exact"/>
                    </w:trPr>
                    <w:tc>
                      <w:tcPr>
                        <w:tcW w:w="2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名无限售流通股股东中，杨维国、葛晓阁、郎金文、商卫国、付秋生、傅常顺 </w:t>
                        </w:r>
                        <w:r>
                          <w:rPr>
                            <w:rFonts w:ascii="宋体" w:hAnsi="宋体" w:cs="宋体" w:eastAsia="宋体" w:hint="default"/>
                            <w:spacing w:val="-1"/>
                            <w:sz w:val="18"/>
                            <w:szCs w:val="18"/>
                          </w:rPr>
                          <w:t>赵立宾、杜建平系一致行动人，具体内容详见上表相关内容。公司未知除前述股东生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之外的其他无限售条件股东之间是否存在关联关系，也未知其间是否存在一致行动人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之情形。</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53" w:right="7611"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7"/>
        <w:gridCol w:w="2030"/>
        <w:gridCol w:w="4121"/>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105"/>
              <w:jc w:val="left"/>
              <w:rPr>
                <w:rFonts w:ascii="Times New Roman" w:hAnsi="Times New Roman" w:cs="Times New Roman" w:eastAsia="Times New Roman" w:hint="default"/>
                <w:sz w:val="18"/>
                <w:szCs w:val="18"/>
              </w:rPr>
            </w:pPr>
            <w:r>
              <w:rPr>
                <w:rFonts w:ascii="宋体" w:hAnsi="宋体" w:cs="宋体" w:eastAsia="宋体" w:hint="default"/>
                <w:sz w:val="18"/>
                <w:szCs w:val="18"/>
              </w:rPr>
              <w:t>杨维国先生简历请见本报告</w:t>
            </w:r>
            <w:r>
              <w:rPr>
                <w:rFonts w:ascii="Times New Roman" w:hAnsi="Times New Roman" w:cs="Times New Roman" w:eastAsia="Times New Roman" w:hint="default"/>
                <w:sz w:val="18"/>
                <w:szCs w:val="18"/>
              </w:rPr>
              <w:t>“</w:t>
            </w:r>
            <w:r>
              <w:rPr>
                <w:rFonts w:ascii="宋体" w:hAnsi="宋体" w:cs="宋体" w:eastAsia="宋体" w:hint="default"/>
                <w:sz w:val="18"/>
                <w:szCs w:val="18"/>
              </w:rPr>
              <w:t>第八节 董事、监事、高级管理人员和员工情况</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之</w:t>
            </w:r>
            <w:r>
              <w:rPr>
                <w:rFonts w:ascii="Times New Roman" w:hAnsi="Times New Roman" w:cs="Times New Roman" w:eastAsia="Times New Roman" w:hint="default"/>
                <w:sz w:val="18"/>
                <w:szCs w:val="18"/>
              </w:rPr>
              <w:t>“</w:t>
            </w:r>
            <w:r>
              <w:rPr>
                <w:rFonts w:ascii="宋体" w:hAnsi="宋体" w:cs="宋体" w:eastAsia="宋体" w:hint="default"/>
                <w:sz w:val="18"/>
                <w:szCs w:val="18"/>
              </w:rPr>
              <w:t>三、任职情况</w:t>
            </w:r>
            <w:r>
              <w:rPr>
                <w:rFonts w:ascii="Times New Roman" w:hAnsi="Times New Roman" w:cs="Times New Roman" w:eastAsia="Times New Roman" w:hint="default"/>
                <w:sz w:val="18"/>
                <w:szCs w:val="18"/>
              </w:rPr>
              <w:t>”</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65"/>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54" w:right="70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after="0" w:line="338"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7431"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328"/>
        <w:gridCol w:w="2120"/>
        <w:gridCol w:w="4120"/>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28"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杨维国先生简历请见本报告</w:t>
            </w:r>
            <w:r>
              <w:rPr>
                <w:rFonts w:ascii="Times New Roman" w:hAnsi="Times New Roman" w:cs="Times New Roman" w:eastAsia="Times New Roman" w:hint="default"/>
                <w:sz w:val="18"/>
                <w:szCs w:val="18"/>
              </w:rPr>
              <w:t>“</w:t>
            </w:r>
            <w:r>
              <w:rPr>
                <w:rFonts w:ascii="宋体" w:hAnsi="宋体" w:cs="宋体" w:eastAsia="宋体" w:hint="default"/>
                <w:sz w:val="18"/>
                <w:szCs w:val="18"/>
              </w:rPr>
              <w:t>第八节</w:t>
            </w:r>
            <w:r>
              <w:rPr>
                <w:rFonts w:ascii="宋体" w:hAnsi="宋体" w:cs="宋体" w:eastAsia="宋体" w:hint="default"/>
                <w:spacing w:val="-6"/>
                <w:sz w:val="18"/>
                <w:szCs w:val="18"/>
              </w:rPr>
              <w:t> </w:t>
            </w:r>
            <w:r>
              <w:rPr>
                <w:rFonts w:ascii="宋体" w:hAnsi="宋体" w:cs="宋体" w:eastAsia="宋体" w:hint="default"/>
                <w:sz w:val="18"/>
                <w:szCs w:val="18"/>
              </w:rPr>
              <w:t>董事、监事、高级管理人员和员工情况</w:t>
            </w:r>
            <w:r>
              <w:rPr>
                <w:rFonts w:ascii="Times New Roman" w:hAnsi="Times New Roman" w:cs="Times New Roman" w:eastAsia="Times New Roman" w:hint="default"/>
                <w:sz w:val="18"/>
                <w:szCs w:val="18"/>
              </w:rPr>
              <w:t>”</w:t>
            </w:r>
            <w:r>
              <w:rPr>
                <w:rFonts w:ascii="宋体" w:hAnsi="宋体" w:cs="宋体" w:eastAsia="宋体" w:hint="default"/>
                <w:sz w:val="18"/>
                <w:szCs w:val="18"/>
              </w:rPr>
              <w:t>之</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三、任职情况</w:t>
            </w:r>
            <w:r>
              <w:rPr>
                <w:rFonts w:ascii="Times New Roman" w:hAnsi="Times New Roman" w:cs="Times New Roman" w:eastAsia="Times New Roman" w:hint="default"/>
                <w:sz w:val="18"/>
                <w:szCs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68"/>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5"/>
        <w:rPr>
          <w:rFonts w:ascii="宋体" w:hAnsi="宋体" w:cs="宋体" w:eastAsia="宋体" w:hint="default"/>
          <w:sz w:val="22"/>
          <w:szCs w:val="22"/>
        </w:rPr>
      </w:pPr>
    </w:p>
    <w:p>
      <w:pPr>
        <w:spacing w:line="3525" w:lineRule="exact"/>
        <w:ind w:left="1356" w:right="0" w:firstLine="0"/>
        <w:rPr>
          <w:rFonts w:ascii="宋体" w:hAnsi="宋体" w:cs="宋体" w:eastAsia="宋体" w:hint="default"/>
          <w:sz w:val="20"/>
          <w:szCs w:val="20"/>
        </w:rPr>
      </w:pPr>
      <w:r>
        <w:rPr>
          <w:rFonts w:ascii="宋体" w:hAnsi="宋体" w:cs="宋体" w:eastAsia="宋体" w:hint="default"/>
          <w:position w:val="-70"/>
          <w:sz w:val="20"/>
          <w:szCs w:val="20"/>
        </w:rPr>
        <w:drawing>
          <wp:inline distT="0" distB="0" distL="0" distR="0">
            <wp:extent cx="4592554" cy="2238375"/>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39" cstate="print"/>
                    <a:stretch>
                      <a:fillRect/>
                    </a:stretch>
                  </pic:blipFill>
                  <pic:spPr>
                    <a:xfrm>
                      <a:off x="0" y="0"/>
                      <a:ext cx="4592554" cy="2238375"/>
                    </a:xfrm>
                    <a:prstGeom prst="rect">
                      <a:avLst/>
                    </a:prstGeom>
                  </pic:spPr>
                </pic:pic>
              </a:graphicData>
            </a:graphic>
          </wp:inline>
        </w:drawing>
      </w:r>
      <w:r>
        <w:rPr>
          <w:rFonts w:ascii="宋体" w:hAnsi="宋体" w:cs="宋体" w:eastAsia="宋体" w:hint="default"/>
          <w:position w:val="-70"/>
          <w:sz w:val="20"/>
          <w:szCs w:val="20"/>
        </w:rPr>
      </w:r>
    </w:p>
    <w:p>
      <w:pPr>
        <w:spacing w:line="240" w:lineRule="auto" w:before="9"/>
        <w:rPr>
          <w:rFonts w:ascii="宋体" w:hAnsi="宋体" w:cs="宋体" w:eastAsia="宋体" w:hint="default"/>
          <w:sz w:val="20"/>
          <w:szCs w:val="20"/>
        </w:rPr>
      </w:pPr>
    </w:p>
    <w:p>
      <w:pPr>
        <w:pStyle w:val="Heading3"/>
        <w:spacing w:line="240" w:lineRule="auto" w:before="0"/>
        <w:ind w:left="154" w:right="0"/>
        <w:jc w:val="left"/>
      </w:pPr>
      <w:r>
        <w:rPr/>
        <w:t>实际控制人通过信托或其他资产管理方式控制公司</w:t>
      </w:r>
    </w:p>
    <w:p>
      <w:pPr>
        <w:spacing w:line="240" w:lineRule="auto" w:before="12"/>
        <w:rPr>
          <w:rFonts w:ascii="宋体" w:hAnsi="宋体" w:cs="宋体" w:eastAsia="宋体" w:hint="default"/>
          <w:sz w:val="18"/>
          <w:szCs w:val="18"/>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286" w:right="0"/>
        <w:jc w:val="left"/>
        <w:rPr>
          <w:b w:val="0"/>
          <w:bCs w:val="0"/>
        </w:rPr>
      </w:pPr>
      <w:bookmarkStart w:name="_TOC_250004" w:id="7"/>
      <w:r>
        <w:rPr/>
        <w:t>第七节</w:t>
      </w:r>
      <w:r>
        <w:rPr>
          <w:spacing w:val="-8"/>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spacing w:line="338" w:lineRule="auto" w:before="44"/>
        <w:ind w:left="154" w:right="76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1680" w:right="0"/>
        <w:jc w:val="left"/>
        <w:rPr>
          <w:b w:val="0"/>
          <w:bCs w:val="0"/>
        </w:rPr>
      </w:pPr>
      <w:bookmarkStart w:name="_TOC_250003" w:id="8"/>
      <w:r>
        <w:rPr/>
        <w:t>第八节</w:t>
      </w:r>
      <w:r>
        <w:rPr>
          <w:spacing w:val="-17"/>
        </w:rPr>
        <w:t> </w:t>
      </w:r>
      <w:r>
        <w:rPr/>
        <w:t>董事、监事、高级管理人员和员工情况</w:t>
      </w:r>
      <w:bookmarkEnd w:id="8"/>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pict>
          <v:shape style="position:absolute;margin-left:471.480011pt;margin-top:33.035938pt;width:63.55pt;height:50.8pt;mso-position-horizontal-relative:page;mso-position-vertical-relative:paragraph;z-index:-1166872"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12"/>
              <w:jc w:val="righ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32" w:firstLine="10"/>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23"/>
              <w:jc w:val="right"/>
              <w:rPr>
                <w:rFonts w:ascii="宋体" w:hAnsi="宋体" w:cs="宋体" w:eastAsia="宋体" w:hint="default"/>
                <w:sz w:val="18"/>
                <w:szCs w:val="18"/>
              </w:rPr>
            </w:pPr>
            <w:r>
              <w:rPr>
                <w:rFonts w:ascii="宋体" w:hAnsi="宋体" w:cs="宋体" w:eastAsia="宋体" w:hint="default"/>
                <w:sz w:val="18"/>
                <w:szCs w:val="18"/>
              </w:rPr>
              <w:t>杨维国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22" w:right="177"/>
              <w:jc w:val="left"/>
              <w:rPr>
                <w:rFonts w:ascii="宋体" w:hAnsi="宋体" w:cs="宋体" w:eastAsia="宋体"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 </w:t>
            </w:r>
            <w:r>
              <w:rPr>
                <w:rFonts w:ascii="宋体" w:hAnsi="宋体" w:cs="宋体" w:eastAsia="宋体" w:hint="default"/>
                <w:sz w:val="18"/>
                <w:szCs w:val="18"/>
              </w:rPr>
              <w:t>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33,920,00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33,920,00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67,840,00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23"/>
              <w:jc w:val="right"/>
              <w:rPr>
                <w:rFonts w:ascii="宋体" w:hAnsi="宋体" w:cs="宋体" w:eastAsia="宋体" w:hint="default"/>
                <w:sz w:val="18"/>
                <w:szCs w:val="18"/>
              </w:rPr>
            </w:pPr>
            <w:r>
              <w:rPr>
                <w:rFonts w:ascii="宋体" w:hAnsi="宋体" w:cs="宋体" w:eastAsia="宋体" w:hint="default"/>
                <w:sz w:val="18"/>
                <w:szCs w:val="18"/>
              </w:rPr>
              <w:t>付秋生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常 务副总经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6,734,400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6,734,400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13,468,80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23"/>
              <w:jc w:val="right"/>
              <w:rPr>
                <w:rFonts w:ascii="宋体" w:hAnsi="宋体" w:cs="宋体" w:eastAsia="宋体" w:hint="default"/>
                <w:sz w:val="18"/>
                <w:szCs w:val="18"/>
              </w:rPr>
            </w:pPr>
            <w:r>
              <w:rPr>
                <w:rFonts w:ascii="宋体" w:hAnsi="宋体" w:cs="宋体" w:eastAsia="宋体" w:hint="default"/>
                <w:sz w:val="18"/>
                <w:szCs w:val="18"/>
              </w:rPr>
              <w:t>尚卫国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22" w:right="176"/>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6,993,600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6,993,600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13,987,20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23"/>
              <w:jc w:val="right"/>
              <w:rPr>
                <w:rFonts w:ascii="宋体" w:hAnsi="宋体" w:cs="宋体" w:eastAsia="宋体" w:hint="default"/>
                <w:sz w:val="18"/>
                <w:szCs w:val="18"/>
              </w:rPr>
            </w:pPr>
            <w:r>
              <w:rPr>
                <w:rFonts w:ascii="宋体" w:hAnsi="宋体" w:cs="宋体" w:eastAsia="宋体" w:hint="default"/>
                <w:sz w:val="18"/>
                <w:szCs w:val="18"/>
              </w:rPr>
              <w:t>赵利宾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22" w:right="176"/>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5,760,000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5,760,000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11,520,00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23"/>
              <w:jc w:val="right"/>
              <w:rPr>
                <w:rFonts w:ascii="宋体" w:hAnsi="宋体" w:cs="宋体" w:eastAsia="宋体" w:hint="default"/>
                <w:sz w:val="18"/>
                <w:szCs w:val="18"/>
              </w:rPr>
            </w:pPr>
            <w:r>
              <w:rPr>
                <w:rFonts w:ascii="宋体" w:hAnsi="宋体" w:cs="宋体" w:eastAsia="宋体" w:hint="default"/>
                <w:sz w:val="18"/>
                <w:szCs w:val="18"/>
              </w:rPr>
              <w:t>罗会军</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57" w:right="0"/>
              <w:jc w:val="center"/>
              <w:rPr>
                <w:rFonts w:ascii="Times New Roman" w:hAnsi="Times New Roman" w:cs="Times New Roman" w:eastAsia="Times New Roman" w:hint="default"/>
                <w:sz w:val="18"/>
                <w:szCs w:val="18"/>
              </w:rPr>
            </w:pPr>
            <w:r>
              <w:rPr>
                <w:rFonts w:ascii="Times New Roman"/>
                <w:sz w:val="18"/>
              </w:rPr>
              <w:t>762,173</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762,173</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23"/>
              <w:jc w:val="right"/>
              <w:rPr>
                <w:rFonts w:ascii="宋体" w:hAnsi="宋体" w:cs="宋体" w:eastAsia="宋体" w:hint="default"/>
                <w:sz w:val="18"/>
                <w:szCs w:val="18"/>
              </w:rPr>
            </w:pPr>
            <w:r>
              <w:rPr>
                <w:rFonts w:ascii="宋体" w:hAnsi="宋体" w:cs="宋体" w:eastAsia="宋体" w:hint="default"/>
                <w:sz w:val="18"/>
                <w:szCs w:val="18"/>
              </w:rPr>
              <w:t>王玉辉</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23"/>
              <w:jc w:val="right"/>
              <w:rPr>
                <w:rFonts w:ascii="宋体" w:hAnsi="宋体" w:cs="宋体" w:eastAsia="宋体" w:hint="default"/>
                <w:sz w:val="18"/>
                <w:szCs w:val="18"/>
              </w:rPr>
            </w:pPr>
            <w:r>
              <w:rPr>
                <w:rFonts w:ascii="宋体" w:hAnsi="宋体" w:cs="宋体" w:eastAsia="宋体" w:hint="default"/>
                <w:sz w:val="18"/>
                <w:szCs w:val="18"/>
              </w:rPr>
              <w:t>张英瑶</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66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23"/>
              <w:jc w:val="right"/>
              <w:rPr>
                <w:rFonts w:ascii="宋体" w:hAnsi="宋体" w:cs="宋体" w:eastAsia="宋体" w:hint="default"/>
                <w:sz w:val="18"/>
                <w:szCs w:val="18"/>
              </w:rPr>
            </w:pPr>
            <w:r>
              <w:rPr>
                <w:rFonts w:ascii="宋体" w:hAnsi="宋体" w:cs="宋体" w:eastAsia="宋体" w:hint="default"/>
                <w:sz w:val="18"/>
                <w:szCs w:val="18"/>
              </w:rPr>
              <w:t>王世卿</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23"/>
              <w:jc w:val="right"/>
              <w:rPr>
                <w:rFonts w:ascii="宋体" w:hAnsi="宋体" w:cs="宋体" w:eastAsia="宋体" w:hint="default"/>
                <w:sz w:val="18"/>
                <w:szCs w:val="18"/>
              </w:rPr>
            </w:pPr>
            <w:r>
              <w:rPr>
                <w:rFonts w:ascii="宋体" w:hAnsi="宋体" w:cs="宋体" w:eastAsia="宋体" w:hint="default"/>
                <w:sz w:val="18"/>
                <w:szCs w:val="18"/>
              </w:rPr>
              <w:t>祝田山</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23"/>
              <w:jc w:val="right"/>
              <w:rPr>
                <w:rFonts w:ascii="宋体" w:hAnsi="宋体" w:cs="宋体" w:eastAsia="宋体" w:hint="default"/>
                <w:sz w:val="18"/>
                <w:szCs w:val="18"/>
              </w:rPr>
            </w:pPr>
            <w:r>
              <w:rPr>
                <w:rFonts w:ascii="宋体" w:hAnsi="宋体" w:cs="宋体" w:eastAsia="宋体" w:hint="default"/>
                <w:sz w:val="18"/>
                <w:szCs w:val="18"/>
              </w:rPr>
              <w:t>刘恩臣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5,410,000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5,410,000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10,820,00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3"/>
              <w:jc w:val="right"/>
              <w:rPr>
                <w:rFonts w:ascii="宋体" w:hAnsi="宋体" w:cs="宋体" w:eastAsia="宋体" w:hint="default"/>
                <w:sz w:val="18"/>
                <w:szCs w:val="18"/>
              </w:rPr>
            </w:pPr>
            <w:r>
              <w:rPr>
                <w:rFonts w:ascii="宋体" w:hAnsi="宋体" w:cs="宋体" w:eastAsia="宋体" w:hint="default"/>
                <w:sz w:val="18"/>
                <w:szCs w:val="18"/>
              </w:rPr>
              <w:t>王葆玲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0" w:right="0"/>
              <w:jc w:val="left"/>
              <w:rPr>
                <w:rFonts w:ascii="Times New Roman" w:hAnsi="Times New Roman" w:cs="Times New Roman" w:eastAsia="Times New Roman" w:hint="default"/>
                <w:sz w:val="18"/>
                <w:szCs w:val="18"/>
              </w:rPr>
            </w:pPr>
            <w:r>
              <w:rPr>
                <w:rFonts w:ascii="Times New Roman"/>
                <w:sz w:val="18"/>
              </w:rPr>
              <w:t>2,500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9" w:right="0"/>
              <w:jc w:val="left"/>
              <w:rPr>
                <w:rFonts w:ascii="Times New Roman" w:hAnsi="Times New Roman" w:cs="Times New Roman" w:eastAsia="Times New Roman" w:hint="default"/>
                <w:sz w:val="18"/>
                <w:szCs w:val="18"/>
              </w:rPr>
            </w:pPr>
            <w:r>
              <w:rPr>
                <w:rFonts w:ascii="Times New Roman"/>
                <w:sz w:val="18"/>
              </w:rPr>
              <w:t>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7" w:right="0"/>
              <w:jc w:val="center"/>
              <w:rPr>
                <w:rFonts w:ascii="Times New Roman" w:hAnsi="Times New Roman" w:cs="Times New Roman" w:eastAsia="Times New Roman" w:hint="default"/>
                <w:sz w:val="18"/>
                <w:szCs w:val="18"/>
              </w:rPr>
            </w:pPr>
            <w:r>
              <w:rPr>
                <w:rFonts w:ascii="Times New Roman"/>
                <w:sz w:val="18"/>
              </w:rPr>
              <w:t>147,000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296,500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张建英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华梦阳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董事会秘 书、副总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5,760,000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5,760,000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11,520,00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李玉玲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傅常顺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5,760,000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5,760,000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11,520,00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杜建平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5,760,000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5,760,000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11,520,00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刘永春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5,064,220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5,064,220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谷建全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甘勇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76,255,00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2,500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82,071,39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158,318,8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93</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谷建全</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个人工作原因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甘勇</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个人工作原因</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三、任职情况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408" w:lineRule="auto" w:before="35"/>
        <w:ind w:left="573" w:right="171"/>
        <w:jc w:val="left"/>
      </w:pPr>
      <w:r>
        <w:rPr/>
        <w:t>（一）董事会成员 公司现有董事会成员</w:t>
      </w:r>
      <w:r>
        <w:rPr>
          <w:rFonts w:ascii="Times New Roman" w:hAnsi="Times New Roman" w:cs="Times New Roman" w:eastAsia="Times New Roman" w:hint="default"/>
        </w:rPr>
        <w:t>9</w:t>
      </w:r>
      <w:r>
        <w:rPr/>
        <w:t>人，其中董事</w:t>
      </w:r>
      <w:r>
        <w:rPr>
          <w:rFonts w:ascii="Times New Roman" w:hAnsi="Times New Roman" w:cs="Times New Roman" w:eastAsia="Times New Roman" w:hint="default"/>
        </w:rPr>
        <w:t>5</w:t>
      </w:r>
      <w:r>
        <w:rPr/>
        <w:t>人，独立董事</w:t>
      </w:r>
      <w:r>
        <w:rPr>
          <w:rFonts w:ascii="Times New Roman" w:hAnsi="Times New Roman" w:cs="Times New Roman" w:eastAsia="Times New Roman" w:hint="default"/>
        </w:rPr>
        <w:t>4</w:t>
      </w:r>
      <w:r>
        <w:rPr/>
        <w:t>人。公司第三届董事会任期至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日止，</w:t>
      </w:r>
    </w:p>
    <w:p>
      <w:pPr>
        <w:pStyle w:val="BodyText"/>
        <w:spacing w:line="408" w:lineRule="auto" w:before="14"/>
        <w:ind w:left="574" w:right="193" w:hanging="420"/>
        <w:jc w:val="left"/>
      </w:pPr>
      <w:r>
        <w:rPr/>
        <w:t>成员具体情况如下： 杨维国先生，男，</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11</w:t>
      </w:r>
      <w:r>
        <w:rPr/>
        <w:t>月出生，</w:t>
      </w:r>
      <w:r>
        <w:rPr>
          <w:rFonts w:ascii="Times New Roman" w:hAnsi="Times New Roman" w:cs="Times New Roman" w:eastAsia="Times New Roman" w:hint="default"/>
        </w:rPr>
        <w:t>EMBA</w:t>
      </w:r>
      <w:r>
        <w:rPr/>
        <w:t>，高级经济师、工程师，河南省软件行业协会常务理事、</w:t>
      </w:r>
    </w:p>
    <w:p>
      <w:pPr>
        <w:pStyle w:val="BodyText"/>
        <w:spacing w:line="391" w:lineRule="auto" w:before="14"/>
        <w:ind w:left="153" w:right="95"/>
        <w:jc w:val="left"/>
      </w:pPr>
      <w:r>
        <w:rPr>
          <w:spacing w:val="-1"/>
        </w:rPr>
        <w:t>河南省工商业联合会常委。</w:t>
      </w:r>
      <w:r>
        <w:rPr>
          <w:rFonts w:ascii="Times New Roman" w:hAnsi="Times New Roman" w:cs="Times New Roman" w:eastAsia="Times New Roman" w:hint="default"/>
          <w:spacing w:val="-1"/>
        </w:rPr>
        <w:t>1985</w:t>
      </w:r>
      <w:r>
        <w:rPr>
          <w:spacing w:val="-1"/>
        </w:rPr>
        <w:t>年毕业于郑州工学院电机系，获工学学士学位；</w:t>
      </w:r>
      <w:r>
        <w:rPr>
          <w:rFonts w:ascii="Times New Roman" w:hAnsi="Times New Roman" w:cs="Times New Roman" w:eastAsia="Times New Roman" w:hint="default"/>
          <w:spacing w:val="-1"/>
        </w:rPr>
        <w:t>1994</w:t>
      </w:r>
      <w:r>
        <w:rPr>
          <w:spacing w:val="-1"/>
        </w:rPr>
        <w:t>年毕业于西安交通大</w:t>
      </w:r>
      <w:r>
        <w:rPr>
          <w:spacing w:val="-86"/>
        </w:rPr>
        <w:t> </w:t>
      </w:r>
      <w:r>
        <w:rPr>
          <w:spacing w:val="-86"/>
        </w:rPr>
      </w:r>
      <w:r>
        <w:rPr>
          <w:spacing w:val="-1"/>
        </w:rPr>
        <w:t>学，获法学学士学位。</w:t>
      </w:r>
      <w:r>
        <w:rPr>
          <w:rFonts w:ascii="Times New Roman" w:hAnsi="Times New Roman" w:cs="Times New Roman" w:eastAsia="Times New Roman" w:hint="default"/>
          <w:spacing w:val="-1"/>
        </w:rPr>
        <w:t>1985</w:t>
      </w:r>
      <w:r>
        <w:rPr>
          <w:spacing w:val="-1"/>
        </w:rPr>
        <w:t>年至</w:t>
      </w:r>
      <w:r>
        <w:rPr>
          <w:rFonts w:ascii="Times New Roman" w:hAnsi="Times New Roman" w:cs="Times New Roman" w:eastAsia="Times New Roman" w:hint="default"/>
          <w:spacing w:val="-1"/>
        </w:rPr>
        <w:t>1994</w:t>
      </w:r>
      <w:r>
        <w:rPr>
          <w:spacing w:val="-1"/>
        </w:rPr>
        <w:t>年，在郑州工学院（</w:t>
      </w:r>
      <w:r>
        <w:rPr>
          <w:rFonts w:ascii="Times New Roman" w:hAnsi="Times New Roman" w:cs="Times New Roman" w:eastAsia="Times New Roman" w:hint="default"/>
          <w:spacing w:val="-1"/>
        </w:rPr>
        <w:t>1996</w:t>
      </w:r>
      <w:r>
        <w:rPr>
          <w:spacing w:val="-1"/>
        </w:rPr>
        <w:t>年更名为郑州工业大学，</w:t>
      </w:r>
      <w:r>
        <w:rPr>
          <w:rFonts w:ascii="Times New Roman" w:hAnsi="Times New Roman" w:cs="Times New Roman" w:eastAsia="Times New Roman" w:hint="default"/>
          <w:spacing w:val="-1"/>
        </w:rPr>
        <w:t>2000</w:t>
      </w:r>
      <w:r>
        <w:rPr>
          <w:spacing w:val="-1"/>
        </w:rPr>
        <w:t>年与原郑州大</w:t>
      </w:r>
      <w:r>
        <w:rPr>
          <w:spacing w:val="-85"/>
        </w:rPr>
        <w:t> </w:t>
      </w:r>
      <w:r>
        <w:rPr>
          <w:spacing w:val="-85"/>
        </w:rPr>
      </w:r>
      <w:r>
        <w:rPr>
          <w:spacing w:val="-1"/>
        </w:rPr>
        <w:t>学、河南医科大学合并组建新郑州大学）计算机与自动化系政治辅导员、兼课教师，历任校团委干事、分</w:t>
      </w:r>
      <w:r>
        <w:rPr>
          <w:spacing w:val="-83"/>
        </w:rPr>
        <w:t> </w:t>
      </w:r>
      <w:r>
        <w:rPr>
          <w:spacing w:val="-83"/>
        </w:rPr>
      </w:r>
      <w:r>
        <w:rPr>
          <w:spacing w:val="-1"/>
        </w:rPr>
        <w:t>团委书记、计算机与自动化系主任助理；</w:t>
      </w:r>
      <w:r>
        <w:rPr>
          <w:rFonts w:ascii="Times New Roman" w:hAnsi="Times New Roman" w:cs="Times New Roman" w:eastAsia="Times New Roman" w:hint="default"/>
          <w:spacing w:val="-1"/>
        </w:rPr>
        <w:t>1994</w:t>
      </w:r>
      <w:r>
        <w:rPr>
          <w:spacing w:val="-1"/>
        </w:rPr>
        <w:t>年至</w:t>
      </w:r>
      <w:r>
        <w:rPr>
          <w:rFonts w:ascii="Times New Roman" w:hAnsi="Times New Roman" w:cs="Times New Roman" w:eastAsia="Times New Roman" w:hint="default"/>
          <w:spacing w:val="-1"/>
        </w:rPr>
        <w:t>2000</w:t>
      </w:r>
      <w:r>
        <w:rPr>
          <w:spacing w:val="-1"/>
        </w:rPr>
        <w:t>年，任郑州工学院科技开发公司副总经理，兼任郑</w:t>
      </w:r>
      <w:r>
        <w:rPr>
          <w:spacing w:val="-83"/>
        </w:rPr>
        <w:t> </w:t>
      </w:r>
      <w:r>
        <w:rPr>
          <w:spacing w:val="-83"/>
        </w:rPr>
      </w:r>
      <w:r>
        <w:rPr>
          <w:spacing w:val="-1"/>
        </w:rPr>
        <w:t>州工学院开普电子技术公司（成立于</w:t>
      </w:r>
      <w:r>
        <w:rPr>
          <w:rFonts w:ascii="Times New Roman" w:hAnsi="Times New Roman" w:cs="Times New Roman" w:eastAsia="Times New Roman" w:hint="default"/>
          <w:spacing w:val="-1"/>
        </w:rPr>
        <w:t>1992</w:t>
      </w:r>
      <w:r>
        <w:rPr>
          <w:spacing w:val="-1"/>
        </w:rPr>
        <w:t>年，系郑州工学院校办企业，</w:t>
      </w:r>
      <w:r>
        <w:rPr>
          <w:rFonts w:ascii="Times New Roman" w:hAnsi="Times New Roman" w:cs="Times New Roman" w:eastAsia="Times New Roman" w:hint="default"/>
          <w:spacing w:val="-1"/>
        </w:rPr>
        <w:t>1996</w:t>
      </w:r>
      <w:r>
        <w:rPr>
          <w:spacing w:val="-1"/>
        </w:rPr>
        <w:t>年更名为郑州工业大学开普电</w:t>
      </w:r>
      <w:r>
        <w:rPr>
          <w:spacing w:val="-84"/>
        </w:rPr>
        <w:t> </w:t>
      </w:r>
      <w:r>
        <w:rPr>
          <w:spacing w:val="-84"/>
        </w:rPr>
      </w:r>
      <w:r>
        <w:rPr/>
        <w:t>子技术公司，已于</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2</w:t>
      </w:r>
      <w:r>
        <w:rPr/>
        <w:t>月注销）总经理；</w:t>
      </w:r>
      <w:r>
        <w:rPr>
          <w:rFonts w:ascii="Times New Roman" w:hAnsi="Times New Roman" w:cs="Times New Roman" w:eastAsia="Times New Roman" w:hint="default"/>
        </w:rPr>
        <w:t>2000</w:t>
      </w:r>
      <w:r>
        <w:rPr/>
        <w:t>年至今在公司工作，历任本公司董事长兼总经理，现任 公司董事长兼总经理。</w:t>
      </w:r>
    </w:p>
    <w:p>
      <w:pPr>
        <w:pStyle w:val="BodyText"/>
        <w:spacing w:line="393" w:lineRule="auto" w:before="61"/>
        <w:ind w:right="95" w:firstLine="420"/>
        <w:jc w:val="left"/>
      </w:pPr>
      <w:r>
        <w:rPr>
          <w:spacing w:val="-1"/>
        </w:rPr>
        <w:t>付秋生先生，</w:t>
      </w:r>
      <w:r>
        <w:rPr>
          <w:rFonts w:ascii="Times New Roman" w:hAnsi="Times New Roman" w:cs="Times New Roman" w:eastAsia="Times New Roman" w:hint="default"/>
          <w:spacing w:val="-1"/>
        </w:rPr>
        <w:t>1963</w:t>
      </w:r>
      <w:r>
        <w:rPr>
          <w:spacing w:val="-1"/>
        </w:rPr>
        <w:t>年</w:t>
      </w:r>
      <w:r>
        <w:rPr>
          <w:rFonts w:ascii="Times New Roman" w:hAnsi="Times New Roman" w:cs="Times New Roman" w:eastAsia="Times New Roman" w:hint="default"/>
          <w:spacing w:val="-1"/>
        </w:rPr>
        <w:t>11</w:t>
      </w:r>
      <w:r>
        <w:rPr>
          <w:spacing w:val="-1"/>
        </w:rPr>
        <w:t>月出生，研究生学历，高级工程师。</w:t>
      </w:r>
      <w:r>
        <w:rPr>
          <w:rFonts w:ascii="Times New Roman" w:hAnsi="Times New Roman" w:cs="Times New Roman" w:eastAsia="Times New Roman" w:hint="default"/>
          <w:spacing w:val="-1"/>
        </w:rPr>
        <w:t>1985</w:t>
      </w:r>
      <w:r>
        <w:rPr>
          <w:spacing w:val="-1"/>
        </w:rPr>
        <w:t>年毕业于上海理工大学计算机应用专</w:t>
      </w:r>
      <w:r>
        <w:rPr/>
        <w:t> 业，获学士学位；</w:t>
      </w:r>
      <w:r>
        <w:rPr>
          <w:rFonts w:ascii="Times New Roman" w:hAnsi="Times New Roman" w:cs="Times New Roman" w:eastAsia="Times New Roman" w:hint="default"/>
        </w:rPr>
        <w:t>1988</w:t>
      </w:r>
      <w:r>
        <w:rPr/>
        <w:t>年毕业于上海理工大学计算机控制专业，获硕士学位。</w:t>
      </w:r>
      <w:r>
        <w:rPr>
          <w:rFonts w:ascii="Times New Roman" w:hAnsi="Times New Roman" w:cs="Times New Roman" w:eastAsia="Times New Roman" w:hint="default"/>
        </w:rPr>
        <w:t>1988</w:t>
      </w:r>
      <w:r>
        <w:rPr/>
        <w:t>年</w:t>
      </w:r>
      <w:r>
        <w:rPr>
          <w:rFonts w:ascii="Times New Roman" w:hAnsi="Times New Roman" w:cs="Times New Roman" w:eastAsia="Times New Roman" w:hint="default"/>
        </w:rPr>
        <w:t>5</w:t>
      </w:r>
      <w:r>
        <w:rPr/>
        <w:t>月参加工作，在郑 </w:t>
      </w:r>
      <w:r>
        <w:rPr>
          <w:spacing w:val="-1"/>
        </w:rPr>
        <w:t>州工学院计算机自动化系任教；</w:t>
      </w:r>
      <w:r>
        <w:rPr>
          <w:rFonts w:ascii="Times New Roman" w:hAnsi="Times New Roman" w:cs="Times New Roman" w:eastAsia="Times New Roman" w:hint="default"/>
          <w:spacing w:val="-1"/>
        </w:rPr>
        <w:t>1996</w:t>
      </w:r>
      <w:r>
        <w:rPr>
          <w:spacing w:val="-1"/>
        </w:rPr>
        <w:t>年任河南省计算技术研究所所长助理；</w:t>
      </w:r>
      <w:r>
        <w:rPr>
          <w:rFonts w:ascii="Times New Roman" w:hAnsi="Times New Roman" w:cs="Times New Roman" w:eastAsia="Times New Roman" w:hint="default"/>
          <w:spacing w:val="-1"/>
        </w:rPr>
        <w:t>1998</w:t>
      </w:r>
      <w:r>
        <w:rPr>
          <w:spacing w:val="-1"/>
        </w:rPr>
        <w:t>年进入河南思达高科技股</w:t>
      </w:r>
      <w:r>
        <w:rPr>
          <w:spacing w:val="-84"/>
        </w:rPr>
        <w:t> </w:t>
      </w:r>
      <w:r>
        <w:rPr>
          <w:spacing w:val="-84"/>
        </w:rPr>
      </w:r>
      <w:r>
        <w:rPr>
          <w:spacing w:val="-1"/>
        </w:rPr>
        <w:t>份有限公司，历任系统集成分公司经理，副总经理、总经理；</w:t>
      </w:r>
      <w:r>
        <w:rPr>
          <w:rFonts w:ascii="Times New Roman" w:hAnsi="Times New Roman" w:cs="Times New Roman" w:eastAsia="Times New Roman" w:hint="default"/>
          <w:spacing w:val="-1"/>
        </w:rPr>
        <w:t>2003</w:t>
      </w:r>
      <w:r>
        <w:rPr>
          <w:spacing w:val="-1"/>
        </w:rPr>
        <w:t>年任河南思达科技发展股份有限公司副</w:t>
      </w:r>
      <w:r>
        <w:rPr>
          <w:spacing w:val="-83"/>
        </w:rPr>
        <w:t> </w:t>
      </w:r>
      <w:r>
        <w:rPr>
          <w:spacing w:val="-83"/>
        </w:rPr>
      </w:r>
      <w:r>
        <w:rPr>
          <w:spacing w:val="-1"/>
        </w:rPr>
        <w:t>总裁；</w:t>
      </w:r>
      <w:r>
        <w:rPr>
          <w:rFonts w:ascii="Times New Roman" w:hAnsi="Times New Roman" w:cs="Times New Roman" w:eastAsia="Times New Roman" w:hint="default"/>
          <w:spacing w:val="-1"/>
        </w:rPr>
        <w:t>2006</w:t>
      </w:r>
      <w:r>
        <w:rPr>
          <w:spacing w:val="-1"/>
        </w:rPr>
        <w:t>年至今在公司工作，历任本公司董事、副总经理，现任公司董事、常务副总经理，系公司核心</w:t>
      </w:r>
      <w:r>
        <w:rPr>
          <w:spacing w:val="-83"/>
        </w:rPr>
        <w:t> </w:t>
      </w:r>
      <w:r>
        <w:rPr>
          <w:spacing w:val="-83"/>
        </w:rPr>
      </w:r>
      <w:r>
        <w:rPr>
          <w:spacing w:val="-1"/>
        </w:rPr>
        <w:t>技术人员，主要负责公司研发、生产、客服和营销等部门及业务的管理和协调，以及公司产品战略规划和</w:t>
      </w:r>
      <w:r>
        <w:rPr>
          <w:spacing w:val="-82"/>
        </w:rPr>
        <w:t> </w:t>
      </w:r>
      <w:r>
        <w:rPr>
          <w:spacing w:val="-82"/>
        </w:rPr>
      </w:r>
      <w:r>
        <w:rPr>
          <w:spacing w:val="-1"/>
        </w:rPr>
        <w:t>重要产品评审决策。曾主持开发新开普一卡通管理系统、智能集中电控系统、预付费电能表等产品，负责</w:t>
      </w:r>
      <w:r>
        <w:rPr>
          <w:spacing w:val="-82"/>
        </w:rPr>
        <w:t> </w:t>
      </w:r>
      <w:r>
        <w:rPr>
          <w:spacing w:val="-82"/>
        </w:rPr>
      </w:r>
      <w:r>
        <w:rPr>
          <w:spacing w:val="-1"/>
        </w:rPr>
        <w:t>设计和实施的《河南省高级法院办公自动化系统》、《罗山县化肥厂氢氮比自动控制系统》曾获河南省科</w:t>
      </w:r>
      <w:r>
        <w:rPr>
          <w:spacing w:val="-83"/>
        </w:rPr>
        <w:t> </w:t>
      </w:r>
      <w:r>
        <w:rPr>
          <w:spacing w:val="-83"/>
        </w:rPr>
      </w:r>
      <w:r>
        <w:rPr/>
        <w:t>技进步三等奖。</w:t>
      </w:r>
    </w:p>
    <w:p>
      <w:pPr>
        <w:pStyle w:val="BodyText"/>
        <w:spacing w:line="386" w:lineRule="auto" w:before="59"/>
        <w:ind w:right="95" w:firstLine="420"/>
        <w:jc w:val="left"/>
      </w:pPr>
      <w:r>
        <w:rPr>
          <w:spacing w:val="-5"/>
        </w:rPr>
        <w:t>尚卫国先生，男，</w:t>
      </w:r>
      <w:r>
        <w:rPr>
          <w:rFonts w:ascii="Times New Roman" w:hAnsi="Times New Roman" w:cs="Times New Roman" w:eastAsia="Times New Roman" w:hint="default"/>
          <w:spacing w:val="-5"/>
        </w:rPr>
        <w:t>1963</w:t>
      </w:r>
      <w:r>
        <w:rPr>
          <w:spacing w:val="-5"/>
        </w:rPr>
        <w:t>年</w:t>
      </w:r>
      <w:r>
        <w:rPr>
          <w:rFonts w:ascii="Times New Roman" w:hAnsi="Times New Roman" w:cs="Times New Roman" w:eastAsia="Times New Roman" w:hint="default"/>
          <w:spacing w:val="-5"/>
        </w:rPr>
        <w:t>10</w:t>
      </w:r>
      <w:r>
        <w:rPr>
          <w:spacing w:val="-5"/>
        </w:rPr>
        <w:t>月出生，专科学历，工程师。</w:t>
      </w:r>
      <w:r>
        <w:rPr>
          <w:rFonts w:ascii="Times New Roman" w:hAnsi="Times New Roman" w:cs="Times New Roman" w:eastAsia="Times New Roman" w:hint="default"/>
          <w:spacing w:val="-5"/>
        </w:rPr>
        <w:t>1983</w:t>
      </w:r>
      <w:r>
        <w:rPr>
          <w:spacing w:val="-5"/>
        </w:rPr>
        <w:t>年毕业于河南省公安高等专科学校；</w:t>
      </w:r>
      <w:r>
        <w:rPr>
          <w:rFonts w:ascii="Times New Roman" w:hAnsi="Times New Roman" w:cs="Times New Roman" w:eastAsia="Times New Roman" w:hint="default"/>
          <w:spacing w:val="-5"/>
        </w:rPr>
        <w:t>1984</w:t>
      </w:r>
      <w:r>
        <w:rPr>
          <w:rFonts w:ascii="Times New Roman" w:hAnsi="Times New Roman" w:cs="Times New Roman" w:eastAsia="Times New Roman" w:hint="default"/>
        </w:rPr>
        <w:t> </w:t>
      </w:r>
      <w:r>
        <w:rPr/>
        <w:t>年至</w:t>
      </w:r>
      <w:r>
        <w:rPr>
          <w:rFonts w:ascii="Times New Roman" w:hAnsi="Times New Roman" w:cs="Times New Roman" w:eastAsia="Times New Roman" w:hint="default"/>
        </w:rPr>
        <w:t>1986</w:t>
      </w:r>
      <w:r>
        <w:rPr/>
        <w:t>年在郑州大学法律系学习。</w:t>
      </w:r>
      <w:r>
        <w:rPr>
          <w:rFonts w:ascii="Times New Roman" w:hAnsi="Times New Roman" w:cs="Times New Roman" w:eastAsia="Times New Roman" w:hint="default"/>
        </w:rPr>
        <w:t>1983</w:t>
      </w:r>
      <w:r>
        <w:rPr/>
        <w:t>年至</w:t>
      </w:r>
      <w:r>
        <w:rPr>
          <w:rFonts w:ascii="Times New Roman" w:hAnsi="Times New Roman" w:cs="Times New Roman" w:eastAsia="Times New Roman" w:hint="default"/>
        </w:rPr>
        <w:t>1995</w:t>
      </w:r>
      <w:r>
        <w:rPr/>
        <w:t>年，任郑州工学院机关干部；</w:t>
      </w:r>
      <w:r>
        <w:rPr>
          <w:rFonts w:ascii="Times New Roman" w:hAnsi="Times New Roman" w:cs="Times New Roman" w:eastAsia="Times New Roman" w:hint="default"/>
        </w:rPr>
        <w:t>1995</w:t>
      </w:r>
      <w:r>
        <w:rPr/>
        <w:t>年至</w:t>
      </w:r>
      <w:r>
        <w:rPr>
          <w:rFonts w:ascii="Times New Roman" w:hAnsi="Times New Roman" w:cs="Times New Roman" w:eastAsia="Times New Roman" w:hint="default"/>
        </w:rPr>
        <w:t>2000</w:t>
      </w:r>
      <w:r>
        <w:rPr/>
        <w:t>年任郑州工 </w:t>
      </w:r>
      <w:r>
        <w:rPr>
          <w:spacing w:val="-3"/>
        </w:rPr>
        <w:t>学院开普电子技术公司管理部经理；</w:t>
      </w:r>
      <w:r>
        <w:rPr>
          <w:rFonts w:ascii="Times New Roman" w:hAnsi="Times New Roman" w:cs="Times New Roman" w:eastAsia="Times New Roman" w:hint="default"/>
          <w:spacing w:val="-3"/>
        </w:rPr>
        <w:t>2000</w:t>
      </w:r>
      <w:r>
        <w:rPr>
          <w:spacing w:val="-3"/>
        </w:rPr>
        <w:t>年至今在公司工作，历任本公司董事、副总经理，现任公司董事、</w:t>
      </w:r>
      <w:r>
        <w:rPr>
          <w:spacing w:val="-91"/>
        </w:rPr>
        <w:t> </w:t>
      </w:r>
      <w:r>
        <w:rPr>
          <w:spacing w:val="-91"/>
        </w:rPr>
      </w:r>
      <w:r>
        <w:rPr/>
        <w:t>副总经理。</w:t>
      </w:r>
    </w:p>
    <w:p>
      <w:pPr>
        <w:pStyle w:val="BodyText"/>
        <w:spacing w:line="386" w:lineRule="auto" w:before="65"/>
        <w:ind w:left="153" w:right="95" w:firstLine="420"/>
        <w:jc w:val="left"/>
      </w:pPr>
      <w:r>
        <w:rPr/>
        <w:t>赵利宾先生，男，</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5</w:t>
      </w:r>
      <w:r>
        <w:rPr/>
        <w:t>月出生，专科学历，会计师。</w:t>
      </w:r>
      <w:r>
        <w:rPr>
          <w:rFonts w:ascii="Times New Roman" w:hAnsi="Times New Roman" w:cs="Times New Roman" w:eastAsia="Times New Roman" w:hint="default"/>
        </w:rPr>
        <w:t>1985</w:t>
      </w:r>
      <w:r>
        <w:rPr/>
        <w:t>年至</w:t>
      </w:r>
      <w:r>
        <w:rPr>
          <w:rFonts w:ascii="Times New Roman" w:hAnsi="Times New Roman" w:cs="Times New Roman" w:eastAsia="Times New Roman" w:hint="default"/>
        </w:rPr>
        <w:t>1987</w:t>
      </w:r>
      <w:r>
        <w:rPr/>
        <w:t>年在重庆石油专科学校学习会 </w:t>
      </w:r>
      <w:r>
        <w:rPr>
          <w:spacing w:val="-1"/>
        </w:rPr>
        <w:t>计学专业；</w:t>
      </w:r>
      <w:r>
        <w:rPr>
          <w:rFonts w:ascii="Times New Roman" w:hAnsi="Times New Roman" w:cs="Times New Roman" w:eastAsia="Times New Roman" w:hint="default"/>
          <w:spacing w:val="-1"/>
        </w:rPr>
        <w:t>1994</w:t>
      </w:r>
      <w:r>
        <w:rPr>
          <w:spacing w:val="-1"/>
        </w:rPr>
        <w:t>年毕业于河南财经学院财务会计专业，专科学历。</w:t>
      </w:r>
      <w:r>
        <w:rPr>
          <w:rFonts w:ascii="Times New Roman" w:hAnsi="Times New Roman" w:cs="Times New Roman" w:eastAsia="Times New Roman" w:hint="default"/>
          <w:spacing w:val="-1"/>
        </w:rPr>
        <w:t>1987</w:t>
      </w:r>
      <w:r>
        <w:rPr>
          <w:spacing w:val="-1"/>
        </w:rPr>
        <w:t>年至</w:t>
      </w:r>
      <w:r>
        <w:rPr>
          <w:rFonts w:ascii="Times New Roman" w:hAnsi="Times New Roman" w:cs="Times New Roman" w:eastAsia="Times New Roman" w:hint="default"/>
          <w:spacing w:val="-1"/>
        </w:rPr>
        <w:t>1990</w:t>
      </w:r>
      <w:r>
        <w:rPr>
          <w:spacing w:val="-1"/>
        </w:rPr>
        <w:t>年，任中原油田钻井四公</w:t>
      </w:r>
      <w:r>
        <w:rPr>
          <w:spacing w:val="-84"/>
        </w:rPr>
        <w:t> </w:t>
      </w:r>
      <w:r>
        <w:rPr>
          <w:spacing w:val="-84"/>
        </w:rPr>
      </w:r>
      <w:r>
        <w:rPr>
          <w:spacing w:val="-1"/>
        </w:rPr>
        <w:t>司财务科会计；</w:t>
      </w:r>
      <w:r>
        <w:rPr>
          <w:rFonts w:ascii="Times New Roman" w:hAnsi="Times New Roman" w:cs="Times New Roman" w:eastAsia="Times New Roman" w:hint="default"/>
          <w:spacing w:val="-1"/>
        </w:rPr>
        <w:t>1990</w:t>
      </w:r>
      <w:r>
        <w:rPr>
          <w:spacing w:val="-1"/>
        </w:rPr>
        <w:t>年至</w:t>
      </w:r>
      <w:r>
        <w:rPr>
          <w:rFonts w:ascii="Times New Roman" w:hAnsi="Times New Roman" w:cs="Times New Roman" w:eastAsia="Times New Roman" w:hint="default"/>
          <w:spacing w:val="-1"/>
        </w:rPr>
        <w:t>1994</w:t>
      </w:r>
      <w:r>
        <w:rPr>
          <w:spacing w:val="-1"/>
        </w:rPr>
        <w:t>年，在郑州工学院财务处工作；</w:t>
      </w:r>
      <w:r>
        <w:rPr>
          <w:rFonts w:ascii="Times New Roman" w:hAnsi="Times New Roman" w:cs="Times New Roman" w:eastAsia="Times New Roman" w:hint="default"/>
          <w:spacing w:val="-1"/>
        </w:rPr>
        <w:t>1994</w:t>
      </w:r>
      <w:r>
        <w:rPr>
          <w:spacing w:val="-1"/>
        </w:rPr>
        <w:t>年至</w:t>
      </w:r>
      <w:r>
        <w:rPr>
          <w:rFonts w:ascii="Times New Roman" w:hAnsi="Times New Roman" w:cs="Times New Roman" w:eastAsia="Times New Roman" w:hint="default"/>
          <w:spacing w:val="-1"/>
        </w:rPr>
        <w:t>1997</w:t>
      </w:r>
      <w:r>
        <w:rPr>
          <w:spacing w:val="-1"/>
        </w:rPr>
        <w:t>年任郑州工学院开普电子技术</w:t>
      </w:r>
      <w:r>
        <w:rPr>
          <w:spacing w:val="-86"/>
        </w:rPr>
        <w:t> </w:t>
      </w:r>
      <w:r>
        <w:rPr>
          <w:spacing w:val="-86"/>
        </w:rPr>
      </w:r>
      <w:r>
        <w:rPr/>
        <w:t>公司财务经理；</w:t>
      </w:r>
      <w:r>
        <w:rPr>
          <w:rFonts w:ascii="Times New Roman" w:hAnsi="Times New Roman" w:cs="Times New Roman" w:eastAsia="Times New Roman" w:hint="default"/>
        </w:rPr>
        <w:t>2000</w:t>
      </w:r>
      <w:r>
        <w:rPr/>
        <w:t>年至今在本公司工作，历任本公司董事、副总经理，现任公司董事、副总经理。</w:t>
      </w:r>
    </w:p>
    <w:p>
      <w:pPr>
        <w:pStyle w:val="BodyText"/>
        <w:spacing w:line="386" w:lineRule="auto" w:before="35"/>
        <w:ind w:left="153" w:right="95" w:firstLine="420"/>
        <w:jc w:val="left"/>
      </w:pPr>
      <w:r>
        <w:rPr/>
        <w:t>罗会军先生，男，</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4</w:t>
      </w:r>
      <w:r>
        <w:rPr/>
        <w:t>月出生，研究生学历，中华全国青年联合会委员、河南省青年联合会副主 </w:t>
      </w:r>
      <w:r>
        <w:rPr>
          <w:spacing w:val="-1"/>
        </w:rPr>
        <w:t>席。</w:t>
      </w:r>
      <w:r>
        <w:rPr>
          <w:rFonts w:ascii="Times New Roman" w:hAnsi="Times New Roman" w:cs="Times New Roman" w:eastAsia="Times New Roman" w:hint="default"/>
          <w:spacing w:val="-1"/>
        </w:rPr>
        <w:t>1995</w:t>
      </w:r>
      <w:r>
        <w:rPr>
          <w:spacing w:val="-1"/>
        </w:rPr>
        <w:t>年毕业于郑州大学法律系，获法学学士学位；</w:t>
      </w:r>
      <w:r>
        <w:rPr>
          <w:rFonts w:ascii="Times New Roman" w:hAnsi="Times New Roman" w:cs="Times New Roman" w:eastAsia="Times New Roman" w:hint="default"/>
          <w:spacing w:val="-1"/>
        </w:rPr>
        <w:t>2004</w:t>
      </w:r>
      <w:r>
        <w:rPr>
          <w:spacing w:val="-1"/>
        </w:rPr>
        <w:t>年毕业于郑州大学商学院，获工商管理硕士学</w:t>
      </w:r>
    </w:p>
    <w:p>
      <w:pPr>
        <w:spacing w:after="0" w:line="386"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386" w:lineRule="auto" w:before="35"/>
        <w:ind w:left="153" w:right="95"/>
        <w:jc w:val="left"/>
      </w:pPr>
      <w:r>
        <w:rPr/>
        <w:t>位；</w:t>
      </w:r>
      <w:r>
        <w:rPr>
          <w:rFonts w:ascii="Times New Roman" w:hAnsi="Times New Roman" w:cs="Times New Roman" w:eastAsia="Times New Roman" w:hint="default"/>
        </w:rPr>
        <w:t>2011</w:t>
      </w:r>
      <w:r>
        <w:rPr/>
        <w:t>年毕业于长江商学院，获高级管理人员工商管理硕士学位；现就读于武汉大学经济与管理学院管 </w:t>
      </w:r>
      <w:r>
        <w:rPr>
          <w:spacing w:val="-3"/>
        </w:rPr>
        <w:t>理科学与工程专业，攻读博士学位。</w:t>
      </w:r>
      <w:r>
        <w:rPr>
          <w:rFonts w:ascii="Times New Roman" w:hAnsi="Times New Roman" w:cs="Times New Roman" w:eastAsia="Times New Roman" w:hint="default"/>
          <w:spacing w:val="-3"/>
        </w:rPr>
        <w:t>1995</w:t>
      </w:r>
      <w:r>
        <w:rPr>
          <w:spacing w:val="-3"/>
        </w:rPr>
        <w:t>年至</w:t>
      </w:r>
      <w:r>
        <w:rPr>
          <w:rFonts w:ascii="Times New Roman" w:hAnsi="Times New Roman" w:cs="Times New Roman" w:eastAsia="Times New Roman" w:hint="default"/>
          <w:spacing w:val="-3"/>
        </w:rPr>
        <w:t>1998</w:t>
      </w:r>
      <w:r>
        <w:rPr>
          <w:spacing w:val="-3"/>
        </w:rPr>
        <w:t>年，就职于北京新大地生物制品有限公司，任业务经理；</w:t>
      </w:r>
      <w:r>
        <w:rPr>
          <w:spacing w:val="-88"/>
        </w:rPr>
        <w:t> </w:t>
      </w:r>
      <w:r>
        <w:rPr>
          <w:spacing w:val="-88"/>
        </w:rPr>
      </w:r>
      <w:r>
        <w:rPr>
          <w:rFonts w:ascii="Times New Roman" w:hAnsi="Times New Roman" w:cs="Times New Roman" w:eastAsia="Times New Roman" w:hint="default"/>
        </w:rPr>
        <w:t>1998</w:t>
      </w:r>
      <w:r>
        <w:rPr/>
        <w:t>年至</w:t>
      </w:r>
      <w:r>
        <w:rPr>
          <w:rFonts w:ascii="Times New Roman" w:hAnsi="Times New Roman" w:cs="Times New Roman" w:eastAsia="Times New Roman" w:hint="default"/>
        </w:rPr>
        <w:t>2002</w:t>
      </w:r>
      <w:r>
        <w:rPr/>
        <w:t>年就职于吉林抚松制药股份有限公司，任业务经理；自</w:t>
      </w:r>
      <w:r>
        <w:rPr>
          <w:rFonts w:ascii="Times New Roman" w:hAnsi="Times New Roman" w:cs="Times New Roman" w:eastAsia="Times New Roman" w:hint="default"/>
        </w:rPr>
        <w:t>2003</w:t>
      </w:r>
      <w:r>
        <w:rPr/>
        <w:t>年起至今任黑龙江福瑞堂医药有 限公司董事长、郑州福瑞堂制药有限公司董事长、北京福瑞堂投资有限公司执行董事，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月起担任 本公司董事。</w:t>
      </w:r>
    </w:p>
    <w:p>
      <w:pPr>
        <w:pStyle w:val="BodyText"/>
        <w:spacing w:line="386" w:lineRule="auto" w:before="65"/>
        <w:ind w:left="153" w:right="211" w:firstLine="420"/>
        <w:jc w:val="both"/>
      </w:pPr>
      <w:r>
        <w:rPr/>
        <w:t>王世卿先生</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男，</w:t>
      </w:r>
      <w:r>
        <w:rPr>
          <w:rFonts w:ascii="Times New Roman" w:hAnsi="Times New Roman" w:cs="Times New Roman" w:eastAsia="Times New Roman" w:hint="default"/>
        </w:rPr>
        <w:t>1951</w:t>
      </w:r>
      <w:r>
        <w:rPr/>
        <w:t>年</w:t>
      </w:r>
      <w:r>
        <w:rPr>
          <w:rFonts w:ascii="Times New Roman" w:hAnsi="Times New Roman" w:cs="Times New Roman" w:eastAsia="Times New Roman" w:hint="default"/>
        </w:rPr>
        <w:t>11</w:t>
      </w:r>
      <w:r>
        <w:rPr/>
        <w:t>月出生，博士、教授。</w:t>
      </w:r>
      <w:r>
        <w:rPr>
          <w:rFonts w:ascii="Times New Roman" w:hAnsi="Times New Roman" w:cs="Times New Roman" w:eastAsia="Times New Roman" w:hint="default"/>
        </w:rPr>
        <w:t>1987</w:t>
      </w:r>
      <w:r>
        <w:rPr/>
        <w:t>年至</w:t>
      </w:r>
      <w:r>
        <w:rPr>
          <w:rFonts w:ascii="Times New Roman" w:hAnsi="Times New Roman" w:cs="Times New Roman" w:eastAsia="Times New Roman" w:hint="default"/>
        </w:rPr>
        <w:t>1995</w:t>
      </w:r>
      <w:r>
        <w:rPr/>
        <w:t>年，任职于郑州大学，历任讲师、副 </w:t>
      </w:r>
      <w:r>
        <w:rPr>
          <w:spacing w:val="-1"/>
        </w:rPr>
        <w:t>教授、教授；</w:t>
      </w:r>
      <w:r>
        <w:rPr>
          <w:rFonts w:ascii="Times New Roman" w:hAnsi="Times New Roman" w:cs="Times New Roman" w:eastAsia="Times New Roman" w:hint="default"/>
          <w:spacing w:val="-1"/>
        </w:rPr>
        <w:t>1996</w:t>
      </w:r>
      <w:r>
        <w:rPr>
          <w:spacing w:val="-1"/>
        </w:rPr>
        <w:t>至</w:t>
      </w:r>
      <w:r>
        <w:rPr>
          <w:rFonts w:ascii="Times New Roman" w:hAnsi="Times New Roman" w:cs="Times New Roman" w:eastAsia="Times New Roman" w:hint="default"/>
          <w:spacing w:val="-1"/>
        </w:rPr>
        <w:t>2004</w:t>
      </w:r>
      <w:r>
        <w:rPr>
          <w:spacing w:val="-1"/>
        </w:rPr>
        <w:t>年，任郑州大学计算机系主任、信息工程学院常务副院长；</w:t>
      </w:r>
      <w:r>
        <w:rPr>
          <w:rFonts w:ascii="Times New Roman" w:hAnsi="Times New Roman" w:cs="Times New Roman" w:eastAsia="Times New Roman" w:hint="default"/>
          <w:spacing w:val="-1"/>
        </w:rPr>
        <w:t>2005</w:t>
      </w:r>
      <w:r>
        <w:rPr>
          <w:spacing w:val="-1"/>
        </w:rPr>
        <w:t>年至</w:t>
      </w:r>
      <w:r>
        <w:rPr>
          <w:rFonts w:ascii="Times New Roman" w:hAnsi="Times New Roman" w:cs="Times New Roman" w:eastAsia="Times New Roman" w:hint="default"/>
          <w:spacing w:val="-1"/>
        </w:rPr>
        <w:t>2008</w:t>
      </w:r>
      <w:r>
        <w:rPr>
          <w:spacing w:val="-1"/>
        </w:rPr>
        <w:t>年，任</w:t>
      </w:r>
      <w:r>
        <w:rPr>
          <w:spacing w:val="-86"/>
        </w:rPr>
        <w:t> </w:t>
      </w:r>
      <w:r>
        <w:rPr>
          <w:spacing w:val="-86"/>
        </w:rPr>
      </w:r>
      <w:r>
        <w:rPr/>
        <w:t>郑州大学软件学院院长；现已被延聘为郑州大学教授、博士研究生导师，现任公司独立董事。</w:t>
      </w:r>
    </w:p>
    <w:p>
      <w:pPr>
        <w:pStyle w:val="BodyText"/>
        <w:spacing w:line="386" w:lineRule="auto" w:before="65"/>
        <w:ind w:left="153" w:right="95" w:firstLine="420"/>
        <w:jc w:val="left"/>
      </w:pPr>
      <w:r>
        <w:rPr/>
        <w:t>祝田山先生，男，</w:t>
      </w:r>
      <w:r>
        <w:rPr>
          <w:rFonts w:ascii="Times New Roman" w:hAnsi="Times New Roman" w:cs="Times New Roman" w:eastAsia="Times New Roman" w:hint="default"/>
        </w:rPr>
        <w:t>1962</w:t>
      </w:r>
      <w:r>
        <w:rPr/>
        <w:t>年出生，本科学历，高级会计师，注册会计师。</w:t>
      </w:r>
      <w:r>
        <w:rPr>
          <w:rFonts w:ascii="Times New Roman" w:hAnsi="Times New Roman" w:cs="Times New Roman" w:eastAsia="Times New Roman" w:hint="default"/>
        </w:rPr>
        <w:t>1983</w:t>
      </w:r>
      <w:r>
        <w:rPr/>
        <w:t>年至</w:t>
      </w:r>
      <w:r>
        <w:rPr>
          <w:rFonts w:ascii="Times New Roman" w:hAnsi="Times New Roman" w:cs="Times New Roman" w:eastAsia="Times New Roman" w:hint="default"/>
        </w:rPr>
        <w:t>1993</w:t>
      </w:r>
      <w:r>
        <w:rPr/>
        <w:t>年，在河南财政 </w:t>
      </w:r>
      <w:r>
        <w:rPr>
          <w:spacing w:val="-5"/>
        </w:rPr>
        <w:t>科学研究所任职；</w:t>
      </w:r>
      <w:r>
        <w:rPr>
          <w:rFonts w:ascii="Times New Roman" w:hAnsi="Times New Roman" w:cs="Times New Roman" w:eastAsia="Times New Roman" w:hint="default"/>
          <w:spacing w:val="-5"/>
        </w:rPr>
        <w:t>1993</w:t>
      </w:r>
      <w:r>
        <w:rPr>
          <w:spacing w:val="-5"/>
        </w:rPr>
        <w:t>年至</w:t>
      </w:r>
      <w:r>
        <w:rPr>
          <w:rFonts w:ascii="Times New Roman" w:hAnsi="Times New Roman" w:cs="Times New Roman" w:eastAsia="Times New Roman" w:hint="default"/>
          <w:spacing w:val="-5"/>
        </w:rPr>
        <w:t>1997</w:t>
      </w:r>
      <w:r>
        <w:rPr>
          <w:spacing w:val="-5"/>
        </w:rPr>
        <w:t>年，任亚太会计集团副总经理、首席会计师兼亚太会计师事务所所长；</w:t>
      </w:r>
      <w:r>
        <w:rPr>
          <w:rFonts w:ascii="Times New Roman" w:hAnsi="Times New Roman" w:cs="Times New Roman" w:eastAsia="Times New Roman" w:hint="default"/>
          <w:spacing w:val="-5"/>
        </w:rPr>
        <w:t>1997</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t>年至</w:t>
      </w:r>
      <w:r>
        <w:rPr>
          <w:rFonts w:ascii="Times New Roman" w:hAnsi="Times New Roman" w:cs="Times New Roman" w:eastAsia="Times New Roman" w:hint="default"/>
        </w:rPr>
        <w:t>2002</w:t>
      </w:r>
      <w:r>
        <w:rPr/>
        <w:t>年，任河南莲花味精集团公司高级顾问、河南莲花味精股份有限公司董事、董事会秘书；</w:t>
      </w:r>
      <w:r>
        <w:rPr>
          <w:rFonts w:ascii="Times New Roman" w:hAnsi="Times New Roman" w:cs="Times New Roman" w:eastAsia="Times New Roman" w:hint="default"/>
        </w:rPr>
        <w:t>1990</w:t>
      </w:r>
      <w:r>
        <w:rPr/>
        <w:t>年 至</w:t>
      </w:r>
      <w:r>
        <w:rPr>
          <w:rFonts w:ascii="Times New Roman" w:hAnsi="Times New Roman" w:cs="Times New Roman" w:eastAsia="Times New Roman" w:hint="default"/>
        </w:rPr>
        <w:t>2006</w:t>
      </w:r>
      <w:r>
        <w:rPr/>
        <w:t>年，任河南省会计学会副秘书长；</w:t>
      </w:r>
      <w:r>
        <w:rPr>
          <w:rFonts w:ascii="Times New Roman" w:hAnsi="Times New Roman" w:cs="Times New Roman" w:eastAsia="Times New Roman" w:hint="default"/>
        </w:rPr>
        <w:t>2002</w:t>
      </w:r>
      <w:r>
        <w:rPr/>
        <w:t>至</w:t>
      </w:r>
      <w:r>
        <w:rPr>
          <w:rFonts w:ascii="Times New Roman" w:hAnsi="Times New Roman" w:cs="Times New Roman" w:eastAsia="Times New Roman" w:hint="default"/>
        </w:rPr>
        <w:t>2005</w:t>
      </w:r>
      <w:r>
        <w:rPr/>
        <w:t>年，任加拿大爱德生物（中国）有限公司财务总监； </w:t>
      </w:r>
      <w:r>
        <w:rPr>
          <w:rFonts w:ascii="Times New Roman" w:hAnsi="Times New Roman" w:cs="Times New Roman" w:eastAsia="Times New Roman" w:hint="default"/>
          <w:spacing w:val="-1"/>
        </w:rPr>
        <w:t>2006</w:t>
      </w:r>
      <w:r>
        <w:rPr>
          <w:spacing w:val="-1"/>
        </w:rPr>
        <w:t>年至</w:t>
      </w:r>
      <w:r>
        <w:rPr>
          <w:rFonts w:ascii="Times New Roman" w:hAnsi="Times New Roman" w:cs="Times New Roman" w:eastAsia="Times New Roman" w:hint="default"/>
          <w:spacing w:val="-1"/>
        </w:rPr>
        <w:t>2008</w:t>
      </w:r>
      <w:r>
        <w:rPr>
          <w:spacing w:val="-1"/>
        </w:rPr>
        <w:t>年，任新乡新亚纸业集团股份有限公司副总经理、财务总监；</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4</w:t>
      </w:r>
      <w:r>
        <w:rPr>
          <w:spacing w:val="-1"/>
        </w:rPr>
        <w:t>月至今任亚太（河南）</w:t>
      </w:r>
      <w:r>
        <w:rPr>
          <w:spacing w:val="-83"/>
        </w:rPr>
        <w:t> </w:t>
      </w:r>
      <w:r>
        <w:rPr>
          <w:spacing w:val="-83"/>
        </w:rPr>
      </w:r>
      <w:r>
        <w:rPr/>
        <w:t>投资咨询公司首席咨询师，现任公司独立董事，目前还担任河南金博士种业股份有限公司的独立董事。</w:t>
      </w:r>
    </w:p>
    <w:p>
      <w:pPr>
        <w:pStyle w:val="BodyText"/>
        <w:spacing w:line="386" w:lineRule="auto" w:before="65"/>
        <w:ind w:left="153" w:right="276" w:firstLine="420"/>
        <w:jc w:val="left"/>
      </w:pPr>
      <w:r>
        <w:rPr/>
        <w:t>王玉辉女士，女，</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4</w:t>
      </w:r>
      <w:r>
        <w:rPr/>
        <w:t>月出生，博士、教授。</w:t>
      </w:r>
      <w:r>
        <w:rPr>
          <w:rFonts w:ascii="Times New Roman" w:hAnsi="Times New Roman" w:cs="Times New Roman" w:eastAsia="Times New Roman" w:hint="default"/>
        </w:rPr>
        <w:t>2008</w:t>
      </w:r>
      <w:r>
        <w:rPr/>
        <w:t>年至今，任职于郑州大学；自</w:t>
      </w:r>
      <w:r>
        <w:rPr>
          <w:rFonts w:ascii="Times New Roman" w:hAnsi="Times New Roman" w:cs="Times New Roman" w:eastAsia="Times New Roman" w:hint="default"/>
        </w:rPr>
        <w:t>2008</w:t>
      </w:r>
      <w:r>
        <w:rPr/>
        <w:t>年起，担任 中国经济法学会理事。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月起，担任公司独立董事。</w:t>
      </w:r>
    </w:p>
    <w:p>
      <w:pPr>
        <w:pStyle w:val="BodyText"/>
        <w:spacing w:line="386" w:lineRule="auto" w:before="35"/>
        <w:ind w:left="153" w:right="210" w:firstLine="420"/>
        <w:jc w:val="both"/>
      </w:pPr>
      <w:r>
        <w:rPr>
          <w:spacing w:val="-1"/>
        </w:rPr>
        <w:t>张英瑶先生，男，</w:t>
      </w:r>
      <w:r>
        <w:rPr>
          <w:rFonts w:ascii="Times New Roman" w:hAnsi="Times New Roman" w:cs="Times New Roman" w:eastAsia="Times New Roman" w:hint="default"/>
          <w:spacing w:val="-1"/>
        </w:rPr>
        <w:t>1950</w:t>
      </w:r>
      <w:r>
        <w:rPr>
          <w:spacing w:val="-1"/>
        </w:rPr>
        <w:t>年</w:t>
      </w:r>
      <w:r>
        <w:rPr>
          <w:rFonts w:ascii="Times New Roman" w:hAnsi="Times New Roman" w:cs="Times New Roman" w:eastAsia="Times New Roman" w:hint="default"/>
          <w:spacing w:val="-1"/>
        </w:rPr>
        <w:t>12</w:t>
      </w:r>
      <w:r>
        <w:rPr>
          <w:spacing w:val="-1"/>
        </w:rPr>
        <w:t>月出生，本科学历，高级工程师。</w:t>
      </w:r>
      <w:r>
        <w:rPr>
          <w:rFonts w:ascii="Times New Roman" w:hAnsi="Times New Roman" w:cs="Times New Roman" w:eastAsia="Times New Roman" w:hint="default"/>
          <w:spacing w:val="-1"/>
        </w:rPr>
        <w:t>1976</w:t>
      </w:r>
      <w:r>
        <w:rPr>
          <w:spacing w:val="-1"/>
        </w:rPr>
        <w:t>年至</w:t>
      </w:r>
      <w:r>
        <w:rPr>
          <w:rFonts w:ascii="Times New Roman" w:hAnsi="Times New Roman" w:cs="Times New Roman" w:eastAsia="Times New Roman" w:hint="default"/>
          <w:spacing w:val="-1"/>
        </w:rPr>
        <w:t>1996</w:t>
      </w:r>
      <w:r>
        <w:rPr>
          <w:spacing w:val="-1"/>
        </w:rPr>
        <w:t>年，历任河南省电子公司</w:t>
      </w:r>
      <w:r>
        <w:rPr/>
        <w:t> </w:t>
      </w:r>
      <w:r>
        <w:rPr>
          <w:spacing w:val="-1"/>
        </w:rPr>
        <w:t>技术科、河南省电子工业局、河南省机电厅电子办科长、主任；</w:t>
      </w:r>
      <w:r>
        <w:rPr>
          <w:rFonts w:ascii="Times New Roman" w:hAnsi="Times New Roman" w:cs="Times New Roman" w:eastAsia="Times New Roman" w:hint="default"/>
          <w:spacing w:val="-1"/>
        </w:rPr>
        <w:t>1996</w:t>
      </w:r>
      <w:r>
        <w:rPr>
          <w:spacing w:val="-1"/>
        </w:rPr>
        <w:t>年至</w:t>
      </w:r>
      <w:r>
        <w:rPr>
          <w:rFonts w:ascii="Times New Roman" w:hAnsi="Times New Roman" w:cs="Times New Roman" w:eastAsia="Times New Roman" w:hint="default"/>
          <w:spacing w:val="-1"/>
        </w:rPr>
        <w:t>2000</w:t>
      </w:r>
      <w:r>
        <w:rPr>
          <w:spacing w:val="-1"/>
        </w:rPr>
        <w:t>年，任河南省电子局总工程</w:t>
      </w:r>
      <w:r>
        <w:rPr>
          <w:spacing w:val="-84"/>
        </w:rPr>
        <w:t> </w:t>
      </w:r>
      <w:r>
        <w:rPr>
          <w:spacing w:val="-84"/>
        </w:rPr>
      </w:r>
      <w:r>
        <w:rPr>
          <w:spacing w:val="-1"/>
        </w:rPr>
        <w:t>师；</w:t>
      </w:r>
      <w:r>
        <w:rPr>
          <w:rFonts w:ascii="Times New Roman" w:hAnsi="Times New Roman" w:cs="Times New Roman" w:eastAsia="Times New Roman" w:hint="default"/>
          <w:spacing w:val="-1"/>
        </w:rPr>
        <w:t>2000</w:t>
      </w:r>
      <w:r>
        <w:rPr>
          <w:spacing w:val="-1"/>
        </w:rPr>
        <w:t>年至</w:t>
      </w:r>
      <w:r>
        <w:rPr>
          <w:rFonts w:ascii="Times New Roman" w:hAnsi="Times New Roman" w:cs="Times New Roman" w:eastAsia="Times New Roman" w:hint="default"/>
          <w:spacing w:val="-1"/>
        </w:rPr>
        <w:t>2007</w:t>
      </w:r>
      <w:r>
        <w:rPr>
          <w:spacing w:val="-1"/>
        </w:rPr>
        <w:t>年，任河南省信息产业厅总工程师；</w:t>
      </w:r>
      <w:r>
        <w:rPr>
          <w:rFonts w:ascii="Times New Roman" w:hAnsi="Times New Roman" w:cs="Times New Roman" w:eastAsia="Times New Roman" w:hint="default"/>
          <w:spacing w:val="-1"/>
        </w:rPr>
        <w:t>2007</w:t>
      </w:r>
      <w:r>
        <w:rPr>
          <w:spacing w:val="-1"/>
        </w:rPr>
        <w:t>年至</w:t>
      </w:r>
      <w:r>
        <w:rPr>
          <w:rFonts w:ascii="Times New Roman" w:hAnsi="Times New Roman" w:cs="Times New Roman" w:eastAsia="Times New Roman" w:hint="default"/>
          <w:spacing w:val="-1"/>
        </w:rPr>
        <w:t>2009</w:t>
      </w:r>
      <w:r>
        <w:rPr>
          <w:spacing w:val="-1"/>
        </w:rPr>
        <w:t>年，任河南省工业与信息化厅总工程</w:t>
      </w:r>
      <w:r>
        <w:rPr>
          <w:spacing w:val="-85"/>
        </w:rPr>
        <w:t> </w:t>
      </w:r>
      <w:r>
        <w:rPr>
          <w:spacing w:val="-85"/>
        </w:rPr>
      </w:r>
      <w:r>
        <w:rPr/>
        <w:t>师；</w:t>
      </w:r>
      <w:r>
        <w:rPr>
          <w:rFonts w:ascii="Times New Roman" w:hAnsi="Times New Roman" w:cs="Times New Roman" w:eastAsia="Times New Roman" w:hint="default"/>
        </w:rPr>
        <w:t>2009</w:t>
      </w:r>
      <w:r>
        <w:rPr/>
        <w:t>年至今，任河南省软件协会秘书长。</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月起，担任公司独立董事。</w:t>
      </w:r>
    </w:p>
    <w:p>
      <w:pPr>
        <w:pStyle w:val="BodyText"/>
        <w:spacing w:line="408" w:lineRule="auto" w:before="35"/>
        <w:ind w:left="573" w:right="276"/>
        <w:jc w:val="left"/>
      </w:pPr>
      <w:r>
        <w:rPr/>
        <w:t>（二）监事会成员 公司监事会由</w:t>
      </w:r>
      <w:r>
        <w:rPr>
          <w:rFonts w:ascii="Times New Roman" w:hAnsi="Times New Roman" w:cs="Times New Roman" w:eastAsia="Times New Roman" w:hint="default"/>
        </w:rPr>
        <w:t>3</w:t>
      </w:r>
      <w:r>
        <w:rPr/>
        <w:t>人组成，其中职工代表监事</w:t>
      </w:r>
      <w:r>
        <w:rPr>
          <w:rFonts w:ascii="Times New Roman" w:hAnsi="Times New Roman" w:cs="Times New Roman" w:eastAsia="Times New Roman" w:hint="default"/>
        </w:rPr>
        <w:t>1</w:t>
      </w:r>
      <w:r>
        <w:rPr/>
        <w:t>人。公司第三届监事会任期至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日止，成员具</w:t>
      </w:r>
    </w:p>
    <w:p>
      <w:pPr>
        <w:pStyle w:val="BodyText"/>
        <w:spacing w:line="240" w:lineRule="auto" w:before="14"/>
        <w:ind w:right="95"/>
        <w:jc w:val="left"/>
      </w:pPr>
      <w:r>
        <w:rPr/>
        <w:t>体情况如下：</w:t>
      </w:r>
    </w:p>
    <w:p>
      <w:pPr>
        <w:spacing w:line="240" w:lineRule="auto" w:before="10"/>
        <w:rPr>
          <w:rFonts w:ascii="宋体" w:hAnsi="宋体" w:cs="宋体" w:eastAsia="宋体" w:hint="default"/>
          <w:sz w:val="14"/>
          <w:szCs w:val="14"/>
        </w:rPr>
      </w:pPr>
    </w:p>
    <w:p>
      <w:pPr>
        <w:pStyle w:val="BodyText"/>
        <w:spacing w:line="386" w:lineRule="auto" w:before="0"/>
        <w:ind w:left="153" w:right="95" w:firstLine="420"/>
        <w:jc w:val="left"/>
      </w:pPr>
      <w:r>
        <w:rPr/>
        <w:t>刘恩臣先生，男，</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2</w:t>
      </w:r>
      <w:r>
        <w:rPr/>
        <w:t>月出生，研究生学历，高级工程师。</w:t>
      </w:r>
      <w:r>
        <w:rPr>
          <w:rFonts w:ascii="Times New Roman" w:hAnsi="Times New Roman" w:cs="Times New Roman" w:eastAsia="Times New Roman" w:hint="default"/>
        </w:rPr>
        <w:t>1984</w:t>
      </w:r>
      <w:r>
        <w:rPr/>
        <w:t>年毕业于四川大学物理系半导体 专业，获学士学位；</w:t>
      </w:r>
      <w:r>
        <w:rPr>
          <w:rFonts w:ascii="Times New Roman" w:hAnsi="Times New Roman" w:cs="Times New Roman" w:eastAsia="Times New Roman" w:hint="default"/>
        </w:rPr>
        <w:t>1991</w:t>
      </w:r>
      <w:r>
        <w:rPr/>
        <w:t>年至</w:t>
      </w:r>
      <w:r>
        <w:rPr>
          <w:rFonts w:ascii="Times New Roman" w:hAnsi="Times New Roman" w:cs="Times New Roman" w:eastAsia="Times New Roman" w:hint="default"/>
        </w:rPr>
        <w:t>1992</w:t>
      </w:r>
      <w:r>
        <w:rPr/>
        <w:t>年，赴美国学习；</w:t>
      </w:r>
      <w:r>
        <w:rPr>
          <w:rFonts w:ascii="Times New Roman" w:hAnsi="Times New Roman" w:cs="Times New Roman" w:eastAsia="Times New Roman" w:hint="default"/>
        </w:rPr>
        <w:t>2014</w:t>
      </w:r>
      <w:r>
        <w:rPr/>
        <w:t>年毕业于郑州大学商学院，获高级管理人员工商 管理硕士学位。</w:t>
      </w:r>
      <w:r>
        <w:rPr>
          <w:rFonts w:ascii="Times New Roman" w:hAnsi="Times New Roman" w:cs="Times New Roman" w:eastAsia="Times New Roman" w:hint="default"/>
        </w:rPr>
        <w:t>1984</w:t>
      </w:r>
      <w:r>
        <w:rPr/>
        <w:t>年至</w:t>
      </w:r>
      <w:r>
        <w:rPr>
          <w:rFonts w:ascii="Times New Roman" w:hAnsi="Times New Roman" w:cs="Times New Roman" w:eastAsia="Times New Roman" w:hint="default"/>
        </w:rPr>
        <w:t>1991</w:t>
      </w:r>
      <w:r>
        <w:rPr/>
        <w:t>年，在郑州工学院太阳能研究室工作；</w:t>
      </w:r>
      <w:r>
        <w:rPr>
          <w:rFonts w:ascii="Times New Roman" w:hAnsi="Times New Roman" w:cs="Times New Roman" w:eastAsia="Times New Roman" w:hint="default"/>
        </w:rPr>
        <w:t>1992</w:t>
      </w:r>
      <w:r>
        <w:rPr/>
        <w:t>年至</w:t>
      </w:r>
      <w:r>
        <w:rPr>
          <w:rFonts w:ascii="Times New Roman" w:hAnsi="Times New Roman" w:cs="Times New Roman" w:eastAsia="Times New Roman" w:hint="default"/>
        </w:rPr>
        <w:t>1995</w:t>
      </w:r>
      <w:r>
        <w:rPr/>
        <w:t>年，任郑州工业大学太 </w:t>
      </w:r>
      <w:r>
        <w:rPr>
          <w:spacing w:val="-3"/>
        </w:rPr>
        <w:t>阳能研究室工程师；</w:t>
      </w:r>
      <w:r>
        <w:rPr>
          <w:rFonts w:ascii="Times New Roman" w:hAnsi="Times New Roman" w:cs="Times New Roman" w:eastAsia="Times New Roman" w:hint="default"/>
          <w:spacing w:val="-3"/>
        </w:rPr>
        <w:t>1995</w:t>
      </w:r>
      <w:r>
        <w:rPr>
          <w:spacing w:val="-3"/>
        </w:rPr>
        <w:t>年至</w:t>
      </w:r>
      <w:r>
        <w:rPr>
          <w:rFonts w:ascii="Times New Roman" w:hAnsi="Times New Roman" w:cs="Times New Roman" w:eastAsia="Times New Roman" w:hint="default"/>
          <w:spacing w:val="-3"/>
        </w:rPr>
        <w:t>2000</w:t>
      </w:r>
      <w:r>
        <w:rPr>
          <w:spacing w:val="-3"/>
        </w:rPr>
        <w:t>年任郑州工学院开普电子技术公司主任工程师；</w:t>
      </w:r>
      <w:r>
        <w:rPr>
          <w:rFonts w:ascii="Times New Roman" w:hAnsi="Times New Roman" w:cs="Times New Roman" w:eastAsia="Times New Roman" w:hint="default"/>
          <w:spacing w:val="-3"/>
        </w:rPr>
        <w:t>2000</w:t>
      </w:r>
      <w:r>
        <w:rPr>
          <w:spacing w:val="-3"/>
        </w:rPr>
        <w:t>年至今在公司工作，</w:t>
      </w:r>
      <w:r>
        <w:rPr>
          <w:spacing w:val="-82"/>
        </w:rPr>
        <w:t> </w:t>
      </w:r>
      <w:r>
        <w:rPr>
          <w:spacing w:val="-82"/>
        </w:rPr>
      </w:r>
      <w:r>
        <w:rPr/>
        <w:t>现任公司监事会主席，系公司核心技术人员。</w:t>
      </w:r>
    </w:p>
    <w:p>
      <w:pPr>
        <w:pStyle w:val="BodyText"/>
        <w:spacing w:line="386" w:lineRule="auto" w:before="65"/>
        <w:ind w:right="95" w:firstLine="419"/>
        <w:jc w:val="left"/>
      </w:pPr>
      <w:r>
        <w:rPr>
          <w:spacing w:val="-1"/>
        </w:rPr>
        <w:t>王葆玲女士，女，</w:t>
      </w:r>
      <w:r>
        <w:rPr>
          <w:rFonts w:ascii="Times New Roman" w:hAnsi="Times New Roman" w:cs="Times New Roman" w:eastAsia="Times New Roman" w:hint="default"/>
          <w:spacing w:val="-1"/>
        </w:rPr>
        <w:t>1971</w:t>
      </w:r>
      <w:r>
        <w:rPr>
          <w:spacing w:val="-1"/>
        </w:rPr>
        <w:t>年</w:t>
      </w:r>
      <w:r>
        <w:rPr>
          <w:rFonts w:ascii="Times New Roman" w:hAnsi="Times New Roman" w:cs="Times New Roman" w:eastAsia="Times New Roman" w:hint="default"/>
          <w:spacing w:val="-1"/>
        </w:rPr>
        <w:t>5</w:t>
      </w:r>
      <w:r>
        <w:rPr>
          <w:spacing w:val="-1"/>
        </w:rPr>
        <w:t>月出生，专科学历。</w:t>
      </w:r>
      <w:r>
        <w:rPr>
          <w:rFonts w:ascii="Times New Roman" w:hAnsi="Times New Roman" w:cs="Times New Roman" w:eastAsia="Times New Roman" w:hint="default"/>
          <w:spacing w:val="-1"/>
        </w:rPr>
        <w:t>1995</w:t>
      </w:r>
      <w:r>
        <w:rPr>
          <w:spacing w:val="-1"/>
        </w:rPr>
        <w:t>年</w:t>
      </w:r>
      <w:r>
        <w:rPr>
          <w:rFonts w:ascii="Times New Roman" w:hAnsi="Times New Roman" w:cs="Times New Roman" w:eastAsia="Times New Roman" w:hint="default"/>
          <w:spacing w:val="-1"/>
        </w:rPr>
        <w:t>7</w:t>
      </w:r>
      <w:r>
        <w:rPr>
          <w:spacing w:val="-1"/>
        </w:rPr>
        <w:t>月毕业于河南财经学院会计专业。</w:t>
      </w:r>
      <w:r>
        <w:rPr>
          <w:rFonts w:ascii="Times New Roman" w:hAnsi="Times New Roman" w:cs="Times New Roman" w:eastAsia="Times New Roman" w:hint="default"/>
          <w:spacing w:val="-1"/>
        </w:rPr>
        <w:t>1995</w:t>
      </w:r>
      <w:r>
        <w:rPr>
          <w:spacing w:val="-1"/>
        </w:rPr>
        <w:t>至</w:t>
      </w:r>
      <w:r>
        <w:rPr>
          <w:rFonts w:ascii="Times New Roman" w:hAnsi="Times New Roman" w:cs="Times New Roman" w:eastAsia="Times New Roman" w:hint="default"/>
          <w:spacing w:val="-1"/>
        </w:rPr>
        <w:t>2000</w:t>
      </w:r>
      <w:r>
        <w:rPr>
          <w:rFonts w:ascii="Times New Roman" w:hAnsi="Times New Roman" w:cs="Times New Roman" w:eastAsia="Times New Roman" w:hint="default"/>
        </w:rPr>
        <w:t> </w:t>
      </w:r>
      <w:r>
        <w:rPr>
          <w:spacing w:val="-1"/>
        </w:rPr>
        <w:t>年在郑州工学院开普电子技术公司工作，历任银行出纳、会计、主管会计。</w:t>
      </w:r>
      <w:r>
        <w:rPr>
          <w:rFonts w:ascii="Times New Roman" w:hAnsi="Times New Roman" w:cs="Times New Roman" w:eastAsia="Times New Roman" w:hint="default"/>
          <w:spacing w:val="-1"/>
        </w:rPr>
        <w:t>2000</w:t>
      </w:r>
      <w:r>
        <w:rPr>
          <w:spacing w:val="-1"/>
        </w:rPr>
        <w:t>年至今在本公司工作，历</w:t>
      </w:r>
    </w:p>
    <w:p>
      <w:pPr>
        <w:spacing w:after="0" w:line="386" w:lineRule="auto"/>
        <w:jc w:val="left"/>
        <w:sectPr>
          <w:footerReference w:type="default" r:id="rId40"/>
          <w:pgSz w:w="11910" w:h="16840"/>
          <w:pgMar w:footer="982" w:header="877" w:top="1100" w:bottom="1180" w:left="980" w:right="920"/>
          <w:pgNumType w:start="111"/>
        </w:sectPr>
      </w:pPr>
    </w:p>
    <w:p>
      <w:pPr>
        <w:spacing w:line="240" w:lineRule="auto" w:before="8"/>
        <w:rPr>
          <w:rFonts w:ascii="宋体" w:hAnsi="宋体" w:cs="宋体" w:eastAsia="宋体" w:hint="default"/>
          <w:sz w:val="26"/>
          <w:szCs w:val="26"/>
        </w:rPr>
      </w:pPr>
    </w:p>
    <w:p>
      <w:pPr>
        <w:pStyle w:val="BodyText"/>
        <w:spacing w:line="408" w:lineRule="auto" w:before="35"/>
        <w:ind w:left="573" w:right="0" w:hanging="420"/>
        <w:jc w:val="left"/>
        <w:rPr>
          <w:rFonts w:ascii="Times New Roman" w:hAnsi="Times New Roman" w:cs="Times New Roman" w:eastAsia="Times New Roman" w:hint="default"/>
        </w:rPr>
      </w:pPr>
      <w:r>
        <w:rPr/>
        <w:t>任公司职工代表监事，现任公司监事、审计部经理。 </w:t>
      </w:r>
      <w:r>
        <w:rPr>
          <w:spacing w:val="-5"/>
        </w:rPr>
        <w:t>张建英女士，女，</w:t>
      </w:r>
      <w:r>
        <w:rPr>
          <w:rFonts w:ascii="Times New Roman" w:hAnsi="Times New Roman" w:cs="Times New Roman" w:eastAsia="Times New Roman" w:hint="default"/>
          <w:spacing w:val="-5"/>
        </w:rPr>
        <w:t>1975</w:t>
      </w:r>
      <w:r>
        <w:rPr>
          <w:spacing w:val="-5"/>
        </w:rPr>
        <w:t>年</w:t>
      </w:r>
      <w:r>
        <w:rPr>
          <w:rFonts w:ascii="Times New Roman" w:hAnsi="Times New Roman" w:cs="Times New Roman" w:eastAsia="Times New Roman" w:hint="default"/>
          <w:spacing w:val="-5"/>
        </w:rPr>
        <w:t>4</w:t>
      </w:r>
      <w:r>
        <w:rPr>
          <w:spacing w:val="-5"/>
        </w:rPr>
        <w:t>月出生，本科学历。</w:t>
      </w:r>
      <w:r>
        <w:rPr>
          <w:rFonts w:ascii="Times New Roman" w:hAnsi="Times New Roman" w:cs="Times New Roman" w:eastAsia="Times New Roman" w:hint="default"/>
          <w:spacing w:val="-5"/>
        </w:rPr>
        <w:t>2009</w:t>
      </w:r>
      <w:r>
        <w:rPr>
          <w:spacing w:val="-5"/>
        </w:rPr>
        <w:t>年</w:t>
      </w:r>
      <w:r>
        <w:rPr>
          <w:rFonts w:ascii="Times New Roman" w:hAnsi="Times New Roman" w:cs="Times New Roman" w:eastAsia="Times New Roman" w:hint="default"/>
          <w:spacing w:val="-5"/>
        </w:rPr>
        <w:t>7</w:t>
      </w:r>
      <w:r>
        <w:rPr>
          <w:spacing w:val="-5"/>
        </w:rPr>
        <w:t>月毕业于中央广播电视大学工商管理专业。</w:t>
      </w:r>
      <w:r>
        <w:rPr>
          <w:rFonts w:ascii="Times New Roman" w:hAnsi="Times New Roman" w:cs="Times New Roman" w:eastAsia="Times New Roman" w:hint="default"/>
          <w:spacing w:val="-5"/>
        </w:rPr>
        <w:t>2000</w:t>
      </w:r>
    </w:p>
    <w:p>
      <w:pPr>
        <w:pStyle w:val="BodyText"/>
        <w:spacing w:line="240" w:lineRule="auto" w:before="14"/>
        <w:ind w:left="153" w:right="0"/>
        <w:jc w:val="left"/>
      </w:pPr>
      <w:r>
        <w:rPr/>
        <w:t>年至今在公司工作，历任生产人员、采购员、采购主管，现任公司职工代表监事、生产制造部经理。</w:t>
      </w:r>
    </w:p>
    <w:p>
      <w:pPr>
        <w:spacing w:line="240" w:lineRule="auto" w:before="10"/>
        <w:rPr>
          <w:rFonts w:ascii="宋体" w:hAnsi="宋体" w:cs="宋体" w:eastAsia="宋体" w:hint="default"/>
          <w:sz w:val="14"/>
          <w:szCs w:val="14"/>
        </w:rPr>
      </w:pPr>
    </w:p>
    <w:p>
      <w:pPr>
        <w:pStyle w:val="BodyText"/>
        <w:spacing w:line="408" w:lineRule="auto" w:before="0"/>
        <w:ind w:left="573" w:right="5466"/>
        <w:jc w:val="left"/>
      </w:pPr>
      <w:r>
        <w:rPr/>
        <w:t>（三）高级管理人员 公司高级管理人员共</w:t>
      </w:r>
      <w:r>
        <w:rPr>
          <w:rFonts w:ascii="Times New Roman" w:hAnsi="Times New Roman" w:cs="Times New Roman" w:eastAsia="Times New Roman" w:hint="default"/>
        </w:rPr>
        <w:t>9</w:t>
      </w:r>
      <w:r>
        <w:rPr/>
        <w:t>人，具体情况如下：</w:t>
      </w:r>
    </w:p>
    <w:p>
      <w:pPr>
        <w:pStyle w:val="BodyText"/>
        <w:spacing w:line="386" w:lineRule="auto" w:before="14"/>
        <w:ind w:left="574" w:right="215"/>
        <w:jc w:val="left"/>
      </w:pPr>
      <w:r>
        <w:rPr/>
        <w:t>杨维国先生：本公司董事长、总经理，简历详见本节之</w:t>
      </w:r>
      <w:r>
        <w:rPr>
          <w:rFonts w:ascii="Times New Roman" w:hAnsi="Times New Roman" w:cs="Times New Roman" w:eastAsia="Times New Roman" w:hint="default"/>
        </w:rPr>
        <w:t>“</w:t>
      </w:r>
      <w:r>
        <w:rPr/>
        <w:t>（一）董事会成员</w:t>
      </w:r>
      <w:r>
        <w:rPr>
          <w:rFonts w:ascii="Times New Roman" w:hAnsi="Times New Roman" w:cs="Times New Roman" w:eastAsia="Times New Roman" w:hint="default"/>
        </w:rPr>
        <w:t>”</w:t>
      </w:r>
      <w:r>
        <w:rPr/>
        <w:t>。 付秋生先生：本公司董事、常务副总经理，简历详见本节之</w:t>
      </w:r>
      <w:r>
        <w:rPr>
          <w:rFonts w:ascii="Times New Roman" w:hAnsi="Times New Roman" w:cs="Times New Roman" w:eastAsia="Times New Roman" w:hint="default"/>
        </w:rPr>
        <w:t>“</w:t>
      </w:r>
      <w:r>
        <w:rPr/>
        <w:t>（一）董事会成员</w:t>
      </w:r>
      <w:r>
        <w:rPr>
          <w:rFonts w:ascii="Times New Roman" w:hAnsi="Times New Roman" w:cs="Times New Roman" w:eastAsia="Times New Roman" w:hint="default"/>
        </w:rPr>
        <w:t>”</w:t>
      </w:r>
      <w:r>
        <w:rPr/>
        <w:t>。 尚卫国先生：本公司董事、副总经理，简历详见本节之</w:t>
      </w:r>
      <w:r>
        <w:rPr>
          <w:rFonts w:ascii="Times New Roman" w:hAnsi="Times New Roman" w:cs="Times New Roman" w:eastAsia="Times New Roman" w:hint="default"/>
        </w:rPr>
        <w:t>“</w:t>
      </w:r>
      <w:r>
        <w:rPr/>
        <w:t>（一）董事会成员</w:t>
      </w:r>
      <w:r>
        <w:rPr>
          <w:rFonts w:ascii="Times New Roman" w:hAnsi="Times New Roman" w:cs="Times New Roman" w:eastAsia="Times New Roman" w:hint="default"/>
        </w:rPr>
        <w:t>”</w:t>
      </w:r>
      <w:r>
        <w:rPr/>
        <w:t>。 赵利宾先生：本公司董事、副总经理，简历详见本节之</w:t>
      </w:r>
      <w:r>
        <w:rPr>
          <w:rFonts w:ascii="Times New Roman" w:hAnsi="Times New Roman" w:cs="Times New Roman" w:eastAsia="Times New Roman" w:hint="default"/>
        </w:rPr>
        <w:t>“</w:t>
      </w:r>
      <w:r>
        <w:rPr/>
        <w:t>（一）董事会成员</w:t>
      </w:r>
      <w:r>
        <w:rPr>
          <w:rFonts w:ascii="Times New Roman" w:hAnsi="Times New Roman" w:cs="Times New Roman" w:eastAsia="Times New Roman" w:hint="default"/>
        </w:rPr>
        <w:t>”</w:t>
      </w:r>
      <w:r>
        <w:rPr/>
        <w:t>。 华梦阳先生，男，</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7</w:t>
      </w:r>
      <w:r>
        <w:rPr/>
        <w:t>月出生，大学学历。</w:t>
      </w:r>
      <w:r>
        <w:rPr>
          <w:rFonts w:ascii="Times New Roman" w:hAnsi="Times New Roman" w:cs="Times New Roman" w:eastAsia="Times New Roman" w:hint="default"/>
        </w:rPr>
        <w:t>1992</w:t>
      </w:r>
      <w:r>
        <w:rPr/>
        <w:t>年毕业于郑州工学院计算机与自动化系。</w:t>
      </w:r>
      <w:r>
        <w:rPr>
          <w:rFonts w:ascii="Times New Roman" w:hAnsi="Times New Roman" w:cs="Times New Roman" w:eastAsia="Times New Roman" w:hint="default"/>
        </w:rPr>
        <w:t>1992</w:t>
      </w:r>
      <w:r>
        <w:rPr/>
        <w:t>年</w:t>
      </w:r>
    </w:p>
    <w:p>
      <w:pPr>
        <w:pStyle w:val="BodyText"/>
        <w:spacing w:line="386" w:lineRule="auto" w:before="35"/>
        <w:ind w:right="0"/>
        <w:jc w:val="left"/>
      </w:pPr>
      <w:r>
        <w:rPr>
          <w:spacing w:val="-1"/>
        </w:rPr>
        <w:t>至</w:t>
      </w:r>
      <w:r>
        <w:rPr>
          <w:rFonts w:ascii="Times New Roman" w:hAnsi="Times New Roman" w:cs="Times New Roman" w:eastAsia="Times New Roman" w:hint="default"/>
          <w:spacing w:val="-1"/>
        </w:rPr>
        <w:t>1995</w:t>
      </w:r>
      <w:r>
        <w:rPr>
          <w:spacing w:val="-1"/>
        </w:rPr>
        <w:t>年，任河南天地实业有限公司计算机事业部经理；</w:t>
      </w:r>
      <w:r>
        <w:rPr>
          <w:rFonts w:ascii="Times New Roman" w:hAnsi="Times New Roman" w:cs="Times New Roman" w:eastAsia="Times New Roman" w:hint="default"/>
          <w:spacing w:val="-1"/>
        </w:rPr>
        <w:t>1995</w:t>
      </w:r>
      <w:r>
        <w:rPr>
          <w:spacing w:val="-1"/>
        </w:rPr>
        <w:t>年至</w:t>
      </w:r>
      <w:r>
        <w:rPr>
          <w:rFonts w:ascii="Times New Roman" w:hAnsi="Times New Roman" w:cs="Times New Roman" w:eastAsia="Times New Roman" w:hint="default"/>
          <w:spacing w:val="-1"/>
        </w:rPr>
        <w:t>2000</w:t>
      </w:r>
      <w:r>
        <w:rPr>
          <w:spacing w:val="-1"/>
        </w:rPr>
        <w:t>年，在郑州工学院开普电子技术公</w:t>
      </w:r>
      <w:r>
        <w:rPr>
          <w:spacing w:val="-84"/>
        </w:rPr>
        <w:t> </w:t>
      </w:r>
      <w:r>
        <w:rPr>
          <w:spacing w:val="-84"/>
        </w:rPr>
      </w:r>
      <w:r>
        <w:rPr>
          <w:spacing w:val="-1"/>
        </w:rPr>
        <w:t>司工作，历任电脑经营部副经理、经理及市场部经理。</w:t>
      </w:r>
      <w:r>
        <w:rPr>
          <w:rFonts w:ascii="Times New Roman" w:hAnsi="Times New Roman" w:cs="Times New Roman" w:eastAsia="Times New Roman" w:hint="default"/>
          <w:spacing w:val="-1"/>
        </w:rPr>
        <w:t>2000</w:t>
      </w:r>
      <w:r>
        <w:rPr>
          <w:spacing w:val="-1"/>
        </w:rPr>
        <w:t>年进入公司工作，现任公司董事会秘书、副总</w:t>
      </w:r>
      <w:r>
        <w:rPr>
          <w:spacing w:val="-84"/>
        </w:rPr>
        <w:t> </w:t>
      </w:r>
      <w:r>
        <w:rPr>
          <w:spacing w:val="-84"/>
        </w:rPr>
      </w:r>
      <w:r>
        <w:rPr/>
        <w:t>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月参加深圳证券交易所创业板上市公司第三期董事会秘书培训班并取得董事会秘书资格证 书。</w:t>
      </w:r>
    </w:p>
    <w:p>
      <w:pPr>
        <w:pStyle w:val="BodyText"/>
        <w:spacing w:line="393" w:lineRule="auto" w:before="65"/>
        <w:ind w:right="0" w:firstLine="420"/>
        <w:jc w:val="left"/>
      </w:pPr>
      <w:r>
        <w:rPr/>
        <w:t>李玉玲女士，女，</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11</w:t>
      </w:r>
      <w:r>
        <w:rPr/>
        <w:t>月出生，本科学历，高级会计师，注册会计师，注册税务师。</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7</w:t>
      </w:r>
      <w:r>
        <w:rPr/>
        <w:t>月 </w:t>
      </w:r>
      <w:r>
        <w:rPr>
          <w:spacing w:val="-1"/>
        </w:rPr>
        <w:t>毕业于河南财政税务高等专科学校会计专业；</w:t>
      </w:r>
      <w:r>
        <w:rPr>
          <w:rFonts w:ascii="Times New Roman" w:hAnsi="Times New Roman" w:cs="Times New Roman" w:eastAsia="Times New Roman" w:hint="default"/>
          <w:spacing w:val="-1"/>
        </w:rPr>
        <w:t>1998</w:t>
      </w:r>
      <w:r>
        <w:rPr>
          <w:spacing w:val="-1"/>
        </w:rPr>
        <w:t>年毕业于河南财经学院会计专业，获本科学历。曾担任</w:t>
      </w:r>
      <w:r>
        <w:rPr>
          <w:spacing w:val="-85"/>
        </w:rPr>
        <w:t> </w:t>
      </w:r>
      <w:r>
        <w:rPr>
          <w:spacing w:val="-85"/>
        </w:rPr>
      </w:r>
      <w:r>
        <w:rPr>
          <w:spacing w:val="-1"/>
        </w:rPr>
        <w:t>河南诚和会计师事务所审计部经理、所长助理，河南省注册会计师协会专业委员会委员，河南海联科技实</w:t>
      </w:r>
      <w:r>
        <w:rPr>
          <w:spacing w:val="-83"/>
        </w:rPr>
        <w:t> </w:t>
      </w:r>
      <w:r>
        <w:rPr>
          <w:spacing w:val="-83"/>
        </w:rPr>
      </w:r>
      <w:r>
        <w:rPr/>
        <w:t>业有限公司财务经理、郑州星之旅信息传播服务有限公司财务总监，现任本公司财务总监。</w:t>
      </w:r>
    </w:p>
    <w:p>
      <w:pPr>
        <w:pStyle w:val="BodyText"/>
        <w:spacing w:line="386" w:lineRule="auto" w:before="59"/>
        <w:ind w:right="0" w:firstLine="420"/>
        <w:jc w:val="left"/>
      </w:pPr>
      <w:r>
        <w:rPr/>
        <w:t>傅常顺先生，男，</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1</w:t>
      </w:r>
      <w:r>
        <w:rPr/>
        <w:t>月出生，研究生学历，工程师、计算机信息系统集成高级项目经理、信息 </w:t>
      </w:r>
      <w:r>
        <w:rPr>
          <w:spacing w:val="-5"/>
        </w:rPr>
        <w:t>安全系统高级管理员、网络安全管理工程师。</w:t>
      </w:r>
      <w:r>
        <w:rPr>
          <w:rFonts w:ascii="Times New Roman" w:hAnsi="Times New Roman" w:cs="Times New Roman" w:eastAsia="Times New Roman" w:hint="default"/>
          <w:spacing w:val="-5"/>
        </w:rPr>
        <w:t>1994</w:t>
      </w:r>
      <w:r>
        <w:rPr>
          <w:spacing w:val="-5"/>
        </w:rPr>
        <w:t>年毕业于郑州工学院计算机应用专业，获学士学位；</w:t>
      </w:r>
      <w:r>
        <w:rPr>
          <w:rFonts w:ascii="Times New Roman" w:hAnsi="Times New Roman" w:cs="Times New Roman" w:eastAsia="Times New Roman" w:hint="default"/>
          <w:spacing w:val="-5"/>
        </w:rPr>
        <w:t>2001</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33"/>
        </w:rPr>
      </w:r>
      <w:r>
        <w:rPr>
          <w:spacing w:val="-1"/>
        </w:rPr>
        <w:t>年于郑州大学计算机应用技术专业研究生班进修结业；</w:t>
      </w:r>
      <w:r>
        <w:rPr>
          <w:rFonts w:ascii="Times New Roman" w:hAnsi="Times New Roman" w:cs="Times New Roman" w:eastAsia="Times New Roman" w:hint="default"/>
          <w:spacing w:val="-1"/>
        </w:rPr>
        <w:t>2014</w:t>
      </w:r>
      <w:r>
        <w:rPr>
          <w:spacing w:val="-1"/>
        </w:rPr>
        <w:t>年毕业于郑州大学商学院，获高级管理人员工</w:t>
      </w:r>
      <w:r>
        <w:rPr>
          <w:spacing w:val="-83"/>
        </w:rPr>
        <w:t> </w:t>
      </w:r>
      <w:r>
        <w:rPr>
          <w:spacing w:val="-83"/>
        </w:rPr>
      </w:r>
      <w:r>
        <w:rPr>
          <w:spacing w:val="-1"/>
        </w:rPr>
        <w:t>商管理硕士学位。</w:t>
      </w:r>
      <w:r>
        <w:rPr>
          <w:rFonts w:ascii="Times New Roman" w:hAnsi="Times New Roman" w:cs="Times New Roman" w:eastAsia="Times New Roman" w:hint="default"/>
          <w:spacing w:val="-1"/>
        </w:rPr>
        <w:t>1994</w:t>
      </w:r>
      <w:r>
        <w:rPr>
          <w:spacing w:val="-1"/>
        </w:rPr>
        <w:t>年至</w:t>
      </w:r>
      <w:r>
        <w:rPr>
          <w:rFonts w:ascii="Times New Roman" w:hAnsi="Times New Roman" w:cs="Times New Roman" w:eastAsia="Times New Roman" w:hint="default"/>
          <w:spacing w:val="-1"/>
        </w:rPr>
        <w:t>2000</w:t>
      </w:r>
      <w:r>
        <w:rPr>
          <w:spacing w:val="-1"/>
        </w:rPr>
        <w:t>年在郑州工学院开普电子技术公司工作，历任工程部经理、深圳办事处经</w:t>
      </w:r>
      <w:r>
        <w:rPr>
          <w:spacing w:val="-84"/>
        </w:rPr>
        <w:t> </w:t>
      </w:r>
      <w:r>
        <w:rPr>
          <w:spacing w:val="-84"/>
        </w:rPr>
      </w:r>
      <w:r>
        <w:rPr>
          <w:spacing w:val="-1"/>
        </w:rPr>
        <w:t>理、软件开发部经理；</w:t>
      </w:r>
      <w:r>
        <w:rPr>
          <w:rFonts w:ascii="Times New Roman" w:hAnsi="Times New Roman" w:cs="Times New Roman" w:eastAsia="Times New Roman" w:hint="default"/>
          <w:spacing w:val="-1"/>
        </w:rPr>
        <w:t>2000</w:t>
      </w:r>
      <w:r>
        <w:rPr>
          <w:spacing w:val="-1"/>
        </w:rPr>
        <w:t>年进入公司工作，历任公司技术总监、技术研究中心总经理，现任公司副总经</w:t>
      </w:r>
      <w:r>
        <w:rPr>
          <w:spacing w:val="-84"/>
        </w:rPr>
        <w:t> </w:t>
      </w:r>
      <w:r>
        <w:rPr>
          <w:spacing w:val="-84"/>
        </w:rPr>
      </w:r>
      <w:r>
        <w:rPr/>
        <w:t>理、质控中心总经理、技术总监，并兼任生产中心总经理，系公司核心技术人员。</w:t>
      </w:r>
    </w:p>
    <w:p>
      <w:pPr>
        <w:pStyle w:val="BodyText"/>
        <w:spacing w:line="393" w:lineRule="auto" w:before="65"/>
        <w:ind w:left="153" w:right="151" w:firstLine="420"/>
        <w:jc w:val="both"/>
      </w:pPr>
      <w:r>
        <w:rPr>
          <w:spacing w:val="-1"/>
        </w:rPr>
        <w:t>杜建平先生，男，</w:t>
      </w:r>
      <w:r>
        <w:rPr>
          <w:rFonts w:ascii="Times New Roman" w:hAnsi="Times New Roman" w:cs="Times New Roman" w:eastAsia="Times New Roman" w:hint="default"/>
          <w:spacing w:val="-1"/>
        </w:rPr>
        <w:t>1972</w:t>
      </w:r>
      <w:r>
        <w:rPr>
          <w:spacing w:val="-1"/>
        </w:rPr>
        <w:t>年</w:t>
      </w:r>
      <w:r>
        <w:rPr>
          <w:rFonts w:ascii="Times New Roman" w:hAnsi="Times New Roman" w:cs="Times New Roman" w:eastAsia="Times New Roman" w:hint="default"/>
          <w:spacing w:val="-1"/>
        </w:rPr>
        <w:t>10</w:t>
      </w:r>
      <w:r>
        <w:rPr>
          <w:spacing w:val="-1"/>
        </w:rPr>
        <w:t>月生，本科学历，计算机信息系统集成高级项目经理。</w:t>
      </w:r>
      <w:r>
        <w:rPr>
          <w:rFonts w:ascii="Times New Roman" w:hAnsi="Times New Roman" w:cs="Times New Roman" w:eastAsia="Times New Roman" w:hint="default"/>
          <w:spacing w:val="-1"/>
        </w:rPr>
        <w:t>1995</w:t>
      </w:r>
      <w:r>
        <w:rPr>
          <w:spacing w:val="-1"/>
        </w:rPr>
        <w:t>年毕业于郑州</w:t>
      </w:r>
      <w:r>
        <w:rPr/>
        <w:t> </w:t>
      </w:r>
      <w:r>
        <w:rPr>
          <w:spacing w:val="-1"/>
        </w:rPr>
        <w:t>工学院计算机与自动化系，获学士学位。</w:t>
      </w:r>
      <w:r>
        <w:rPr>
          <w:rFonts w:ascii="Times New Roman" w:hAnsi="Times New Roman" w:cs="Times New Roman" w:eastAsia="Times New Roman" w:hint="default"/>
          <w:spacing w:val="-1"/>
        </w:rPr>
        <w:t>1995</w:t>
      </w:r>
      <w:r>
        <w:rPr>
          <w:spacing w:val="-1"/>
        </w:rPr>
        <w:t>年至</w:t>
      </w:r>
      <w:r>
        <w:rPr>
          <w:rFonts w:ascii="Times New Roman" w:hAnsi="Times New Roman" w:cs="Times New Roman" w:eastAsia="Times New Roman" w:hint="default"/>
          <w:spacing w:val="-1"/>
        </w:rPr>
        <w:t>2000</w:t>
      </w:r>
      <w:r>
        <w:rPr>
          <w:spacing w:val="-1"/>
        </w:rPr>
        <w:t>年在郑州工学院开普电子技术公司工作；</w:t>
      </w:r>
      <w:r>
        <w:rPr>
          <w:rFonts w:ascii="Times New Roman" w:hAnsi="Times New Roman" w:cs="Times New Roman" w:eastAsia="Times New Roman" w:hint="default"/>
          <w:spacing w:val="-1"/>
        </w:rPr>
        <w:t>2000</w:t>
      </w:r>
      <w:r>
        <w:rPr>
          <w:spacing w:val="-1"/>
        </w:rPr>
        <w:t>年进</w:t>
      </w:r>
      <w:r>
        <w:rPr>
          <w:spacing w:val="-87"/>
        </w:rPr>
        <w:t> </w:t>
      </w:r>
      <w:r>
        <w:rPr>
          <w:spacing w:val="-1"/>
        </w:rPr>
        <w:t>入公司工作，历任公司营销中心副总经理，现任公司副总经理、营销中心总经理，主要负责公司销售管理</w:t>
      </w:r>
      <w:r>
        <w:rPr>
          <w:spacing w:val="-82"/>
        </w:rPr>
        <w:t> </w:t>
      </w:r>
      <w:r>
        <w:rPr>
          <w:spacing w:val="-82"/>
        </w:rPr>
      </w:r>
      <w:r>
        <w:rPr/>
        <w:t>工作，包括销售队伍、客户关系和经销商的管理和维护。</w:t>
      </w:r>
    </w:p>
    <w:p>
      <w:pPr>
        <w:pStyle w:val="BodyText"/>
        <w:spacing w:line="386" w:lineRule="auto" w:before="59"/>
        <w:ind w:left="153" w:right="216" w:firstLine="420"/>
        <w:jc w:val="left"/>
      </w:pPr>
      <w:r>
        <w:rPr/>
        <w:t>刘永春，男，</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8</w:t>
      </w:r>
      <w:r>
        <w:rPr/>
        <w:t>月生，本科学历。</w:t>
      </w:r>
      <w:r>
        <w:rPr>
          <w:rFonts w:ascii="Times New Roman" w:hAnsi="Times New Roman" w:cs="Times New Roman" w:eastAsia="Times New Roman" w:hint="default"/>
        </w:rPr>
        <w:t>1992</w:t>
      </w:r>
      <w:r>
        <w:rPr/>
        <w:t>年毕业于北京航空航天大学计算机辅助设计和辅助制造 </w:t>
      </w:r>
      <w:r>
        <w:rPr>
          <w:spacing w:val="-1"/>
        </w:rPr>
        <w:t>专业，</w:t>
      </w:r>
      <w:r>
        <w:rPr>
          <w:rFonts w:ascii="Times New Roman" w:hAnsi="Times New Roman" w:cs="Times New Roman" w:eastAsia="Times New Roman" w:hint="default"/>
          <w:spacing w:val="-1"/>
        </w:rPr>
        <w:t>1992</w:t>
      </w:r>
      <w:r>
        <w:rPr>
          <w:spacing w:val="-1"/>
        </w:rPr>
        <w:t>年</w:t>
      </w:r>
      <w:r>
        <w:rPr>
          <w:rFonts w:ascii="Times New Roman" w:hAnsi="Times New Roman" w:cs="Times New Roman" w:eastAsia="Times New Roman" w:hint="default"/>
          <w:spacing w:val="-1"/>
        </w:rPr>
        <w:t>7</w:t>
      </w:r>
      <w:r>
        <w:rPr>
          <w:spacing w:val="-1"/>
        </w:rPr>
        <w:t>月至</w:t>
      </w:r>
      <w:r>
        <w:rPr>
          <w:rFonts w:ascii="Times New Roman" w:hAnsi="Times New Roman" w:cs="Times New Roman" w:eastAsia="Times New Roman" w:hint="default"/>
          <w:spacing w:val="-1"/>
        </w:rPr>
        <w:t>1993</w:t>
      </w:r>
      <w:r>
        <w:rPr>
          <w:spacing w:val="-1"/>
        </w:rPr>
        <w:t>年</w:t>
      </w:r>
      <w:r>
        <w:rPr>
          <w:rFonts w:ascii="Times New Roman" w:hAnsi="Times New Roman" w:cs="Times New Roman" w:eastAsia="Times New Roman" w:hint="default"/>
          <w:spacing w:val="-1"/>
        </w:rPr>
        <w:t>7</w:t>
      </w:r>
      <w:r>
        <w:rPr>
          <w:spacing w:val="-1"/>
        </w:rPr>
        <w:t>月任沈阳飞机制造公司工艺员；</w:t>
      </w:r>
      <w:r>
        <w:rPr>
          <w:rFonts w:ascii="Times New Roman" w:hAnsi="Times New Roman" w:cs="Times New Roman" w:eastAsia="Times New Roman" w:hint="default"/>
          <w:spacing w:val="-1"/>
        </w:rPr>
        <w:t>1993</w:t>
      </w:r>
      <w:r>
        <w:rPr>
          <w:spacing w:val="-1"/>
        </w:rPr>
        <w:t>年</w:t>
      </w:r>
      <w:r>
        <w:rPr>
          <w:rFonts w:ascii="Times New Roman" w:hAnsi="Times New Roman" w:cs="Times New Roman" w:eastAsia="Times New Roman" w:hint="default"/>
          <w:spacing w:val="-1"/>
        </w:rPr>
        <w:t>7</w:t>
      </w:r>
      <w:r>
        <w:rPr>
          <w:spacing w:val="-1"/>
        </w:rPr>
        <w:t>月至</w:t>
      </w:r>
      <w:r>
        <w:rPr>
          <w:rFonts w:ascii="Times New Roman" w:hAnsi="Times New Roman" w:cs="Times New Roman" w:eastAsia="Times New Roman" w:hint="default"/>
          <w:spacing w:val="-1"/>
        </w:rPr>
        <w:t>1993</w:t>
      </w:r>
      <w:r>
        <w:rPr>
          <w:spacing w:val="-1"/>
        </w:rPr>
        <w:t>年</w:t>
      </w:r>
      <w:r>
        <w:rPr>
          <w:rFonts w:ascii="Times New Roman" w:hAnsi="Times New Roman" w:cs="Times New Roman" w:eastAsia="Times New Roman" w:hint="default"/>
          <w:spacing w:val="-1"/>
        </w:rPr>
        <w:t>12</w:t>
      </w:r>
      <w:r>
        <w:rPr>
          <w:spacing w:val="-1"/>
        </w:rPr>
        <w:t>月任香港文思顿实业有</w:t>
      </w:r>
    </w:p>
    <w:p>
      <w:pPr>
        <w:spacing w:after="0" w:line="386" w:lineRule="auto"/>
        <w:jc w:val="left"/>
        <w:sectPr>
          <w:footerReference w:type="default" r:id="rId41"/>
          <w:pgSz w:w="11910" w:h="16840"/>
          <w:pgMar w:footer="982" w:header="877" w:top="1100" w:bottom="1180" w:left="980" w:right="980"/>
          <w:pgNumType w:start="112"/>
        </w:sectPr>
      </w:pPr>
    </w:p>
    <w:p>
      <w:pPr>
        <w:spacing w:line="240" w:lineRule="auto" w:before="8"/>
        <w:rPr>
          <w:rFonts w:ascii="宋体" w:hAnsi="宋体" w:cs="宋体" w:eastAsia="宋体" w:hint="default"/>
          <w:sz w:val="26"/>
          <w:szCs w:val="26"/>
        </w:rPr>
      </w:pPr>
    </w:p>
    <w:p>
      <w:pPr>
        <w:pStyle w:val="BodyText"/>
        <w:spacing w:line="386" w:lineRule="auto" w:before="35"/>
        <w:ind w:right="151" w:hanging="1"/>
        <w:jc w:val="left"/>
      </w:pPr>
      <w:r>
        <w:rPr>
          <w:spacing w:val="-1"/>
        </w:rPr>
        <w:t>限公司销售员；</w:t>
      </w:r>
      <w:r>
        <w:rPr>
          <w:rFonts w:ascii="Times New Roman" w:hAnsi="Times New Roman" w:cs="Times New Roman" w:eastAsia="Times New Roman" w:hint="default"/>
          <w:spacing w:val="-1"/>
        </w:rPr>
        <w:t>1994</w:t>
      </w:r>
      <w:r>
        <w:rPr>
          <w:spacing w:val="-1"/>
        </w:rPr>
        <w:t>年</w:t>
      </w:r>
      <w:r>
        <w:rPr>
          <w:rFonts w:ascii="Times New Roman" w:hAnsi="Times New Roman" w:cs="Times New Roman" w:eastAsia="Times New Roman" w:hint="default"/>
          <w:spacing w:val="-1"/>
        </w:rPr>
        <w:t>5</w:t>
      </w:r>
      <w:r>
        <w:rPr>
          <w:spacing w:val="-1"/>
        </w:rPr>
        <w:t>月至</w:t>
      </w:r>
      <w:r>
        <w:rPr>
          <w:rFonts w:ascii="Times New Roman" w:hAnsi="Times New Roman" w:cs="Times New Roman" w:eastAsia="Times New Roman" w:hint="default"/>
          <w:spacing w:val="-1"/>
        </w:rPr>
        <w:t>1995</w:t>
      </w:r>
      <w:r>
        <w:rPr>
          <w:spacing w:val="-1"/>
        </w:rPr>
        <w:t>年</w:t>
      </w:r>
      <w:r>
        <w:rPr>
          <w:rFonts w:ascii="Times New Roman" w:hAnsi="Times New Roman" w:cs="Times New Roman" w:eastAsia="Times New Roman" w:hint="default"/>
          <w:spacing w:val="-1"/>
        </w:rPr>
        <w:t>7</w:t>
      </w:r>
      <w:r>
        <w:rPr>
          <w:spacing w:val="-1"/>
        </w:rPr>
        <w:t>月任北京泰立电子技术有限公司市场部经理；</w:t>
      </w:r>
      <w:r>
        <w:rPr>
          <w:rFonts w:ascii="Times New Roman" w:hAnsi="Times New Roman" w:cs="Times New Roman" w:eastAsia="Times New Roman" w:hint="default"/>
          <w:spacing w:val="-1"/>
        </w:rPr>
        <w:t>1995</w:t>
      </w:r>
      <w:r>
        <w:rPr>
          <w:spacing w:val="-1"/>
        </w:rPr>
        <w:t>年</w:t>
      </w:r>
      <w:r>
        <w:rPr>
          <w:rFonts w:ascii="Times New Roman" w:hAnsi="Times New Roman" w:cs="Times New Roman" w:eastAsia="Times New Roman" w:hint="default"/>
          <w:spacing w:val="-1"/>
        </w:rPr>
        <w:t>7</w:t>
      </w:r>
      <w:r>
        <w:rPr>
          <w:spacing w:val="-1"/>
        </w:rPr>
        <w:t>月至</w:t>
      </w:r>
      <w:r>
        <w:rPr>
          <w:rFonts w:ascii="Times New Roman" w:hAnsi="Times New Roman" w:cs="Times New Roman" w:eastAsia="Times New Roman" w:hint="default"/>
          <w:spacing w:val="-1"/>
        </w:rPr>
        <w:t>1997</w:t>
      </w:r>
      <w:r>
        <w:rPr>
          <w:spacing w:val="-1"/>
        </w:rPr>
        <w:t>年</w:t>
      </w:r>
      <w:r>
        <w:rPr>
          <w:rFonts w:ascii="Times New Roman" w:hAnsi="Times New Roman" w:cs="Times New Roman" w:eastAsia="Times New Roman" w:hint="default"/>
          <w:spacing w:val="-1"/>
        </w:rPr>
        <w:t>5</w:t>
      </w:r>
      <w:r>
        <w:rPr>
          <w:spacing w:val="-1"/>
        </w:rPr>
        <w:t>月</w:t>
      </w:r>
      <w:r>
        <w:rPr>
          <w:spacing w:val="-84"/>
        </w:rPr>
        <w:t> </w:t>
      </w:r>
      <w:r>
        <w:rPr/>
        <w:t>任北京斯维格</w:t>
      </w:r>
      <w:r>
        <w:rPr>
          <w:rFonts w:ascii="Times New Roman" w:hAnsi="Times New Roman" w:cs="Times New Roman" w:eastAsia="Times New Roman" w:hint="default"/>
        </w:rPr>
        <w:t>-</w:t>
      </w:r>
      <w:r>
        <w:rPr/>
        <w:t>泰德公司副总经理；</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6</w:t>
      </w:r>
      <w:r>
        <w:rPr/>
        <w:t>月任北京银兰科技有限公司副总经理；</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6</w:t>
      </w:r>
      <w:r>
        <w:rPr/>
        <w:t>月 </w:t>
      </w:r>
      <w:r>
        <w:rPr>
          <w:spacing w:val="-1"/>
        </w:rPr>
        <w:t>至</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4</w:t>
      </w:r>
      <w:r>
        <w:rPr>
          <w:spacing w:val="-1"/>
        </w:rPr>
        <w:t>月任北京迪科创新科技有限公司副总经理；</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5</w:t>
      </w:r>
      <w:r>
        <w:rPr>
          <w:spacing w:val="-1"/>
        </w:rPr>
        <w:t>月创立北京迪科远望科技股份有限公司（现</w:t>
      </w:r>
      <w:r>
        <w:rPr>
          <w:spacing w:val="-86"/>
        </w:rPr>
        <w:t> </w:t>
      </w:r>
      <w:r>
        <w:rPr>
          <w:spacing w:val="-86"/>
        </w:rPr>
      </w:r>
      <w:r>
        <w:rPr/>
        <w:t>已更名为北京迪科远望科技有限公司），</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月担任董事长。</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月至今，任迪科远 望副董事长。</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月起，担任公司副总经理。</w:t>
      </w:r>
    </w:p>
    <w:p>
      <w:pPr>
        <w:spacing w:before="23"/>
        <w:ind w:left="154"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38" w:lineRule="auto" w:before="117"/>
        <w:ind w:left="154" w:right="81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在其他单位任职情况</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郑州佳辰企业管理咨询中心（有限合伙）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普通合伙人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漫时尚品（北京）电子商务有限公司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北京迪科远望科技有限公司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上海树维信息科技有限公司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付秋生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福建新开普信息科技有限公司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付秋生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北京迪科远望科技有限公司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付秋生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上海树维信息科技有限公司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付秋生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凯里智慧城市通卡管理有限公司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赵利宾</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凯里智慧城市通卡管理有限公司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罗会军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郑州福瑞堂制药有限公司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罗会军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黑龙江福瑞堂医药有限公司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罗会军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北京福瑞堂投资有限公司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王世卿</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教授、博士研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究生导师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1987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王世卿</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郑州天兴软件工程股份有限公司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执行董事、经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祝田山</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亚太（河南）投资咨询公司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首席咨询师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祝田山</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河南金博士种业股份有限公司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傅常顺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北京乐智科技有限公司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傅常顺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成都兰途网络科技有限公司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华梦阳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河南华夏海纳创业投资集团有限公司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李玉玲</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福建新开普信息科技有限公司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刘永春</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北京迪科远望科技有限公司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王玉辉</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王玉辉</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中国经济法学会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张英瑶</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河南省软件协会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秘书长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44"/>
        <w:ind w:left="0" w:right="142" w:firstLine="0"/>
        <w:jc w:val="right"/>
        <w:rPr>
          <w:rFonts w:ascii="宋体" w:hAnsi="宋体" w:cs="宋体" w:eastAsia="宋体" w:hint="default"/>
          <w:sz w:val="18"/>
          <w:szCs w:val="18"/>
        </w:rPr>
      </w:pPr>
      <w:r>
        <w:rPr/>
        <w:pict>
          <v:shape style="position:absolute;margin-left:56.34pt;margin-top:-17.227919pt;width:479.5pt;height:226.95pt;mso-position-horizontal-relative:page;mso-position-vertical-relative:paragraph;z-index:33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60"/>
                    <w:gridCol w:w="5308"/>
                  </w:tblGrid>
                  <w:tr>
                    <w:trPr>
                      <w:trHeight w:val="376" w:hRule="exact"/>
                    </w:trPr>
                    <w:tc>
                      <w:tcPr>
                        <w:tcW w:w="4260" w:type="dxa"/>
                        <w:tcBorders>
                          <w:top w:val="single" w:sz="6" w:space="0" w:color="000000"/>
                          <w:left w:val="single" w:sz="6" w:space="0" w:color="000000"/>
                          <w:bottom w:val="nil" w:sz="6" w:space="0" w:color="auto"/>
                          <w:right w:val="single" w:sz="6" w:space="0" w:color="000000"/>
                        </w:tcBorders>
                        <w:shd w:val="clear" w:color="auto" w:fill="D3D3D3"/>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2010</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日，公司第一届董事会第十六次会议审议通过了《关</w:t>
                        </w:r>
                      </w:p>
                    </w:tc>
                  </w:tr>
                  <w:tr>
                    <w:trPr>
                      <w:trHeight w:val="307" w:hRule="exact"/>
                    </w:trPr>
                    <w:tc>
                      <w:tcPr>
                        <w:tcW w:w="4260" w:type="dxa"/>
                        <w:tcBorders>
                          <w:top w:val="nil" w:sz="6" w:space="0" w:color="auto"/>
                          <w:left w:val="single" w:sz="6" w:space="0" w:color="000000"/>
                          <w:bottom w:val="nil" w:sz="6" w:space="0" w:color="auto"/>
                          <w:right w:val="single" w:sz="6" w:space="0" w:color="000000"/>
                        </w:tcBorders>
                        <w:shd w:val="clear" w:color="auto" w:fill="D3D3D3"/>
                      </w:tcPr>
                      <w:p>
                        <w:pPr/>
                      </w:p>
                    </w:tc>
                    <w:tc>
                      <w:tcPr>
                        <w:tcW w:w="530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于〈郑州新开普电子股份有限公司董事、监事薪酬制度〉的议案》</w:t>
                        </w:r>
                      </w:p>
                    </w:tc>
                  </w:tr>
                  <w:tr>
                    <w:trPr>
                      <w:trHeight w:val="312" w:hRule="exact"/>
                    </w:trPr>
                    <w:tc>
                      <w:tcPr>
                        <w:tcW w:w="4260" w:type="dxa"/>
                        <w:tcBorders>
                          <w:top w:val="nil" w:sz="6" w:space="0" w:color="auto"/>
                          <w:left w:val="single" w:sz="6" w:space="0" w:color="000000"/>
                          <w:bottom w:val="nil" w:sz="6" w:space="0" w:color="auto"/>
                          <w:right w:val="single" w:sz="6" w:space="0" w:color="000000"/>
                        </w:tcBorders>
                        <w:shd w:val="clear" w:color="auto" w:fill="D3D3D3"/>
                      </w:tcPr>
                      <w:p>
                        <w:pPr/>
                      </w:p>
                    </w:tc>
                    <w:tc>
                      <w:tcPr>
                        <w:tcW w:w="530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《关于〈郑州新开普电子股份有限公司高级管理人员薪酬制度〉的</w:t>
                        </w:r>
                      </w:p>
                    </w:tc>
                  </w:tr>
                  <w:tr>
                    <w:trPr>
                      <w:trHeight w:val="312" w:hRule="exact"/>
                    </w:trPr>
                    <w:tc>
                      <w:tcPr>
                        <w:tcW w:w="4260" w:type="dxa"/>
                        <w:tcBorders>
                          <w:top w:val="nil" w:sz="6" w:space="0" w:color="auto"/>
                          <w:left w:val="single" w:sz="6" w:space="0" w:color="000000"/>
                          <w:bottom w:val="nil" w:sz="6" w:space="0" w:color="auto"/>
                          <w:right w:val="single" w:sz="6" w:space="0" w:color="000000"/>
                        </w:tcBorders>
                        <w:shd w:val="clear" w:color="auto" w:fill="D3D3D3"/>
                      </w:tcPr>
                      <w:p>
                        <w:pPr/>
                      </w:p>
                    </w:tc>
                    <w:tc>
                      <w:tcPr>
                        <w:tcW w:w="530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议案》。《关于〈郑州新开普电子股份有限公司董事、监事薪酬制</w:t>
                        </w:r>
                      </w:p>
                    </w:tc>
                  </w:tr>
                  <w:tr>
                    <w:trPr>
                      <w:trHeight w:val="317" w:hRule="exact"/>
                    </w:trPr>
                    <w:tc>
                      <w:tcPr>
                        <w:tcW w:w="4260" w:type="dxa"/>
                        <w:tcBorders>
                          <w:top w:val="nil" w:sz="6" w:space="0" w:color="auto"/>
                          <w:left w:val="single" w:sz="6" w:space="0" w:color="000000"/>
                          <w:bottom w:val="nil" w:sz="6" w:space="0" w:color="auto"/>
                          <w:right w:val="single" w:sz="6" w:space="0" w:color="000000"/>
                        </w:tcBorders>
                        <w:shd w:val="clear" w:color="auto" w:fill="D3D3D3"/>
                      </w:tcPr>
                      <w:p>
                        <w:pPr/>
                      </w:p>
                    </w:tc>
                    <w:tc>
                      <w:tcPr>
                        <w:tcW w:w="530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度〉的议案》经公司</w:t>
                        </w:r>
                        <w:r>
                          <w:rPr>
                            <w:rFonts w:ascii="Times New Roman" w:hAnsi="Times New Roman" w:cs="Times New Roman" w:eastAsia="Times New Roman" w:hint="default"/>
                            <w:sz w:val="18"/>
                            <w:szCs w:val="18"/>
                          </w:rPr>
                          <w:t>2009</w:t>
                        </w:r>
                        <w:r>
                          <w:rPr>
                            <w:rFonts w:ascii="宋体" w:hAnsi="宋体" w:cs="宋体" w:eastAsia="宋体" w:hint="default"/>
                            <w:sz w:val="18"/>
                            <w:szCs w:val="18"/>
                          </w:rPr>
                          <w:t>年年度股东大会审议通过。董事报酬经董</w:t>
                        </w:r>
                      </w:p>
                    </w:tc>
                  </w:tr>
                  <w:tr>
                    <w:trPr>
                      <w:trHeight w:val="307" w:hRule="exact"/>
                    </w:trPr>
                    <w:tc>
                      <w:tcPr>
                        <w:tcW w:w="4260" w:type="dxa"/>
                        <w:tcBorders>
                          <w:top w:val="nil" w:sz="6" w:space="0" w:color="auto"/>
                          <w:left w:val="single" w:sz="6" w:space="0" w:color="000000"/>
                          <w:bottom w:val="nil" w:sz="6" w:space="0" w:color="auto"/>
                          <w:right w:val="single" w:sz="6" w:space="0" w:color="000000"/>
                        </w:tcBorders>
                        <w:shd w:val="clear" w:color="auto" w:fill="D3D3D3"/>
                      </w:tcPr>
                      <w:p>
                        <w:pPr/>
                      </w:p>
                    </w:tc>
                    <w:tc>
                      <w:tcPr>
                        <w:tcW w:w="530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事会薪酬与考核委员会审核、董事会审议通过后提交股东大会审议</w:t>
                        </w:r>
                      </w:p>
                    </w:tc>
                  </w:tr>
                  <w:tr>
                    <w:trPr>
                      <w:trHeight w:val="312" w:hRule="exact"/>
                    </w:trPr>
                    <w:tc>
                      <w:tcPr>
                        <w:tcW w:w="4260" w:type="dxa"/>
                        <w:tcBorders>
                          <w:top w:val="nil" w:sz="6" w:space="0" w:color="auto"/>
                          <w:left w:val="single" w:sz="6" w:space="0" w:color="000000"/>
                          <w:bottom w:val="nil" w:sz="6" w:space="0" w:color="auto"/>
                          <w:right w:val="single" w:sz="6" w:space="0" w:color="000000"/>
                        </w:tcBorders>
                        <w:shd w:val="clear" w:color="auto" w:fill="D3D3D3"/>
                      </w:tcPr>
                      <w:p>
                        <w:pPr/>
                      </w:p>
                    </w:tc>
                    <w:tc>
                      <w:tcPr>
                        <w:tcW w:w="530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监事报酬经监事会审议通过后提交股东大会审议，高级管理人员报</w:t>
                        </w:r>
                      </w:p>
                    </w:tc>
                  </w:tr>
                  <w:tr>
                    <w:trPr>
                      <w:trHeight w:val="313" w:hRule="exact"/>
                    </w:trPr>
                    <w:tc>
                      <w:tcPr>
                        <w:tcW w:w="4260" w:type="dxa"/>
                        <w:tcBorders>
                          <w:top w:val="nil" w:sz="6" w:space="0" w:color="auto"/>
                          <w:left w:val="single" w:sz="6" w:space="0" w:color="000000"/>
                          <w:bottom w:val="nil" w:sz="6" w:space="0" w:color="auto"/>
                          <w:right w:val="single" w:sz="6" w:space="0" w:color="000000"/>
                        </w:tcBorders>
                        <w:shd w:val="clear" w:color="auto" w:fill="D3D3D3"/>
                      </w:tcPr>
                      <w:p>
                        <w:pPr/>
                      </w:p>
                    </w:tc>
                    <w:tc>
                      <w:tcPr>
                        <w:tcW w:w="530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酬经董事会薪酬与考核委员会审核、董事会审议通过后提交股东大</w:t>
                        </w:r>
                      </w:p>
                    </w:tc>
                  </w:tr>
                  <w:tr>
                    <w:trPr>
                      <w:trHeight w:val="332" w:hRule="exact"/>
                    </w:trPr>
                    <w:tc>
                      <w:tcPr>
                        <w:tcW w:w="4260" w:type="dxa"/>
                        <w:tcBorders>
                          <w:top w:val="nil" w:sz="6" w:space="0" w:color="auto"/>
                          <w:left w:val="single" w:sz="6" w:space="0" w:color="000000"/>
                          <w:bottom w:val="nil" w:sz="6" w:space="0" w:color="auto"/>
                          <w:right w:val="single" w:sz="6" w:space="0" w:color="000000"/>
                        </w:tcBorders>
                        <w:shd w:val="clear" w:color="auto" w:fill="D3D3D3"/>
                      </w:tcPr>
                      <w:p>
                        <w:pPr/>
                      </w:p>
                    </w:tc>
                    <w:tc>
                      <w:tcPr>
                        <w:tcW w:w="5308"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会审议；</w:t>
                        </w:r>
                      </w:p>
                    </w:tc>
                  </w:tr>
                  <w:tr>
                    <w:trPr>
                      <w:trHeight w:val="336" w:hRule="exact"/>
                    </w:trPr>
                    <w:tc>
                      <w:tcPr>
                        <w:tcW w:w="4260" w:type="dxa"/>
                        <w:tcBorders>
                          <w:top w:val="nil" w:sz="6" w:space="0" w:color="auto"/>
                          <w:left w:val="single" w:sz="6" w:space="0" w:color="000000"/>
                          <w:bottom w:val="nil" w:sz="6" w:space="0" w:color="auto"/>
                          <w:right w:val="single" w:sz="6" w:space="0" w:color="000000"/>
                        </w:tcBorders>
                        <w:shd w:val="clear" w:color="auto" w:fill="D3D3D3"/>
                      </w:tcPr>
                      <w:p>
                        <w:pPr/>
                      </w:p>
                    </w:tc>
                    <w:tc>
                      <w:tcPr>
                        <w:tcW w:w="5308"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日，公司第三届董事会第八次会议审议通过《关于</w:t>
                        </w:r>
                      </w:p>
                    </w:tc>
                  </w:tr>
                  <w:tr>
                    <w:trPr>
                      <w:trHeight w:val="312" w:hRule="exact"/>
                    </w:trPr>
                    <w:tc>
                      <w:tcPr>
                        <w:tcW w:w="4260" w:type="dxa"/>
                        <w:tcBorders>
                          <w:top w:val="nil" w:sz="6" w:space="0" w:color="auto"/>
                          <w:left w:val="single" w:sz="6" w:space="0" w:color="000000"/>
                          <w:bottom w:val="nil" w:sz="6" w:space="0" w:color="auto"/>
                          <w:right w:val="single" w:sz="6" w:space="0" w:color="000000"/>
                        </w:tcBorders>
                        <w:shd w:val="clear" w:color="auto" w:fill="D3D3D3"/>
                      </w:tcPr>
                      <w:p>
                        <w:pPr/>
                      </w:p>
                    </w:tc>
                    <w:tc>
                      <w:tcPr>
                        <w:tcW w:w="530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审议新开普电子股份有限公司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年度董事薪酬政策的议案</w:t>
                        </w:r>
                        <w:r>
                          <w:rPr>
                            <w:rFonts w:ascii="宋体" w:hAnsi="宋体" w:cs="宋体" w:eastAsia="宋体" w:hint="default"/>
                            <w:spacing w:val="-38"/>
                            <w:sz w:val="18"/>
                            <w:szCs w:val="18"/>
                          </w:rPr>
                          <w:t>》</w:t>
                        </w:r>
                        <w:r>
                          <w:rPr>
                            <w:rFonts w:ascii="宋体" w:hAnsi="宋体" w:cs="宋体" w:eastAsia="宋体" w:hint="default"/>
                            <w:spacing w:val="-75"/>
                            <w:sz w:val="18"/>
                            <w:szCs w:val="18"/>
                          </w:rPr>
                          <w:t>、</w:t>
                        </w:r>
                        <w:r>
                          <w:rPr>
                            <w:rFonts w:ascii="宋体" w:hAnsi="宋体" w:cs="宋体" w:eastAsia="宋体" w:hint="default"/>
                            <w:sz w:val="18"/>
                            <w:szCs w:val="18"/>
                          </w:rPr>
                          <w:t>《关</w:t>
                        </w:r>
                      </w:p>
                    </w:tc>
                  </w:tr>
                  <w:tr>
                    <w:trPr>
                      <w:trHeight w:val="313" w:hRule="exact"/>
                    </w:trPr>
                    <w:tc>
                      <w:tcPr>
                        <w:tcW w:w="4260" w:type="dxa"/>
                        <w:tcBorders>
                          <w:top w:val="nil" w:sz="6" w:space="0" w:color="auto"/>
                          <w:left w:val="single" w:sz="6" w:space="0" w:color="000000"/>
                          <w:bottom w:val="nil" w:sz="6" w:space="0" w:color="auto"/>
                          <w:right w:val="single" w:sz="6" w:space="0" w:color="000000"/>
                        </w:tcBorders>
                        <w:shd w:val="clear" w:color="auto" w:fill="D3D3D3"/>
                      </w:tcPr>
                      <w:p>
                        <w:pPr/>
                      </w:p>
                    </w:tc>
                    <w:tc>
                      <w:tcPr>
                        <w:tcW w:w="530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于审议新开普电子股份有限公司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年度高级管理人员薪酬政策的</w:t>
                        </w:r>
                      </w:p>
                    </w:tc>
                  </w:tr>
                  <w:tr>
                    <w:trPr>
                      <w:trHeight w:val="327" w:hRule="exact"/>
                    </w:trPr>
                    <w:tc>
                      <w:tcPr>
                        <w:tcW w:w="4260" w:type="dxa"/>
                        <w:tcBorders>
                          <w:top w:val="nil" w:sz="6" w:space="0" w:color="auto"/>
                          <w:left w:val="single" w:sz="6" w:space="0" w:color="000000"/>
                          <w:bottom w:val="nil" w:sz="6" w:space="0" w:color="auto"/>
                          <w:right w:val="single" w:sz="6" w:space="0" w:color="000000"/>
                        </w:tcBorders>
                        <w:shd w:val="clear" w:color="auto" w:fill="D3D3D3"/>
                      </w:tcPr>
                      <w:p>
                        <w:pPr/>
                      </w:p>
                    </w:tc>
                    <w:tc>
                      <w:tcPr>
                        <w:tcW w:w="5308"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议案》；</w:t>
                        </w:r>
                      </w:p>
                    </w:tc>
                  </w:tr>
                  <w:tr>
                    <w:trPr>
                      <w:trHeight w:val="349" w:hRule="exact"/>
                    </w:trPr>
                    <w:tc>
                      <w:tcPr>
                        <w:tcW w:w="4260" w:type="dxa"/>
                        <w:tcBorders>
                          <w:top w:val="nil" w:sz="6" w:space="0" w:color="auto"/>
                          <w:left w:val="single" w:sz="6" w:space="0" w:color="000000"/>
                          <w:bottom w:val="single" w:sz="6" w:space="0" w:color="000000"/>
                          <w:right w:val="single" w:sz="6" w:space="0" w:color="000000"/>
                        </w:tcBorders>
                        <w:shd w:val="clear" w:color="auto" w:fill="D3D3D3"/>
                      </w:tcPr>
                      <w:p>
                        <w:pPr/>
                      </w:p>
                    </w:tc>
                    <w:tc>
                      <w:tcPr>
                        <w:tcW w:w="530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日，公司第三届监事会第七次会议审议通过《关于</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before="44"/>
        <w:ind w:left="0" w:right="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4260"/>
        <w:gridCol w:w="5308"/>
      </w:tblGrid>
      <w:tr>
        <w:trPr>
          <w:trHeight w:val="355" w:hRule="exact"/>
        </w:trPr>
        <w:tc>
          <w:tcPr>
            <w:tcW w:w="4260" w:type="dxa"/>
            <w:vMerge w:val="restart"/>
            <w:tcBorders>
              <w:top w:val="single" w:sz="6" w:space="0" w:color="000000"/>
              <w:left w:val="single" w:sz="6" w:space="0" w:color="000000"/>
              <w:right w:val="single" w:sz="6" w:space="0" w:color="000000"/>
            </w:tcBorders>
            <w:shd w:val="clear" w:color="auto" w:fill="D3D3D3"/>
          </w:tcPr>
          <w:p>
            <w:pPr/>
          </w:p>
        </w:tc>
        <w:tc>
          <w:tcPr>
            <w:tcW w:w="53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审议新开普电子股份有限公司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年度监事薪酬政策的议案》；</w:t>
            </w:r>
          </w:p>
        </w:tc>
      </w:tr>
      <w:tr>
        <w:trPr>
          <w:trHeight w:val="331" w:hRule="exact"/>
        </w:trPr>
        <w:tc>
          <w:tcPr>
            <w:tcW w:w="4260" w:type="dxa"/>
            <w:vMerge/>
            <w:tcBorders>
              <w:left w:val="single" w:sz="6" w:space="0" w:color="000000"/>
              <w:right w:val="single" w:sz="6" w:space="0" w:color="000000"/>
            </w:tcBorders>
            <w:shd w:val="clear" w:color="auto" w:fill="D3D3D3"/>
          </w:tcPr>
          <w:p>
            <w:pPr/>
          </w:p>
        </w:tc>
        <w:tc>
          <w:tcPr>
            <w:tcW w:w="5308" w:type="dxa"/>
            <w:tcBorders>
              <w:top w:val="nil" w:sz="6" w:space="0" w:color="auto"/>
              <w:left w:val="single" w:sz="6" w:space="0" w:color="000000"/>
              <w:bottom w:val="nil" w:sz="6" w:space="0" w:color="auto"/>
              <w:right w:val="single" w:sz="6" w:space="0" w:color="000000"/>
            </w:tcBorders>
          </w:tcPr>
          <w:p>
            <w:pPr>
              <w:pStyle w:val="TableParagraph"/>
              <w:spacing w:line="240" w:lineRule="auto" w:before="24"/>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年年度股东大会审议通过《关于审议</w:t>
            </w:r>
          </w:p>
        </w:tc>
      </w:tr>
      <w:tr>
        <w:trPr>
          <w:trHeight w:val="313" w:hRule="exact"/>
        </w:trPr>
        <w:tc>
          <w:tcPr>
            <w:tcW w:w="4260" w:type="dxa"/>
            <w:vMerge/>
            <w:tcBorders>
              <w:left w:val="single" w:sz="6" w:space="0" w:color="000000"/>
              <w:right w:val="single" w:sz="6" w:space="0" w:color="000000"/>
            </w:tcBorders>
            <w:shd w:val="clear" w:color="auto" w:fill="D3D3D3"/>
          </w:tcPr>
          <w:p>
            <w:pPr/>
          </w:p>
        </w:tc>
        <w:tc>
          <w:tcPr>
            <w:tcW w:w="530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新开普电子股份有限公司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年度董事薪酬政策的议案》、《关于</w:t>
            </w:r>
          </w:p>
        </w:tc>
      </w:tr>
      <w:tr>
        <w:trPr>
          <w:trHeight w:val="369" w:hRule="exact"/>
        </w:trPr>
        <w:tc>
          <w:tcPr>
            <w:tcW w:w="4260" w:type="dxa"/>
            <w:vMerge/>
            <w:tcBorders>
              <w:left w:val="single" w:sz="6" w:space="0" w:color="000000"/>
              <w:bottom w:val="single" w:sz="6" w:space="0" w:color="000000"/>
              <w:right w:val="single" w:sz="6" w:space="0" w:color="000000"/>
            </w:tcBorders>
            <w:shd w:val="clear" w:color="auto" w:fill="D3D3D3"/>
          </w:tcPr>
          <w:p>
            <w:pPr/>
          </w:p>
        </w:tc>
        <w:tc>
          <w:tcPr>
            <w:tcW w:w="530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审议新开普电子股份有限公司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年度监事薪酬政策的议案》。</w:t>
            </w:r>
          </w:p>
        </w:tc>
      </w:tr>
      <w:tr>
        <w:trPr>
          <w:trHeight w:val="366" w:hRule="exact"/>
        </w:trPr>
        <w:tc>
          <w:tcPr>
            <w:tcW w:w="4260" w:type="dxa"/>
            <w:tcBorders>
              <w:top w:val="single" w:sz="6" w:space="0" w:color="000000"/>
              <w:left w:val="single" w:sz="6" w:space="0" w:color="000000"/>
              <w:bottom w:val="nil" w:sz="6" w:space="0" w:color="auto"/>
              <w:right w:val="single" w:sz="6" w:space="0" w:color="000000"/>
            </w:tcBorders>
            <w:shd w:val="clear" w:color="auto" w:fill="D3D3D3"/>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董事、监事和高级管理人员的报酬按照《新开普电子股份有限公司</w:t>
            </w:r>
          </w:p>
        </w:tc>
      </w:tr>
      <w:tr>
        <w:trPr>
          <w:trHeight w:val="311" w:hRule="exact"/>
        </w:trPr>
        <w:tc>
          <w:tcPr>
            <w:tcW w:w="4260" w:type="dxa"/>
            <w:tcBorders>
              <w:top w:val="nil" w:sz="6" w:space="0" w:color="auto"/>
              <w:left w:val="single" w:sz="6" w:space="0" w:color="000000"/>
              <w:bottom w:val="nil" w:sz="6" w:space="0" w:color="auto"/>
              <w:right w:val="single" w:sz="6" w:space="0" w:color="000000"/>
            </w:tcBorders>
            <w:shd w:val="clear" w:color="auto" w:fill="D3D3D3"/>
          </w:tcPr>
          <w:p>
            <w:pPr/>
          </w:p>
        </w:tc>
        <w:tc>
          <w:tcPr>
            <w:tcW w:w="530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章程》、《新开普电子股份有限公司董事、监事薪酬制度》、《新</w:t>
            </w:r>
          </w:p>
        </w:tc>
      </w:tr>
      <w:tr>
        <w:trPr>
          <w:trHeight w:val="313" w:hRule="exact"/>
        </w:trPr>
        <w:tc>
          <w:tcPr>
            <w:tcW w:w="4260" w:type="dxa"/>
            <w:tcBorders>
              <w:top w:val="nil" w:sz="6" w:space="0" w:color="auto"/>
              <w:left w:val="single" w:sz="6" w:space="0" w:color="000000"/>
              <w:bottom w:val="nil" w:sz="6" w:space="0" w:color="auto"/>
              <w:right w:val="single" w:sz="6" w:space="0" w:color="000000"/>
            </w:tcBorders>
            <w:shd w:val="clear" w:color="auto" w:fill="D3D3D3"/>
          </w:tcPr>
          <w:p>
            <w:pPr/>
          </w:p>
        </w:tc>
        <w:tc>
          <w:tcPr>
            <w:tcW w:w="530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开普电子股份有限公司高级管理人员薪酬制度》等规定，结合其职</w:t>
            </w:r>
          </w:p>
        </w:tc>
      </w:tr>
      <w:tr>
        <w:trPr>
          <w:trHeight w:val="373" w:hRule="exact"/>
        </w:trPr>
        <w:tc>
          <w:tcPr>
            <w:tcW w:w="4260" w:type="dxa"/>
            <w:tcBorders>
              <w:top w:val="nil" w:sz="6" w:space="0" w:color="auto"/>
              <w:left w:val="single" w:sz="6" w:space="0" w:color="000000"/>
              <w:bottom w:val="single" w:sz="6" w:space="0" w:color="000000"/>
              <w:right w:val="single" w:sz="6" w:space="0" w:color="000000"/>
            </w:tcBorders>
            <w:shd w:val="clear" w:color="auto" w:fill="D3D3D3"/>
          </w:tcPr>
          <w:p>
            <w:pPr/>
          </w:p>
        </w:tc>
        <w:tc>
          <w:tcPr>
            <w:tcW w:w="530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位、责任、能力、绩效考核情况、市场薪资行等因素确定并发放。</w:t>
            </w:r>
          </w:p>
        </w:tc>
      </w:tr>
      <w:tr>
        <w:trPr>
          <w:trHeight w:val="735" w:hRule="exact"/>
        </w:trPr>
        <w:tc>
          <w:tcPr>
            <w:tcW w:w="426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6"/>
              <w:ind w:left="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0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6"/>
              <w:ind w:left="2" w:right="68"/>
              <w:jc w:val="left"/>
              <w:rPr>
                <w:rFonts w:ascii="宋体" w:hAnsi="宋体" w:cs="宋体" w:eastAsia="宋体" w:hint="default"/>
                <w:sz w:val="18"/>
                <w:szCs w:val="18"/>
              </w:rPr>
            </w:pPr>
            <w:r>
              <w:rPr>
                <w:rFonts w:ascii="宋体" w:hAnsi="宋体" w:cs="宋体" w:eastAsia="宋体" w:hint="default"/>
                <w:sz w:val="18"/>
                <w:szCs w:val="18"/>
              </w:rPr>
              <w:t>董事、监事和高级管理人员的薪酬均已按照确定的薪酬标准全额支 付。</w:t>
            </w:r>
          </w:p>
        </w:tc>
      </w:tr>
    </w:tbl>
    <w:p>
      <w:pPr>
        <w:spacing w:line="240" w:lineRule="auto" w:before="5"/>
        <w:rPr>
          <w:rFonts w:ascii="宋体" w:hAnsi="宋体" w:cs="宋体" w:eastAsia="宋体" w:hint="default"/>
          <w:sz w:val="24"/>
          <w:szCs w:val="24"/>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8"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w:t>
            </w:r>
            <w:r>
              <w:rPr>
                <w:rFonts w:ascii="宋体" w:hAnsi="宋体" w:cs="宋体" w:eastAsia="宋体" w:hint="default"/>
                <w:sz w:val="18"/>
                <w:szCs w:val="18"/>
              </w:rPr>
              <w:t>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付秋生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8"/>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常务副总经 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尚卫国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赵利宾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罗会军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王玉辉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张英瑶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王世卿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祝田山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刘恩臣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王葆玲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张建英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华梦阳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董事会秘书</w:t>
            </w:r>
            <w:r>
              <w:rPr>
                <w:rFonts w:ascii="Times New Roman" w:hAnsi="Times New Roman" w:cs="Times New Roman" w:eastAsia="Times New Roman" w:hint="default"/>
                <w:sz w:val="18"/>
                <w:szCs w:val="18"/>
              </w:rPr>
              <w:t>,</w:t>
            </w:r>
            <w:r>
              <w:rPr>
                <w:rFonts w:ascii="宋体" w:hAnsi="宋体" w:cs="宋体" w:eastAsia="宋体" w:hint="default"/>
                <w:sz w:val="18"/>
                <w:szCs w:val="18"/>
              </w:rPr>
              <w:t>副总</w:t>
            </w:r>
            <w:r>
              <w:rPr>
                <w:rFonts w:ascii="宋体" w:hAnsi="宋体" w:cs="宋体" w:eastAsia="宋体" w:hint="default"/>
                <w:spacing w:val="-2"/>
                <w:sz w:val="18"/>
                <w:szCs w:val="18"/>
              </w:rPr>
              <w:t> </w:t>
            </w:r>
            <w:r>
              <w:rPr>
                <w:rFonts w:ascii="宋体" w:hAnsi="宋体" w:cs="宋体" w:eastAsia="宋体" w:hint="default"/>
                <w:sz w:val="18"/>
                <w:szCs w:val="18"/>
              </w:rPr>
              <w:t>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李玉玲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傅常顺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杜建平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刘永春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谷建全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265.19</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五、公司员工情况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1,152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1,699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1,699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1,014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1,699</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硕士及以上学历</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本科学历</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大专学历</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大专以下学历</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1,699</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573" w:right="0"/>
        <w:jc w:val="left"/>
      </w:pPr>
      <w:r>
        <w:rPr/>
        <w:t>公司的薪酬政策设计符合以下三个原则：</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rFonts w:ascii="Times New Roman" w:hAnsi="Times New Roman" w:cs="Times New Roman" w:eastAsia="Times New Roman" w:hint="default"/>
        </w:rPr>
        <w:t>1)</w:t>
      </w:r>
      <w:r>
        <w:rPr/>
        <w:t>外在竞争性：公司员工的收入水平依据战略要求和市场环境，具有竞争性和稳定性的薪酬水准。</w:t>
      </w:r>
    </w:p>
    <w:p>
      <w:pPr>
        <w:pStyle w:val="BodyText"/>
        <w:spacing w:line="240" w:lineRule="auto" w:before="177"/>
        <w:ind w:left="573" w:right="0"/>
        <w:jc w:val="left"/>
      </w:pPr>
      <w:r>
        <w:rPr>
          <w:rFonts w:ascii="Times New Roman" w:hAnsi="Times New Roman" w:cs="Times New Roman" w:eastAsia="Times New Roman" w:hint="default"/>
        </w:rPr>
        <w:t>2)</w:t>
      </w:r>
      <w:r>
        <w:rPr/>
        <w:t>内在公平性：在公司内部薪酬收入高低相对公平。</w:t>
      </w:r>
    </w:p>
    <w:p>
      <w:pPr>
        <w:pStyle w:val="BodyText"/>
        <w:spacing w:line="386" w:lineRule="auto" w:before="177"/>
        <w:ind w:left="573" w:right="3086"/>
        <w:jc w:val="left"/>
      </w:pPr>
      <w:r>
        <w:rPr>
          <w:rFonts w:ascii="Times New Roman" w:hAnsi="Times New Roman" w:cs="Times New Roman" w:eastAsia="Times New Roman" w:hint="default"/>
        </w:rPr>
        <w:t>3)</w:t>
      </w:r>
      <w:r>
        <w:rPr/>
        <w:t>战略文化特性：结合企业发展战略实时优化调整公司的薪酬政策。</w:t>
      </w:r>
      <w:r>
        <w:rPr>
          <w:w w:val="99"/>
        </w:rPr>
        <w:t> </w:t>
      </w:r>
      <w:r>
        <w:rPr/>
        <w:t>基于以上原则设计的薪酬结构包括：</w:t>
      </w:r>
    </w:p>
    <w:p>
      <w:pPr>
        <w:pStyle w:val="BodyText"/>
        <w:spacing w:line="240" w:lineRule="auto" w:before="65"/>
        <w:ind w:left="573" w:right="0"/>
        <w:jc w:val="left"/>
      </w:pPr>
      <w:r>
        <w:rPr>
          <w:rFonts w:ascii="Times New Roman" w:hAnsi="Times New Roman" w:cs="Times New Roman" w:eastAsia="Times New Roman" w:hint="default"/>
        </w:rPr>
        <w:t>1)</w:t>
      </w:r>
      <w:r>
        <w:rPr/>
        <w:t>固定薪酬和绩效薪酬：</w:t>
      </w:r>
    </w:p>
    <w:p>
      <w:pPr>
        <w:spacing w:after="0" w:line="240"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408" w:lineRule="auto" w:before="35"/>
        <w:ind w:left="785" w:right="169"/>
        <w:jc w:val="left"/>
      </w:pPr>
      <w:r>
        <w:rPr/>
        <w:t>固定薪酬：公司根据岗位价值、员工技能和资历，给予员工的固定收入； 绩效薪酬：员工完成或者超额完成本岗位考核周期内的任务指标，依据对应的绩效考核激励方案，</w:t>
      </w:r>
    </w:p>
    <w:p>
      <w:pPr>
        <w:pStyle w:val="BodyText"/>
        <w:spacing w:line="240" w:lineRule="auto"/>
        <w:ind w:right="95"/>
        <w:jc w:val="left"/>
      </w:pPr>
      <w:r>
        <w:rPr/>
        <w:t>公司予以核算发放的绩效奖励。</w:t>
      </w:r>
    </w:p>
    <w:p>
      <w:pPr>
        <w:spacing w:line="240" w:lineRule="auto" w:before="10"/>
        <w:rPr>
          <w:rFonts w:ascii="宋体" w:hAnsi="宋体" w:cs="宋体" w:eastAsia="宋体" w:hint="default"/>
          <w:sz w:val="14"/>
          <w:szCs w:val="14"/>
        </w:rPr>
      </w:pPr>
    </w:p>
    <w:p>
      <w:pPr>
        <w:pStyle w:val="BodyText"/>
        <w:spacing w:line="386" w:lineRule="auto" w:before="0"/>
        <w:ind w:left="575" w:right="95" w:hanging="2"/>
        <w:jc w:val="left"/>
      </w:pPr>
      <w:r>
        <w:rPr>
          <w:rFonts w:ascii="Times New Roman" w:hAnsi="Times New Roman" w:cs="Times New Roman" w:eastAsia="Times New Roman" w:hint="default"/>
        </w:rPr>
        <w:t>2)</w:t>
      </w:r>
      <w:r>
        <w:rPr/>
        <w:t>短期激励和长期激励：</w:t>
      </w:r>
      <w:r>
        <w:rPr>
          <w:w w:val="99"/>
        </w:rPr>
        <w:t> </w:t>
      </w:r>
      <w:r>
        <w:rPr>
          <w:spacing w:val="-1"/>
        </w:rPr>
        <w:t>短期激励：基于项目阶段性成果、生产阶段性成果等设立的过程激励，公司实时核算、实时发放的激</w:t>
      </w:r>
    </w:p>
    <w:p>
      <w:pPr>
        <w:pStyle w:val="BodyText"/>
        <w:spacing w:line="240" w:lineRule="auto" w:before="65"/>
        <w:ind w:right="95"/>
        <w:jc w:val="left"/>
      </w:pPr>
      <w:r>
        <w:rPr/>
        <w:t>励；</w:t>
      </w:r>
    </w:p>
    <w:p>
      <w:pPr>
        <w:spacing w:line="240" w:lineRule="auto" w:before="10"/>
        <w:rPr>
          <w:rFonts w:ascii="宋体" w:hAnsi="宋体" w:cs="宋体" w:eastAsia="宋体" w:hint="default"/>
          <w:sz w:val="14"/>
          <w:szCs w:val="14"/>
        </w:rPr>
      </w:pPr>
    </w:p>
    <w:p>
      <w:pPr>
        <w:pStyle w:val="BodyText"/>
        <w:spacing w:line="408" w:lineRule="auto" w:before="0"/>
        <w:ind w:right="95" w:firstLine="420"/>
        <w:jc w:val="left"/>
      </w:pPr>
      <w:r>
        <w:rPr>
          <w:spacing w:val="-1"/>
        </w:rPr>
        <w:t>长期激励：认同公司文化，坚决跟随公司战略发展，愿意为之奋斗，愿意和公司成为命运共同体的优</w:t>
      </w:r>
      <w:r>
        <w:rPr/>
        <w:t> 秀员工，公司为其提供更大的发展空间，给予股票期权的激励。</w:t>
      </w:r>
    </w:p>
    <w:p>
      <w:pPr>
        <w:pStyle w:val="BodyText"/>
        <w:spacing w:line="386" w:lineRule="auto"/>
        <w:ind w:left="574" w:right="95"/>
        <w:jc w:val="left"/>
      </w:pPr>
      <w:r>
        <w:rPr>
          <w:rFonts w:ascii="Times New Roman" w:hAnsi="Times New Roman" w:cs="Times New Roman" w:eastAsia="Times New Roman" w:hint="default"/>
        </w:rPr>
        <w:t>3)</w:t>
      </w:r>
      <w:r>
        <w:rPr/>
        <w:t>非经济薪酬和经济薪酬：</w:t>
      </w:r>
      <w:r>
        <w:rPr>
          <w:w w:val="99"/>
        </w:rPr>
        <w:t> </w:t>
      </w:r>
      <w:r>
        <w:rPr>
          <w:spacing w:val="-1"/>
        </w:rPr>
        <w:t>非经济薪酬：公司为员工提供了良好的办公环境、职级发展通道、培训、各种奖励等，以满足员工的</w:t>
      </w:r>
    </w:p>
    <w:p>
      <w:pPr>
        <w:pStyle w:val="BodyText"/>
        <w:spacing w:line="408" w:lineRule="auto" w:before="65"/>
        <w:ind w:left="574" w:right="95" w:hanging="420"/>
        <w:jc w:val="left"/>
      </w:pPr>
      <w:r>
        <w:rPr/>
        <w:t>精神需要，都属于非经济薪酬； </w:t>
      </w:r>
      <w:r>
        <w:rPr>
          <w:spacing w:val="-1"/>
        </w:rPr>
        <w:t>经济薪酬：公司给予员工的固定薪酬、绩效薪酬、短期激励、长期激励、五险一金福利、体检、岗位</w:t>
      </w:r>
    </w:p>
    <w:p>
      <w:pPr>
        <w:pStyle w:val="BodyText"/>
        <w:spacing w:line="408" w:lineRule="auto"/>
        <w:ind w:left="574" w:right="95" w:hanging="420"/>
        <w:jc w:val="left"/>
      </w:pPr>
      <w:r>
        <w:rPr/>
        <w:t>津贴、活动经费等，都属于经济薪酬。 </w:t>
      </w:r>
      <w:r>
        <w:rPr>
          <w:spacing w:val="-1"/>
        </w:rPr>
        <w:t>公司会针对不同的岗位类别设计有差异的薪酬结构，同时也会根据市场的变化、战略的发展，持续的</w:t>
      </w:r>
    </w:p>
    <w:p>
      <w:pPr>
        <w:pStyle w:val="BodyText"/>
        <w:spacing w:line="408" w:lineRule="auto"/>
        <w:ind w:right="95"/>
        <w:jc w:val="left"/>
      </w:pPr>
      <w:r>
        <w:rPr>
          <w:spacing w:val="-1"/>
        </w:rPr>
        <w:t>调整优化薪酬政策，从而确保员工对薪酬系统的正确理解，积极配合组织的经营战略，促成组织和个人目</w:t>
      </w:r>
      <w:r>
        <w:rPr>
          <w:spacing w:val="-83"/>
        </w:rPr>
        <w:t> </w:t>
      </w:r>
      <w:r>
        <w:rPr>
          <w:spacing w:val="-83"/>
        </w:rPr>
      </w:r>
      <w:r>
        <w:rPr/>
        <w:t>标的实现。</w:t>
      </w:r>
    </w:p>
    <w:p>
      <w:pPr>
        <w:spacing w:line="240" w:lineRule="auto" w:before="8"/>
        <w:rPr>
          <w:rFonts w:ascii="宋体" w:hAnsi="宋体" w:cs="宋体" w:eastAsia="宋体" w:hint="default"/>
          <w:sz w:val="20"/>
          <w:szCs w:val="20"/>
        </w:rPr>
      </w:pPr>
    </w:p>
    <w:p>
      <w:pPr>
        <w:pStyle w:val="Heading4"/>
        <w:spacing w:line="240" w:lineRule="auto"/>
        <w:ind w:right="95"/>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574" w:right="0"/>
        <w:jc w:val="left"/>
      </w:pPr>
      <w:r>
        <w:rPr>
          <w:rFonts w:ascii="Times New Roman" w:hAnsi="Times New Roman" w:cs="Times New Roman" w:eastAsia="Times New Roman" w:hint="default"/>
          <w:spacing w:val="-2"/>
        </w:rPr>
        <w:t>2015</w:t>
      </w:r>
      <w:r>
        <w:rPr>
          <w:spacing w:val="-2"/>
        </w:rPr>
        <w:t>年度，公司共组织培训</w:t>
      </w:r>
      <w:r>
        <w:rPr>
          <w:rFonts w:ascii="Times New Roman" w:hAnsi="Times New Roman" w:cs="Times New Roman" w:eastAsia="Times New Roman" w:hint="default"/>
          <w:spacing w:val="-2"/>
        </w:rPr>
        <w:t>136</w:t>
      </w:r>
      <w:r>
        <w:rPr>
          <w:spacing w:val="-2"/>
        </w:rPr>
        <w:t>次，培训</w:t>
      </w:r>
      <w:r>
        <w:rPr>
          <w:rFonts w:ascii="Times New Roman" w:hAnsi="Times New Roman" w:cs="Times New Roman" w:eastAsia="Times New Roman" w:hint="default"/>
          <w:spacing w:val="-2"/>
        </w:rPr>
        <w:t>863</w:t>
      </w:r>
      <w:r>
        <w:rPr>
          <w:rFonts w:ascii="Times New Roman" w:hAnsi="Times New Roman" w:cs="Times New Roman" w:eastAsia="Times New Roman" w:hint="default"/>
        </w:rPr>
        <w:t> </w:t>
      </w:r>
      <w:r>
        <w:rPr>
          <w:rFonts w:ascii="Times New Roman" w:hAnsi="Times New Roman" w:cs="Times New Roman" w:eastAsia="Times New Roman" w:hint="default"/>
          <w:spacing w:val="5"/>
        </w:rPr>
        <w:t> </w:t>
      </w:r>
      <w:r>
        <w:rPr>
          <w:spacing w:val="-2"/>
        </w:rPr>
        <w:t>学时，参训人数达</w:t>
      </w:r>
      <w:r>
        <w:rPr>
          <w:rFonts w:ascii="Times New Roman" w:hAnsi="Times New Roman" w:cs="Times New Roman" w:eastAsia="Times New Roman" w:hint="default"/>
          <w:spacing w:val="-2"/>
        </w:rPr>
        <w:t>1919</w:t>
      </w:r>
      <w:r>
        <w:rPr>
          <w:spacing w:val="-2"/>
        </w:rPr>
        <w:t>人次，分别比</w:t>
      </w:r>
      <w:r>
        <w:rPr>
          <w:rFonts w:ascii="Times New Roman" w:hAnsi="Times New Roman" w:cs="Times New Roman" w:eastAsia="Times New Roman" w:hint="default"/>
          <w:spacing w:val="-2"/>
        </w:rPr>
        <w:t>2014</w:t>
      </w:r>
      <w:r>
        <w:rPr>
          <w:spacing w:val="-2"/>
        </w:rPr>
        <w:t>年增长了</w:t>
      </w:r>
      <w:r>
        <w:rPr>
          <w:rFonts w:ascii="Times New Roman" w:hAnsi="Times New Roman" w:cs="Times New Roman" w:eastAsia="Times New Roman" w:hint="default"/>
          <w:spacing w:val="-2"/>
        </w:rPr>
        <w:t>131%</w:t>
      </w:r>
      <w:r>
        <w:rPr>
          <w:spacing w:val="-2"/>
        </w:rPr>
        <w:t>、</w:t>
      </w:r>
    </w:p>
    <w:p>
      <w:pPr>
        <w:pStyle w:val="BodyText"/>
        <w:spacing w:line="386" w:lineRule="auto" w:before="177"/>
        <w:ind w:right="206" w:hanging="1"/>
        <w:jc w:val="left"/>
      </w:pPr>
      <w:r>
        <w:rPr>
          <w:rFonts w:ascii="Times New Roman" w:hAnsi="Times New Roman" w:cs="Times New Roman" w:eastAsia="Times New Roman" w:hint="default"/>
        </w:rPr>
        <w:t>17.4</w:t>
      </w:r>
      <w:r>
        <w:rPr/>
        <w:t>％、</w:t>
      </w:r>
      <w:r>
        <w:rPr>
          <w:rFonts w:ascii="Times New Roman" w:hAnsi="Times New Roman" w:cs="Times New Roman" w:eastAsia="Times New Roman" w:hint="default"/>
        </w:rPr>
        <w:t>30.7</w:t>
      </w:r>
      <w:r>
        <w:rPr/>
        <w:t>％。课程内容主要包括：公司</w:t>
      </w:r>
      <w:r>
        <w:rPr>
          <w:rFonts w:ascii="Times New Roman" w:hAnsi="Times New Roman" w:cs="Times New Roman" w:eastAsia="Times New Roman" w:hint="default"/>
        </w:rPr>
        <w:t>400</w:t>
      </w:r>
      <w:r>
        <w:rPr/>
        <w:t>坐席沟通技巧培训（</w:t>
      </w:r>
      <w:r>
        <w:rPr>
          <w:rFonts w:ascii="Times New Roman" w:hAnsi="Times New Roman" w:cs="Times New Roman" w:eastAsia="Times New Roman" w:hint="default"/>
        </w:rPr>
        <w:t>2</w:t>
      </w:r>
      <w:r>
        <w:rPr/>
        <w:t>天</w:t>
      </w:r>
      <w:r>
        <w:rPr>
          <w:rFonts w:ascii="Times New Roman" w:hAnsi="Times New Roman" w:cs="Times New Roman" w:eastAsia="Times New Roman" w:hint="default"/>
        </w:rPr>
        <w:t>/</w:t>
      </w:r>
      <w:r>
        <w:rPr/>
        <w:t>期）、生产中心精益生产培训（</w:t>
      </w:r>
      <w:r>
        <w:rPr>
          <w:rFonts w:ascii="Times New Roman" w:hAnsi="Times New Roman" w:cs="Times New Roman" w:eastAsia="Times New Roman" w:hint="default"/>
        </w:rPr>
        <w:t>4 </w:t>
      </w:r>
      <w:r>
        <w:rPr>
          <w:spacing w:val="-1"/>
        </w:rPr>
        <w:t>天</w:t>
      </w:r>
      <w:r>
        <w:rPr>
          <w:rFonts w:ascii="Times New Roman" w:hAnsi="Times New Roman" w:cs="Times New Roman" w:eastAsia="Times New Roman" w:hint="default"/>
          <w:spacing w:val="-1"/>
        </w:rPr>
        <w:t>/</w:t>
      </w:r>
      <w:r>
        <w:rPr>
          <w:spacing w:val="-1"/>
        </w:rPr>
        <w:t>期）、工信五所电子可靠性系列交流指导（</w:t>
      </w:r>
      <w:r>
        <w:rPr>
          <w:rFonts w:ascii="Times New Roman" w:hAnsi="Times New Roman" w:cs="Times New Roman" w:eastAsia="Times New Roman" w:hint="default"/>
          <w:spacing w:val="-1"/>
        </w:rPr>
        <w:t>2</w:t>
      </w:r>
      <w:r>
        <w:rPr>
          <w:spacing w:val="-1"/>
        </w:rPr>
        <w:t>天</w:t>
      </w:r>
      <w:r>
        <w:rPr>
          <w:rFonts w:ascii="Times New Roman" w:hAnsi="Times New Roman" w:cs="Times New Roman" w:eastAsia="Times New Roman" w:hint="default"/>
          <w:spacing w:val="-1"/>
        </w:rPr>
        <w:t>/</w:t>
      </w:r>
      <w:r>
        <w:rPr>
          <w:spacing w:val="-1"/>
        </w:rPr>
        <w:t>期）、新员工入职系列培训等，提升了员工的岗位技能</w:t>
      </w:r>
      <w:r>
        <w:rPr>
          <w:spacing w:val="-94"/>
        </w:rPr>
        <w:t> </w:t>
      </w:r>
      <w:r>
        <w:rPr>
          <w:spacing w:val="-94"/>
        </w:rPr>
      </w:r>
      <w:r>
        <w:rPr/>
        <w:t>和职业素养。</w:t>
      </w:r>
    </w:p>
    <w:p>
      <w:pPr>
        <w:pStyle w:val="BodyText"/>
        <w:spacing w:line="398" w:lineRule="auto" w:before="65"/>
        <w:ind w:right="104" w:firstLine="420"/>
        <w:jc w:val="both"/>
      </w:pPr>
      <w:r>
        <w:rPr>
          <w:spacing w:val="-1"/>
        </w:rPr>
        <w:t>在培训方式方法上，公司顺应互联网时代学习变革要求，与时俱进，积极探索和拓展</w:t>
      </w:r>
      <w:r>
        <w:rPr>
          <w:rFonts w:ascii="Times New Roman" w:hAnsi="Times New Roman" w:cs="Times New Roman" w:eastAsia="Times New Roman" w:hint="default"/>
          <w:spacing w:val="-1"/>
        </w:rPr>
        <w:t>E-Learning</w:t>
      </w:r>
      <w:r>
        <w:rPr>
          <w:spacing w:val="-1"/>
        </w:rPr>
        <w:t>平台、</w:t>
      </w:r>
      <w:r>
        <w:rPr/>
        <w:t> </w:t>
      </w:r>
      <w:r>
        <w:rPr>
          <w:spacing w:val="-3"/>
        </w:rPr>
        <w:t>移动端微课堂等轻学习模式，充分利用碎片化时间，使分公司办事处一线员工在工作场所就能学习、考试、</w:t>
      </w:r>
      <w:r>
        <w:rPr>
          <w:spacing w:val="-90"/>
        </w:rPr>
        <w:t> </w:t>
      </w:r>
      <w:r>
        <w:rPr>
          <w:spacing w:val="-90"/>
        </w:rPr>
      </w:r>
      <w:r>
        <w:rPr/>
        <w:t>评估。</w:t>
      </w:r>
    </w:p>
    <w:p>
      <w:pPr>
        <w:spacing w:line="240" w:lineRule="auto" w:before="3"/>
        <w:rPr>
          <w:rFonts w:ascii="宋体" w:hAnsi="宋体" w:cs="宋体" w:eastAsia="宋体" w:hint="default"/>
          <w:sz w:val="21"/>
          <w:szCs w:val="21"/>
        </w:rPr>
      </w:pPr>
    </w:p>
    <w:p>
      <w:pPr>
        <w:pStyle w:val="Heading4"/>
        <w:spacing w:line="240" w:lineRule="auto"/>
        <w:ind w:right="95"/>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spacing w:before="0"/>
        <w:ind w:left="154"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428" w:right="3484"/>
        <w:jc w:val="center"/>
        <w:rPr>
          <w:b w:val="0"/>
          <w:bCs w:val="0"/>
        </w:rPr>
      </w:pPr>
      <w:bookmarkStart w:name="_TOC_250002" w:id="9"/>
      <w:r>
        <w:rPr/>
        <w:t>第九节</w:t>
      </w:r>
      <w:r>
        <w:rPr>
          <w:spacing w:val="-5"/>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5"/>
        <w:jc w:val="left"/>
        <w:rPr>
          <w:b w:val="0"/>
          <w:bCs w:val="0"/>
        </w:rPr>
      </w:pPr>
      <w:r>
        <w:rPr/>
        <w:t>一、公司治理的基本状况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211" w:firstLine="420"/>
        <w:jc w:val="both"/>
      </w:pPr>
      <w:r>
        <w:rPr>
          <w:spacing w:val="-1"/>
        </w:rPr>
        <w:t>报告期内，公司严格按照《公司法》、《证券法》、《上市公司治理准则》、《深圳证券交易所创业</w:t>
      </w:r>
      <w:r>
        <w:rPr/>
        <w:t> </w:t>
      </w:r>
      <w:r>
        <w:rPr>
          <w:spacing w:val="-1"/>
        </w:rPr>
        <w:t>板股票上市规则》、《创业板上市公司规范运作指引》、《上市公司章程指引》和其他有关法律法规的要</w:t>
      </w:r>
      <w:r>
        <w:rPr>
          <w:spacing w:val="-84"/>
        </w:rPr>
        <w:t> </w:t>
      </w:r>
      <w:r>
        <w:rPr>
          <w:spacing w:val="-84"/>
        </w:rPr>
      </w:r>
      <w:r>
        <w:rPr>
          <w:spacing w:val="-1"/>
        </w:rPr>
        <w:t>求，不断完善公司法人治理结构，建立健全公司内部管理和控制制度，进一步规范公司运作，提升公司的</w:t>
      </w:r>
      <w:r>
        <w:rPr>
          <w:spacing w:val="-82"/>
        </w:rPr>
        <w:t> </w:t>
      </w:r>
      <w:r>
        <w:rPr>
          <w:spacing w:val="-82"/>
        </w:rPr>
      </w:r>
      <w:r>
        <w:rPr>
          <w:spacing w:val="-1"/>
        </w:rPr>
        <w:t>规范化和透明度，努力做好信息披露工作及投资者关系管理，不断提高公司治理水平。截止报告期末，公</w:t>
      </w:r>
      <w:r>
        <w:rPr>
          <w:spacing w:val="-82"/>
        </w:rPr>
        <w:t> </w:t>
      </w:r>
      <w:r>
        <w:rPr>
          <w:spacing w:val="-82"/>
        </w:rPr>
      </w:r>
      <w:r>
        <w:rPr/>
        <w:t>司治理结构的实际情况符合中国证监会发布的有关上市公司治理的规范性文件的要求。</w:t>
      </w:r>
    </w:p>
    <w:p>
      <w:pPr>
        <w:pStyle w:val="BodyText"/>
        <w:spacing w:line="408" w:lineRule="auto"/>
        <w:ind w:left="573" w:right="96"/>
        <w:jc w:val="left"/>
      </w:pPr>
      <w:r>
        <w:rPr/>
        <w:t>（一）独立性 </w:t>
      </w:r>
      <w:r>
        <w:rPr>
          <w:spacing w:val="-3"/>
        </w:rPr>
        <w:t>公司自成立以来严格按照《公司法》、《证券法》等有关法律、法规和《公司章程》的要求规范运作，</w:t>
      </w:r>
    </w:p>
    <w:p>
      <w:pPr>
        <w:pStyle w:val="BodyText"/>
        <w:spacing w:line="408" w:lineRule="auto"/>
        <w:ind w:left="153" w:right="95"/>
        <w:jc w:val="left"/>
      </w:pPr>
      <w:r>
        <w:rPr>
          <w:spacing w:val="-1"/>
        </w:rPr>
        <w:t>在业务、资产、人员、机构和财务等方面与公司股东相互独立，拥有独立完整的采购、生产、销售、研发</w:t>
      </w:r>
      <w:r>
        <w:rPr>
          <w:spacing w:val="-85"/>
        </w:rPr>
        <w:t> </w:t>
      </w:r>
      <w:r>
        <w:rPr>
          <w:spacing w:val="-85"/>
        </w:rPr>
      </w:r>
      <w:r>
        <w:rPr/>
        <w:t>系统，具备面向市场自主经营的能力。</w:t>
      </w:r>
    </w:p>
    <w:p>
      <w:pPr>
        <w:pStyle w:val="BodyText"/>
        <w:spacing w:line="400" w:lineRule="auto"/>
        <w:ind w:left="153" w:right="102" w:firstLine="420"/>
        <w:jc w:val="left"/>
      </w:pPr>
      <w:r>
        <w:rPr>
          <w:rFonts w:ascii="Times New Roman" w:hAnsi="Times New Roman" w:cs="Times New Roman" w:eastAsia="Times New Roman" w:hint="default"/>
        </w:rPr>
        <w:t>1</w:t>
      </w:r>
      <w:r>
        <w:rPr/>
        <w:t>、公司的人员独立。公司的董事、监事均严格按照《公司法》、《公司章程》的有关规定产生，履 </w:t>
      </w:r>
      <w:r>
        <w:rPr>
          <w:spacing w:val="-3"/>
        </w:rPr>
        <w:t>行了合法程序；公司的总经理、副总经理、董事会秘书、财务总监、核心技术人员等人员专职在公司工作，</w:t>
      </w:r>
      <w:r>
        <w:rPr>
          <w:spacing w:val="-94"/>
        </w:rPr>
        <w:t> </w:t>
      </w:r>
      <w:r>
        <w:rPr>
          <w:spacing w:val="-94"/>
        </w:rPr>
      </w:r>
      <w:r>
        <w:rPr/>
        <w:t>并在公司领取薪酬。公司已建立独立的劳动、人事、社会保障体系及工资管理体系，与员工签订了劳动合</w:t>
      </w:r>
      <w:r>
        <w:rPr/>
        <w:t> 同，并按国家规定办理了社会保险。</w:t>
      </w:r>
    </w:p>
    <w:p>
      <w:pPr>
        <w:pStyle w:val="BodyText"/>
        <w:spacing w:line="398" w:lineRule="auto" w:before="52"/>
        <w:ind w:left="153" w:right="171" w:firstLine="420"/>
        <w:jc w:val="left"/>
      </w:pPr>
      <w:r>
        <w:rPr>
          <w:rFonts w:ascii="Times New Roman" w:hAnsi="Times New Roman" w:cs="Times New Roman" w:eastAsia="Times New Roman" w:hint="default"/>
        </w:rPr>
        <w:t>2</w:t>
      </w:r>
      <w:r>
        <w:rPr/>
        <w:t>、公司的资产独立完整、权属清晰。公司具备与生产经营有关的生产系统、辅助生产系统和配套设 施，合法拥有与生产经营有关的土地、厂房、机器设备以及商标、专利、非专利技术的所有权和使用权， 具有独立的原料采购和产品销售系统，与发起人及其他关联方间资产相互独立，其资产具有完整性。</w:t>
      </w:r>
    </w:p>
    <w:p>
      <w:pPr>
        <w:pStyle w:val="BodyText"/>
        <w:spacing w:line="398" w:lineRule="auto" w:before="54"/>
        <w:ind w:right="95" w:firstLine="420"/>
        <w:jc w:val="left"/>
      </w:pPr>
      <w:r>
        <w:rPr>
          <w:rFonts w:ascii="Times New Roman" w:hAnsi="Times New Roman" w:cs="Times New Roman" w:eastAsia="Times New Roman" w:hint="default"/>
        </w:rPr>
        <w:t>3</w:t>
      </w:r>
      <w:r>
        <w:rPr/>
        <w:t>、公司财务独立。公司有独立的财务部门，建立了独立的会计核算体系和财务管理制度；配备了专 </w:t>
      </w:r>
      <w:r>
        <w:rPr>
          <w:spacing w:val="-1"/>
        </w:rPr>
        <w:t>职的财务会计人员，独立进行会计核算和财务决策。公司开设有独立的银行帐号，公司并依法独立进行纳</w:t>
      </w:r>
      <w:r>
        <w:rPr>
          <w:spacing w:val="-83"/>
        </w:rPr>
        <w:t> </w:t>
      </w:r>
      <w:r>
        <w:rPr>
          <w:spacing w:val="-83"/>
        </w:rPr>
      </w:r>
      <w:r>
        <w:rPr/>
        <w:t>税申报和履行纳税义务。</w:t>
      </w:r>
    </w:p>
    <w:p>
      <w:pPr>
        <w:pStyle w:val="BodyText"/>
        <w:spacing w:line="240" w:lineRule="auto" w:before="54"/>
        <w:ind w:left="574" w:right="95"/>
        <w:jc w:val="left"/>
      </w:pPr>
      <w:r>
        <w:rPr>
          <w:rFonts w:ascii="Times New Roman" w:hAnsi="Times New Roman" w:cs="Times New Roman" w:eastAsia="Times New Roman" w:hint="default"/>
          <w:spacing w:val="-6"/>
        </w:rPr>
        <w:t>4</w:t>
      </w:r>
      <w:r>
        <w:rPr>
          <w:spacing w:val="-6"/>
        </w:rPr>
        <w:t>、公司建立健全了独立的股东大会、董事会、监事会、经理的法人治理结构。并严格按照《公司法》、</w:t>
      </w:r>
    </w:p>
    <w:p>
      <w:pPr>
        <w:pStyle w:val="BodyText"/>
        <w:spacing w:line="408" w:lineRule="auto" w:before="177"/>
        <w:ind w:right="95"/>
        <w:jc w:val="left"/>
      </w:pPr>
      <w:r>
        <w:rPr>
          <w:spacing w:val="-1"/>
        </w:rPr>
        <w:t>《公司章程》的规定履行各自的职责；建立了独立的、适应自身发展需要的组织结构，制定了完善的岗位</w:t>
      </w:r>
      <w:r>
        <w:rPr>
          <w:spacing w:val="-82"/>
        </w:rPr>
        <w:t> </w:t>
      </w:r>
      <w:r>
        <w:rPr>
          <w:spacing w:val="-82"/>
        </w:rPr>
      </w:r>
      <w:r>
        <w:rPr/>
        <w:t>职责和管理制度，各部门按照规定的职责独立运作。</w:t>
      </w:r>
    </w:p>
    <w:p>
      <w:pPr>
        <w:pStyle w:val="BodyText"/>
        <w:spacing w:line="398" w:lineRule="auto"/>
        <w:ind w:right="170" w:firstLine="420"/>
        <w:jc w:val="left"/>
      </w:pPr>
      <w:r>
        <w:rPr>
          <w:rFonts w:ascii="Times New Roman" w:hAnsi="Times New Roman" w:cs="Times New Roman" w:eastAsia="Times New Roman" w:hint="default"/>
        </w:rPr>
        <w:t>5</w:t>
      </w:r>
      <w:r>
        <w:rPr/>
        <w:t>、公司业务独立。公司具备独立、完整的产供销系统，拥有独立的决策和执行机构，并拥有独立的 业务系统；独立地对外签署合同，独立采购、生产并销售其生产的产品；具有面向市场的自主经营能力； 公司股东及其控制的其他企业没有从事与公司相同或相近的业务。</w:t>
      </w:r>
    </w:p>
    <w:p>
      <w:pPr>
        <w:spacing w:after="0" w:line="398"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408" w:lineRule="auto" w:before="35"/>
        <w:ind w:left="573" w:right="0"/>
        <w:jc w:val="left"/>
      </w:pPr>
      <w:r>
        <w:rPr/>
        <w:t>（二）股东与股东大会 </w:t>
      </w:r>
      <w:r>
        <w:rPr>
          <w:spacing w:val="-1"/>
        </w:rPr>
        <w:t>公司严格按照《创业板上市公司规范运作指引》、《上市公司股东大会规则》、《公司章程》、《公</w:t>
      </w:r>
    </w:p>
    <w:p>
      <w:pPr>
        <w:pStyle w:val="BodyText"/>
        <w:spacing w:line="408" w:lineRule="auto"/>
        <w:ind w:left="153" w:right="150"/>
        <w:jc w:val="both"/>
      </w:pPr>
      <w:r>
        <w:rPr>
          <w:spacing w:val="-1"/>
        </w:rPr>
        <w:t>司股东大会议事规则》等规定的要求，召集、召开股东大会，平等对待所有股东，特别是保证中小股东享</w:t>
      </w:r>
      <w:r>
        <w:rPr>
          <w:spacing w:val="-83"/>
        </w:rPr>
        <w:t> </w:t>
      </w:r>
      <w:r>
        <w:rPr>
          <w:spacing w:val="-83"/>
        </w:rPr>
      </w:r>
      <w:r>
        <w:rPr>
          <w:spacing w:val="-1"/>
        </w:rPr>
        <w:t>有平等地位，并尽可能为股东参加股东大会提供便利，使其充分行使自己的权利。在《公司章程》、《股</w:t>
      </w:r>
      <w:r>
        <w:rPr>
          <w:spacing w:val="-85"/>
        </w:rPr>
        <w:t> </w:t>
      </w:r>
      <w:r>
        <w:rPr>
          <w:spacing w:val="-85"/>
        </w:rPr>
      </w:r>
      <w:r>
        <w:rPr>
          <w:spacing w:val="-1"/>
        </w:rPr>
        <w:t>东大会议事规则》中明确规定了股东大会的召集、召开及表决程序、股东的参会资格和对董事会的授权原</w:t>
      </w:r>
      <w:r>
        <w:rPr>
          <w:spacing w:val="-83"/>
        </w:rPr>
        <w:t> </w:t>
      </w:r>
      <w:r>
        <w:rPr>
          <w:spacing w:val="-83"/>
        </w:rPr>
      </w:r>
      <w:r>
        <w:rPr/>
        <w:t>则等，董事会在报告期内做到认真审议并安排股东大会的审议事项等。</w:t>
      </w:r>
    </w:p>
    <w:p>
      <w:pPr>
        <w:pStyle w:val="BodyText"/>
        <w:spacing w:line="408" w:lineRule="auto"/>
        <w:ind w:left="573" w:right="0"/>
        <w:jc w:val="left"/>
      </w:pPr>
      <w:r>
        <w:rPr/>
        <w:t>（三）公司与控股股东 </w:t>
      </w:r>
      <w:r>
        <w:rPr>
          <w:spacing w:val="-1"/>
        </w:rPr>
        <w:t>公司控股股东严格按照《上市公司治理准则》、《深圳证券交易所创业板股票上市规则》、《公司章</w:t>
      </w:r>
    </w:p>
    <w:p>
      <w:pPr>
        <w:pStyle w:val="BodyText"/>
        <w:spacing w:line="408" w:lineRule="auto"/>
        <w:ind w:left="153" w:right="128"/>
        <w:jc w:val="both"/>
      </w:pPr>
      <w:r>
        <w:rPr>
          <w:spacing w:val="-1"/>
        </w:rPr>
        <w:t>程》规范自己的行为，通过股东大会依法行使出资人的权利，没有采取任何其他方式直接或间接地干预公</w:t>
      </w:r>
      <w:r>
        <w:rPr>
          <w:spacing w:val="-83"/>
        </w:rPr>
        <w:t> </w:t>
      </w:r>
      <w:r>
        <w:rPr>
          <w:spacing w:val="-83"/>
        </w:rPr>
      </w:r>
      <w:r>
        <w:rPr/>
        <w:t>司的决策及依法开展的生产经营活动，没有损害公司及其他股东的利益；公司与控股股东在业务、人员、 </w:t>
      </w:r>
      <w:r>
        <w:rPr>
          <w:spacing w:val="-1"/>
        </w:rPr>
        <w:t>资产、机构和财务方面做到相互独立；公司的重大决策能按照规范的程序由股东大会和董事会作出。控股</w:t>
      </w:r>
      <w:r>
        <w:rPr>
          <w:spacing w:val="-83"/>
        </w:rPr>
        <w:t> </w:t>
      </w:r>
      <w:r>
        <w:rPr>
          <w:spacing w:val="-83"/>
        </w:rPr>
      </w:r>
      <w:r>
        <w:rPr/>
        <w:t>股东与公司之间无关联交易，公司没有为控股股东及其下属企业提供担保。</w:t>
      </w:r>
    </w:p>
    <w:p>
      <w:pPr>
        <w:pStyle w:val="BodyText"/>
        <w:spacing w:line="408" w:lineRule="auto"/>
        <w:ind w:left="573" w:right="0"/>
        <w:jc w:val="left"/>
      </w:pPr>
      <w:r>
        <w:rPr/>
        <w:t>（四）董事与董事会 </w:t>
      </w:r>
      <w:r>
        <w:rPr>
          <w:spacing w:val="-1"/>
        </w:rPr>
        <w:t>公司在《公司章程》、《董事会议事规则》中规定规范、透明的董事选聘程序，并严格执行。公司董</w:t>
      </w:r>
    </w:p>
    <w:p>
      <w:pPr>
        <w:pStyle w:val="BodyText"/>
        <w:spacing w:line="403" w:lineRule="auto"/>
        <w:ind w:left="153" w:right="151"/>
        <w:jc w:val="both"/>
      </w:pPr>
      <w:r>
        <w:rPr>
          <w:spacing w:val="-1"/>
        </w:rPr>
        <w:t>事会设董事</w:t>
      </w:r>
      <w:r>
        <w:rPr>
          <w:rFonts w:ascii="Times New Roman" w:hAnsi="Times New Roman" w:cs="Times New Roman" w:eastAsia="Times New Roman" w:hint="default"/>
          <w:spacing w:val="-1"/>
        </w:rPr>
        <w:t>9</w:t>
      </w:r>
      <w:r>
        <w:rPr>
          <w:spacing w:val="-1"/>
        </w:rPr>
        <w:t>名，其中独立董事</w:t>
      </w:r>
      <w:r>
        <w:rPr>
          <w:rFonts w:ascii="Times New Roman" w:hAnsi="Times New Roman" w:cs="Times New Roman" w:eastAsia="Times New Roman" w:hint="default"/>
          <w:spacing w:val="-1"/>
        </w:rPr>
        <w:t>4</w:t>
      </w:r>
      <w:r>
        <w:rPr>
          <w:spacing w:val="-1"/>
        </w:rPr>
        <w:t>名，董事会的人数及人员构成符合法律、法规和《公司章程》的要求。各</w:t>
      </w:r>
      <w:r>
        <w:rPr>
          <w:spacing w:val="-84"/>
        </w:rPr>
        <w:t> </w:t>
      </w:r>
      <w:r>
        <w:rPr>
          <w:spacing w:val="-84"/>
        </w:rPr>
      </w:r>
      <w:r>
        <w:rPr>
          <w:spacing w:val="-1"/>
        </w:rPr>
        <w:t>位董事能够依据《公司法》、《创业板上市公司规范运作指引》、《公司章程》、《董事会议事规则》等</w:t>
      </w:r>
      <w:r>
        <w:rPr>
          <w:spacing w:val="-86"/>
        </w:rPr>
        <w:t> </w:t>
      </w:r>
      <w:r>
        <w:rPr>
          <w:spacing w:val="-86"/>
        </w:rPr>
      </w:r>
      <w:r>
        <w:rPr>
          <w:spacing w:val="-1"/>
        </w:rPr>
        <w:t>相关法律法规制度开展工作，按时参加会议，勤勉尽责地履行职责和义务，同时积极参加相关培训，熟悉</w:t>
      </w:r>
      <w:r>
        <w:rPr>
          <w:spacing w:val="-82"/>
        </w:rPr>
        <w:t> </w:t>
      </w:r>
      <w:r>
        <w:rPr>
          <w:spacing w:val="-82"/>
        </w:rPr>
      </w:r>
      <w:r>
        <w:rPr>
          <w:spacing w:val="-1"/>
        </w:rPr>
        <w:t>相关法律法规。独立董事能够不受公司主要股东、实际控制人以及其他与公司存在利害关系的单位或个人</w:t>
      </w:r>
      <w:r>
        <w:rPr>
          <w:spacing w:val="-81"/>
        </w:rPr>
        <w:t> </w:t>
      </w:r>
      <w:r>
        <w:rPr>
          <w:spacing w:val="-81"/>
        </w:rPr>
      </w:r>
      <w:r>
        <w:rPr/>
        <w:t>的影响，独立履行职责，对公司的重大事项均能发表独立意见。</w:t>
      </w:r>
    </w:p>
    <w:p>
      <w:pPr>
        <w:pStyle w:val="BodyText"/>
        <w:spacing w:line="403" w:lineRule="auto" w:before="50"/>
        <w:ind w:left="153" w:right="0" w:firstLine="420"/>
        <w:jc w:val="left"/>
      </w:pPr>
      <w:r>
        <w:rPr/>
        <w:t>（五）监事与监事会 </w:t>
      </w:r>
      <w:r>
        <w:rPr>
          <w:spacing w:val="-1"/>
        </w:rPr>
        <w:t>公司监事会严格按照《公司法》、《公司章程》和《监事会议事规则》的有关规定，认真履行职责，对公</w:t>
      </w:r>
      <w:r>
        <w:rPr>
          <w:spacing w:val="-85"/>
        </w:rPr>
        <w:t> </w:t>
      </w:r>
      <w:r>
        <w:rPr>
          <w:spacing w:val="-85"/>
        </w:rPr>
      </w:r>
      <w:r>
        <w:rPr>
          <w:spacing w:val="-1"/>
        </w:rPr>
        <w:t>司财务状况、重大事项以及公司董事、经理和其他高级管理人员履行职责的合法合规性进行监督，维护公</w:t>
      </w:r>
      <w:r>
        <w:rPr>
          <w:spacing w:val="-83"/>
        </w:rPr>
        <w:t> </w:t>
      </w:r>
      <w:r>
        <w:rPr>
          <w:spacing w:val="-83"/>
        </w:rPr>
      </w:r>
      <w:r>
        <w:rPr>
          <w:spacing w:val="-1"/>
        </w:rPr>
        <w:t>司及股东的合法权益。公司监事会设监事</w:t>
      </w:r>
      <w:r>
        <w:rPr>
          <w:rFonts w:ascii="Times New Roman" w:hAnsi="Times New Roman" w:cs="Times New Roman" w:eastAsia="Times New Roman" w:hint="default"/>
          <w:spacing w:val="-1"/>
        </w:rPr>
        <w:t>3</w:t>
      </w:r>
      <w:r>
        <w:rPr>
          <w:spacing w:val="-1"/>
        </w:rPr>
        <w:t>名，其中职工代表监事</w:t>
      </w:r>
      <w:r>
        <w:rPr>
          <w:rFonts w:ascii="Times New Roman" w:hAnsi="Times New Roman" w:cs="Times New Roman" w:eastAsia="Times New Roman" w:hint="default"/>
          <w:spacing w:val="-1"/>
        </w:rPr>
        <w:t>1</w:t>
      </w:r>
      <w:r>
        <w:rPr>
          <w:spacing w:val="-1"/>
        </w:rPr>
        <w:t>名，公司监事会的人数、成员构成及监</w:t>
      </w:r>
      <w:r>
        <w:rPr>
          <w:spacing w:val="-82"/>
        </w:rPr>
        <w:t> </w:t>
      </w:r>
      <w:r>
        <w:rPr>
          <w:spacing w:val="-82"/>
        </w:rPr>
      </w:r>
      <w:r>
        <w:rPr>
          <w:spacing w:val="-1"/>
        </w:rPr>
        <w:t>事的任职资格符合相关法律、法规的要求。监事会能够严格按照《监事会议事规则》的要求召集、召开监</w:t>
      </w:r>
      <w:r>
        <w:rPr>
          <w:spacing w:val="-83"/>
        </w:rPr>
        <w:t> </w:t>
      </w:r>
      <w:r>
        <w:rPr>
          <w:spacing w:val="-83"/>
        </w:rPr>
      </w:r>
      <w:r>
        <w:rPr/>
        <w:t>事会，表决程序符合法律、法规的要求。</w:t>
      </w:r>
    </w:p>
    <w:p>
      <w:pPr>
        <w:pStyle w:val="BodyText"/>
        <w:spacing w:line="408" w:lineRule="auto" w:before="50"/>
        <w:ind w:left="153" w:right="111" w:firstLine="420"/>
        <w:jc w:val="left"/>
      </w:pPr>
      <w:r>
        <w:rPr/>
        <w:t>（六）绩效评价与激励约束机制 董事会薪酬与考核委员会负责对公司的董事、监事、高级管理人员进行绩效考核，建立并逐步完善公正、 透明的绩效评价标准和激励约束机制。《公司章程》明确规定了高级管理人员的履职行为、权限和职责， </w:t>
      </w:r>
      <w:r>
        <w:rPr>
          <w:spacing w:val="-1"/>
        </w:rPr>
        <w:t>高级管理人员的聘任公开、透明，符合有关法律、法规的规定，现有的考核及激励约束机制符合公司的发</w:t>
      </w:r>
      <w:r>
        <w:rPr>
          <w:spacing w:val="-82"/>
        </w:rPr>
        <w:t> </w:t>
      </w:r>
      <w:r>
        <w:rPr>
          <w:spacing w:val="-82"/>
        </w:rPr>
      </w:r>
      <w:r>
        <w:rPr/>
        <w:t>展情况。</w:t>
      </w:r>
    </w:p>
    <w:p>
      <w:pPr>
        <w:spacing w:after="0" w:line="408"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408" w:lineRule="auto" w:before="35"/>
        <w:ind w:left="573" w:right="95"/>
        <w:jc w:val="left"/>
      </w:pPr>
      <w:r>
        <w:rPr/>
        <w:t>（七）独立董事履职情况 </w:t>
      </w:r>
      <w:r>
        <w:rPr>
          <w:spacing w:val="-1"/>
        </w:rPr>
        <w:t>公司独立董事按照《公司章程》和《独立董事工作制度》等规定，独立、客观、公正地履行职责，出</w:t>
      </w:r>
    </w:p>
    <w:p>
      <w:pPr>
        <w:pStyle w:val="BodyText"/>
        <w:spacing w:line="398" w:lineRule="auto"/>
        <w:ind w:left="153" w:right="211"/>
        <w:jc w:val="both"/>
      </w:pPr>
      <w:r>
        <w:rPr>
          <w:spacing w:val="-1"/>
        </w:rPr>
        <w:t>席和列席了报告期内历次董事会和股东大会，对董事会议案行认真审议，根据相关规定对公司的重大事项</w:t>
      </w:r>
      <w:r>
        <w:rPr>
          <w:spacing w:val="-81"/>
        </w:rPr>
        <w:t> </w:t>
      </w:r>
      <w:r>
        <w:rPr>
          <w:spacing w:val="-81"/>
        </w:rPr>
      </w:r>
      <w:r>
        <w:rPr>
          <w:spacing w:val="-1"/>
        </w:rPr>
        <w:t>发表独立意见。</w:t>
      </w:r>
      <w:r>
        <w:rPr>
          <w:rFonts w:ascii="Times New Roman" w:hAnsi="Times New Roman" w:cs="Times New Roman" w:eastAsia="Times New Roman" w:hint="default"/>
          <w:spacing w:val="-1"/>
        </w:rPr>
        <w:t>2015</w:t>
      </w:r>
      <w:r>
        <w:rPr>
          <w:spacing w:val="-1"/>
        </w:rPr>
        <w:t>年度，独立董事未对董事会审议的各项议案及其他相关事项提出异议。独立董事通过</w:t>
      </w:r>
      <w:r>
        <w:rPr>
          <w:spacing w:val="-84"/>
        </w:rPr>
        <w:t> </w:t>
      </w:r>
      <w:r>
        <w:rPr>
          <w:spacing w:val="-84"/>
        </w:rPr>
      </w:r>
      <w:r>
        <w:rPr/>
        <w:t>实地考察和内外调研，运用其专业知识和经验特长，为公司经营和发展提出合理化意见和建议。</w:t>
      </w:r>
    </w:p>
    <w:p>
      <w:pPr>
        <w:pStyle w:val="BodyText"/>
        <w:spacing w:line="408" w:lineRule="auto" w:before="54"/>
        <w:ind w:left="573" w:right="95"/>
        <w:jc w:val="left"/>
      </w:pPr>
      <w:r>
        <w:rPr/>
        <w:t>（八）相关利益者 </w:t>
      </w:r>
      <w:r>
        <w:rPr>
          <w:spacing w:val="-1"/>
        </w:rPr>
        <w:t>公司能够充分尊重银行及其他债权人、员工、消费者、供应商、经销商等利益相关者的合法权利，与</w:t>
      </w:r>
    </w:p>
    <w:p>
      <w:pPr>
        <w:pStyle w:val="BodyText"/>
        <w:spacing w:line="240" w:lineRule="auto"/>
        <w:ind w:left="153" w:right="0"/>
        <w:jc w:val="both"/>
      </w:pPr>
      <w:r>
        <w:rPr/>
        <w:t>利益相关者积极合作，共同推动公司持续、健康地发展。</w:t>
      </w:r>
    </w:p>
    <w:p>
      <w:pPr>
        <w:spacing w:line="240" w:lineRule="auto" w:before="10"/>
        <w:rPr>
          <w:rFonts w:ascii="宋体" w:hAnsi="宋体" w:cs="宋体" w:eastAsia="宋体" w:hint="default"/>
          <w:sz w:val="14"/>
          <w:szCs w:val="14"/>
        </w:rPr>
      </w:pPr>
    </w:p>
    <w:p>
      <w:pPr>
        <w:pStyle w:val="BodyText"/>
        <w:spacing w:line="408" w:lineRule="auto" w:before="0"/>
        <w:ind w:left="573" w:right="171"/>
        <w:jc w:val="left"/>
      </w:pPr>
      <w:r>
        <w:rPr/>
        <w:t>（九）关于信息披露与透明度 公司根据《深圳证券交易所创业板股票上市规则》、《上市公司信息披露管理办法》、《公司章程》</w:t>
      </w:r>
    </w:p>
    <w:p>
      <w:pPr>
        <w:pStyle w:val="BodyText"/>
        <w:spacing w:line="240" w:lineRule="auto"/>
        <w:ind w:left="153" w:right="0"/>
        <w:jc w:val="both"/>
      </w:pPr>
      <w:r>
        <w:rPr>
          <w:spacing w:val="-3"/>
        </w:rPr>
        <w:t>以及公司《信息披露管理制度》等相关法规制度的规定，认真履行信息披露义务。公司指定《证券时报》、</w:t>
      </w:r>
    </w:p>
    <w:p>
      <w:pPr>
        <w:spacing w:line="240" w:lineRule="auto" w:before="10"/>
        <w:rPr>
          <w:rFonts w:ascii="宋体" w:hAnsi="宋体" w:cs="宋体" w:eastAsia="宋体" w:hint="default"/>
          <w:sz w:val="14"/>
          <w:szCs w:val="14"/>
        </w:rPr>
      </w:pPr>
    </w:p>
    <w:p>
      <w:pPr>
        <w:pStyle w:val="BodyText"/>
        <w:spacing w:line="400" w:lineRule="auto" w:before="0"/>
        <w:ind w:left="153" w:right="95"/>
        <w:jc w:val="left"/>
      </w:pPr>
      <w:r>
        <w:rPr/>
        <w:t>《中国证券报》和巨潮资讯网（</w:t>
      </w:r>
      <w:hyperlink r:id="rId31">
        <w:r>
          <w:rPr>
            <w:rFonts w:ascii="Times New Roman" w:hAnsi="Times New Roman" w:cs="Times New Roman" w:eastAsia="Times New Roman" w:hint="default"/>
          </w:rPr>
          <w:t>http://www.cninfo.com.cn</w:t>
        </w:r>
      </w:hyperlink>
      <w:r>
        <w:rPr/>
        <w:t>）为公司信息披露的指定报纸和网站。公司指定 </w:t>
      </w:r>
      <w:r>
        <w:rPr>
          <w:spacing w:val="-1"/>
        </w:rPr>
        <w:t>董事会秘书负责信息披露工作，并负责投资者关系管理，接待投资者的来访和咨询，设立专门机构并配备</w:t>
      </w:r>
      <w:r>
        <w:rPr>
          <w:spacing w:val="-83"/>
        </w:rPr>
        <w:t> </w:t>
      </w:r>
      <w:r>
        <w:rPr>
          <w:spacing w:val="-83"/>
        </w:rPr>
      </w:r>
      <w:r>
        <w:rPr>
          <w:spacing w:val="-1"/>
        </w:rPr>
        <w:t>了相应人员，真实、准确、及时、公平、完整地披露有关信息，确保公司所有股东能够以平等的机会获得</w:t>
      </w:r>
      <w:r>
        <w:rPr>
          <w:spacing w:val="-83"/>
        </w:rPr>
        <w:t> </w:t>
      </w:r>
      <w:r>
        <w:rPr>
          <w:spacing w:val="-83"/>
        </w:rPr>
      </w:r>
      <w:r>
        <w:rPr/>
        <w:t>信息。</w:t>
      </w:r>
      <w:r>
        <w:rPr>
          <w:rFonts w:ascii="Times New Roman" w:hAnsi="Times New Roman" w:cs="Times New Roman" w:eastAsia="Times New Roman" w:hint="default"/>
        </w:rPr>
        <w:t>2015</w:t>
      </w:r>
      <w:r>
        <w:rPr/>
        <w:t>年度公司信息披露的内部控制得到了有效执行。</w:t>
      </w:r>
    </w:p>
    <w:p>
      <w:pPr>
        <w:pStyle w:val="BodyText"/>
        <w:spacing w:line="408" w:lineRule="auto" w:before="21"/>
        <w:ind w:left="573" w:right="95"/>
        <w:jc w:val="left"/>
      </w:pPr>
      <w:r>
        <w:rPr/>
        <w:t>（十）投资者关系管理情况 </w:t>
      </w:r>
      <w:r>
        <w:rPr>
          <w:spacing w:val="-1"/>
        </w:rPr>
        <w:t>投资者关系工作是一项长期、持续的重要工作，公司不断学习先进投资者关系管理经验，以更好的方</w:t>
      </w:r>
    </w:p>
    <w:p>
      <w:pPr>
        <w:pStyle w:val="BodyText"/>
        <w:spacing w:line="408" w:lineRule="auto"/>
        <w:ind w:left="153" w:right="188"/>
        <w:jc w:val="both"/>
      </w:pPr>
      <w:r>
        <w:rPr/>
        <w:t>式和途径使广大投资者能够平等地获取公司经营管理、未来发展等信息，构建与投资者的良好互动关系， </w:t>
      </w:r>
      <w:r>
        <w:rPr>
          <w:spacing w:val="-1"/>
        </w:rPr>
        <w:t>树立公司在资本市场的规范形象。报告期内，公司严格执行《投资者关系管理制度》，认真做好投资者关</w:t>
      </w:r>
      <w:r>
        <w:rPr>
          <w:spacing w:val="-83"/>
        </w:rPr>
        <w:t> </w:t>
      </w:r>
      <w:r>
        <w:rPr>
          <w:spacing w:val="-83"/>
        </w:rPr>
      </w:r>
      <w:r>
        <w:rPr/>
        <w:t>系管理工作：</w:t>
      </w:r>
    </w:p>
    <w:p>
      <w:pPr>
        <w:pStyle w:val="BodyText"/>
        <w:spacing w:line="240" w:lineRule="auto"/>
        <w:ind w:left="573" w:right="95"/>
        <w:jc w:val="left"/>
      </w:pPr>
      <w:r>
        <w:rPr>
          <w:rFonts w:ascii="Times New Roman" w:hAnsi="Times New Roman" w:cs="Times New Roman" w:eastAsia="Times New Roman" w:hint="default"/>
        </w:rPr>
        <w:t>1</w:t>
      </w:r>
      <w:r>
        <w:rPr/>
        <w:t>、日常工作</w:t>
      </w:r>
    </w:p>
    <w:p>
      <w:pPr>
        <w:pStyle w:val="BodyText"/>
        <w:spacing w:line="398" w:lineRule="auto" w:before="177"/>
        <w:ind w:right="95" w:firstLine="420"/>
        <w:jc w:val="left"/>
      </w:pPr>
      <w:r>
        <w:rPr/>
        <w:t>（</w:t>
      </w:r>
      <w:r>
        <w:rPr>
          <w:rFonts w:ascii="Times New Roman" w:hAnsi="Times New Roman" w:cs="Times New Roman" w:eastAsia="Times New Roman" w:hint="default"/>
        </w:rPr>
        <w:t>1</w:t>
      </w:r>
      <w:r>
        <w:rPr/>
        <w:t>）指定董事会秘书作为投资者关系管理负责人，安排专人负责投资者来访接待工作，积极做好投 </w:t>
      </w:r>
      <w:r>
        <w:rPr>
          <w:spacing w:val="-1"/>
        </w:rPr>
        <w:t>资者关系管理工作档案的建立和保管，合理、妥善地安排个人投资者、机构投资者、行业分析师等相关人</w:t>
      </w:r>
      <w:r>
        <w:rPr>
          <w:spacing w:val="-82"/>
        </w:rPr>
        <w:t> </w:t>
      </w:r>
      <w:r>
        <w:rPr>
          <w:spacing w:val="-82"/>
        </w:rPr>
      </w:r>
      <w:r>
        <w:rPr/>
        <w:t>员到公司进行调研，并切实做好相关信息的保密工作。</w:t>
      </w:r>
    </w:p>
    <w:p>
      <w:pPr>
        <w:pStyle w:val="BodyText"/>
        <w:spacing w:line="386" w:lineRule="auto" w:before="54"/>
        <w:ind w:right="275" w:firstLine="420"/>
        <w:jc w:val="left"/>
      </w:pPr>
      <w:r>
        <w:rPr/>
        <w:t>（</w:t>
      </w:r>
      <w:r>
        <w:rPr>
          <w:rFonts w:ascii="Times New Roman" w:hAnsi="Times New Roman" w:cs="Times New Roman" w:eastAsia="Times New Roman" w:hint="default"/>
        </w:rPr>
        <w:t>2</w:t>
      </w:r>
      <w:r>
        <w:rPr/>
        <w:t>）通过公司网站、投资者关系管理电话、电子信箱、互动平台等多种渠道与投资者加强沟通，尽 可能解答投资者的疑问。</w:t>
      </w:r>
    </w:p>
    <w:p>
      <w:pPr>
        <w:pStyle w:val="BodyText"/>
        <w:spacing w:line="240" w:lineRule="auto" w:before="65"/>
        <w:ind w:left="574" w:right="95"/>
        <w:jc w:val="left"/>
      </w:pPr>
      <w:r>
        <w:rPr>
          <w:rFonts w:ascii="Times New Roman" w:hAnsi="Times New Roman" w:cs="Times New Roman" w:eastAsia="Times New Roman" w:hint="default"/>
        </w:rPr>
        <w:t>2</w:t>
      </w:r>
      <w:r>
        <w:rPr/>
        <w:t>、互动交流</w:t>
      </w:r>
    </w:p>
    <w:p>
      <w:pPr>
        <w:pStyle w:val="BodyText"/>
        <w:spacing w:line="386" w:lineRule="auto" w:before="177"/>
        <w:ind w:right="209" w:firstLine="419"/>
        <w:jc w:val="both"/>
      </w:pPr>
      <w:r>
        <w:rPr>
          <w:spacing w:val="-1"/>
        </w:rPr>
        <w:t>（</w:t>
      </w:r>
      <w:r>
        <w:rPr>
          <w:rFonts w:ascii="Times New Roman" w:hAnsi="Times New Roman" w:cs="Times New Roman" w:eastAsia="Times New Roman" w:hint="default"/>
          <w:spacing w:val="-1"/>
        </w:rPr>
        <w:t>1</w:t>
      </w:r>
      <w:r>
        <w:rPr>
          <w:spacing w:val="-1"/>
        </w:rPr>
        <w:t>）报告期内，公司召开了</w:t>
      </w:r>
      <w:r>
        <w:rPr>
          <w:rFonts w:ascii="Times New Roman" w:hAnsi="Times New Roman" w:cs="Times New Roman" w:eastAsia="Times New Roman" w:hint="default"/>
          <w:spacing w:val="-1"/>
        </w:rPr>
        <w:t>4</w:t>
      </w:r>
      <w:r>
        <w:rPr>
          <w:spacing w:val="-1"/>
        </w:rPr>
        <w:t>次股东大会，举行了</w:t>
      </w:r>
      <w:r>
        <w:rPr>
          <w:rFonts w:ascii="Times New Roman" w:hAnsi="Times New Roman" w:cs="Times New Roman" w:eastAsia="Times New Roman" w:hint="default"/>
          <w:spacing w:val="-1"/>
        </w:rPr>
        <w:t>2014</w:t>
      </w:r>
      <w:r>
        <w:rPr>
          <w:spacing w:val="-1"/>
        </w:rPr>
        <w:t>年度网上业绩说明会并积极参与了河南上市公</w:t>
      </w:r>
      <w:r>
        <w:rPr/>
        <w:t> </w:t>
      </w:r>
      <w:r>
        <w:rPr>
          <w:spacing w:val="-1"/>
        </w:rPr>
        <w:t>司</w:t>
      </w:r>
      <w:r>
        <w:rPr>
          <w:rFonts w:ascii="Times New Roman" w:hAnsi="Times New Roman" w:cs="Times New Roman" w:eastAsia="Times New Roman" w:hint="default"/>
          <w:spacing w:val="-1"/>
        </w:rPr>
        <w:t>2014</w:t>
      </w:r>
      <w:r>
        <w:rPr>
          <w:spacing w:val="-1"/>
        </w:rPr>
        <w:t>年度业绩说明会。在会上，公司认真听取了投资者的建议和意见，并就公司经营以及未来发展等问</w:t>
      </w:r>
      <w:r>
        <w:rPr>
          <w:spacing w:val="-84"/>
        </w:rPr>
        <w:t> </w:t>
      </w:r>
      <w:r>
        <w:rPr>
          <w:spacing w:val="-84"/>
        </w:rPr>
      </w:r>
      <w:r>
        <w:rPr/>
        <w:t>题与投资者进行了深入的沟通和交流。</w:t>
      </w:r>
    </w:p>
    <w:p>
      <w:pPr>
        <w:spacing w:after="0" w:line="386" w:lineRule="auto"/>
        <w:jc w:val="both"/>
        <w:sectPr>
          <w:footerReference w:type="default" r:id="rId42"/>
          <w:pgSz w:w="11910" w:h="16840"/>
          <w:pgMar w:footer="982" w:header="877" w:top="1100" w:bottom="1180" w:left="980" w:right="920"/>
          <w:pgNumType w:start="120"/>
        </w:sectPr>
      </w:pPr>
    </w:p>
    <w:p>
      <w:pPr>
        <w:spacing w:line="240" w:lineRule="auto" w:before="8"/>
        <w:rPr>
          <w:rFonts w:ascii="宋体" w:hAnsi="宋体" w:cs="宋体" w:eastAsia="宋体" w:hint="default"/>
          <w:sz w:val="26"/>
          <w:szCs w:val="26"/>
        </w:rPr>
      </w:pPr>
    </w:p>
    <w:p>
      <w:pPr>
        <w:spacing w:line="398" w:lineRule="auto" w:before="35"/>
        <w:ind w:left="154" w:right="94" w:firstLine="420"/>
        <w:jc w:val="left"/>
        <w:rPr>
          <w:rFonts w:ascii="宋体" w:hAnsi="宋体" w:cs="宋体" w:eastAsia="宋体" w:hint="default"/>
          <w:sz w:val="18"/>
          <w:szCs w:val="18"/>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）报告期内，公司通过</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投资者关系互动平台</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及</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深交所互动易</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，就投资者关心的问题进行了充分、</w:t>
      </w:r>
      <w:r>
        <w:rPr>
          <w:rFonts w:ascii="宋体" w:hAnsi="宋体" w:cs="宋体" w:eastAsia="宋体" w:hint="default"/>
          <w:sz w:val="21"/>
          <w:szCs w:val="21"/>
        </w:rPr>
        <w:t> 深入、详细的分析、说明和答复，建立了投资者与公司之间规范、直接、快速的交流与沟通渠道，提高了 公司规范运作水平，更好的保护了投资者特别是中小投资者的合法权益。 </w:t>
      </w:r>
      <w:r>
        <w:rPr>
          <w:rFonts w:ascii="宋体" w:hAnsi="宋体" w:cs="宋体" w:eastAsia="宋体" w:hint="default"/>
          <w:sz w:val="18"/>
          <w:szCs w:val="18"/>
        </w:rPr>
        <w:t>公司治理的实际状况与中国证监会发布的有关上市公司治理的规范性文件是否存在重大差异</w:t>
      </w:r>
    </w:p>
    <w:p>
      <w:pPr>
        <w:spacing w:line="338" w:lineRule="auto" w:before="0"/>
        <w:ind w:left="154" w:right="26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95"/>
        <w:jc w:val="left"/>
        <w:rPr>
          <w:b w:val="0"/>
          <w:bCs w:val="0"/>
        </w:rPr>
      </w:pP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209" w:firstLine="420"/>
        <w:jc w:val="both"/>
      </w:pPr>
      <w:r>
        <w:rPr>
          <w:spacing w:val="-1"/>
        </w:rPr>
        <w:t>公司严格按照《公司法》、《证券法》等有关法律法规、部门规章、规范性文件和《公司章程》的要</w:t>
      </w:r>
      <w:r>
        <w:rPr/>
        <w:t> </w:t>
      </w:r>
      <w:r>
        <w:rPr>
          <w:spacing w:val="-1"/>
        </w:rPr>
        <w:t>求规范运作，与控股股东、实际控制人在业务、人员、资产、机构和财务等方面完全分开，具有独立完整</w:t>
      </w:r>
      <w:r>
        <w:rPr>
          <w:spacing w:val="-83"/>
        </w:rPr>
        <w:t> </w:t>
      </w:r>
      <w:r>
        <w:rPr>
          <w:spacing w:val="-83"/>
        </w:rPr>
      </w:r>
      <w:r>
        <w:rPr/>
        <w:t>的业务及自主经营能力。</w:t>
      </w:r>
    </w:p>
    <w:p>
      <w:pPr>
        <w:pStyle w:val="BodyText"/>
        <w:spacing w:line="386" w:lineRule="auto"/>
        <w:ind w:left="153" w:right="276" w:firstLine="420"/>
        <w:jc w:val="left"/>
      </w:pPr>
      <w:r>
        <w:rPr>
          <w:rFonts w:ascii="Times New Roman" w:hAnsi="Times New Roman" w:cs="Times New Roman" w:eastAsia="Times New Roman" w:hint="default"/>
        </w:rPr>
        <w:t>1</w:t>
      </w:r>
      <w:r>
        <w:rPr/>
        <w:t>、业务独立性：公司具有独立的业务体系，能够独立制定、执行和完成经营目标，具有独立面向市 场的经营能力，不受控股股东及其他关联方的控制和影响，不存在对股东及其他关联方的依赖。</w:t>
      </w:r>
    </w:p>
    <w:p>
      <w:pPr>
        <w:pStyle w:val="BodyText"/>
        <w:spacing w:line="400" w:lineRule="auto" w:before="65"/>
        <w:ind w:left="153" w:right="95" w:firstLine="420"/>
        <w:jc w:val="left"/>
      </w:pPr>
      <w:r>
        <w:rPr>
          <w:rFonts w:ascii="Times New Roman" w:hAnsi="Times New Roman" w:cs="Times New Roman" w:eastAsia="Times New Roman" w:hint="default"/>
        </w:rPr>
        <w:t>2</w:t>
      </w:r>
      <w:r>
        <w:rPr/>
        <w:t>、人员独立性：公司在劳动、人事、工资管理等方面完全独立。公司董事、监事及高级管理人员的 </w:t>
      </w:r>
      <w:r>
        <w:rPr>
          <w:spacing w:val="-1"/>
        </w:rPr>
        <w:t>产生严格依据法定程序执行，不存在实际控制人超越公司董事会和股东大会权限作出人事任免之情形。公</w:t>
      </w:r>
      <w:r>
        <w:rPr>
          <w:spacing w:val="-81"/>
        </w:rPr>
        <w:t> </w:t>
      </w:r>
      <w:r>
        <w:rPr>
          <w:spacing w:val="-81"/>
        </w:rPr>
      </w:r>
      <w:r>
        <w:rPr>
          <w:spacing w:val="-1"/>
        </w:rPr>
        <w:t>司高级管理人员均在本公司领取薪酬，未在实际控制人及其他股东控制的其他企业中担任职务，也没有在</w:t>
      </w:r>
      <w:r>
        <w:rPr>
          <w:spacing w:val="-81"/>
        </w:rPr>
        <w:t> </w:t>
      </w:r>
      <w:r>
        <w:rPr>
          <w:spacing w:val="-81"/>
        </w:rPr>
      </w:r>
      <w:r>
        <w:rPr/>
        <w:t>与本公司业务相同或相似、或存在其他利益冲突的企业任职或领取薪酬。</w:t>
      </w:r>
    </w:p>
    <w:p>
      <w:pPr>
        <w:pStyle w:val="BodyText"/>
        <w:spacing w:line="386" w:lineRule="auto" w:before="52"/>
        <w:ind w:left="153" w:right="276" w:firstLine="420"/>
        <w:jc w:val="left"/>
      </w:pPr>
      <w:r>
        <w:rPr>
          <w:rFonts w:ascii="Times New Roman" w:hAnsi="Times New Roman" w:cs="Times New Roman" w:eastAsia="Times New Roman" w:hint="default"/>
        </w:rPr>
        <w:t>3</w:t>
      </w:r>
      <w:r>
        <w:rPr/>
        <w:t>、资产独立性：公司现有资产产权明晰，拥有经营所需的技术、专利、商标、设备等，资产完整， 不存在股东或其关联方占用公司资产之情形。</w:t>
      </w:r>
    </w:p>
    <w:p>
      <w:pPr>
        <w:pStyle w:val="BodyText"/>
        <w:spacing w:line="400" w:lineRule="auto" w:before="65"/>
        <w:ind w:left="153" w:right="171" w:firstLine="420"/>
        <w:jc w:val="left"/>
      </w:pPr>
      <w:r>
        <w:rPr>
          <w:rFonts w:ascii="Times New Roman" w:hAnsi="Times New Roman" w:cs="Times New Roman" w:eastAsia="Times New Roman" w:hint="default"/>
        </w:rPr>
        <w:t>4</w:t>
      </w:r>
      <w:r>
        <w:rPr/>
        <w:t>、机构独立性：公司通过股东大会、董事会、监事会、独立董事及各专门委员会制度，强化权力制 </w:t>
      </w:r>
      <w:r>
        <w:rPr>
          <w:spacing w:val="-1"/>
        </w:rPr>
        <w:t>衡机制，形成了有效的法人治理结构。在内部机构设置上，公司建立了适应自身发展需要的组织机构，明</w:t>
      </w:r>
      <w:r>
        <w:rPr>
          <w:spacing w:val="-82"/>
        </w:rPr>
        <w:t> </w:t>
      </w:r>
      <w:r>
        <w:rPr>
          <w:spacing w:val="-82"/>
        </w:rPr>
      </w:r>
      <w:r>
        <w:rPr/>
        <w:t>确了各机构职能，定员定岗，并制定了相应的内部管理与控制制度。公司各职能部门均独立履行其职能， 独立开展生产经营活动，不存在受实际控制人、控股股东或关联方干预之情形。</w:t>
      </w:r>
    </w:p>
    <w:p>
      <w:pPr>
        <w:pStyle w:val="BodyText"/>
        <w:spacing w:line="398" w:lineRule="auto" w:before="52"/>
        <w:ind w:left="153" w:right="102" w:firstLine="420"/>
        <w:jc w:val="left"/>
      </w:pPr>
      <w:r>
        <w:rPr>
          <w:rFonts w:ascii="Times New Roman" w:hAnsi="Times New Roman" w:cs="Times New Roman" w:eastAsia="Times New Roman" w:hint="default"/>
        </w:rPr>
        <w:t>5</w:t>
      </w:r>
      <w:r>
        <w:rPr/>
        <w:t>、财务独立性：公司设有独立的财务部门，配置有独立的财务人员，并建立了独立的会计核算体系 </w:t>
      </w:r>
      <w:r>
        <w:rPr>
          <w:spacing w:val="-3"/>
        </w:rPr>
        <w:t>和财务管理制度，独立管理公司财务档案，能够根据《公司章程》规定的程序和权限，独立作出财务决策。</w:t>
      </w:r>
      <w:r>
        <w:rPr>
          <w:spacing w:val="-94"/>
        </w:rPr>
        <w:t> </w:t>
      </w:r>
      <w:r>
        <w:rPr>
          <w:spacing w:val="-94"/>
        </w:rPr>
      </w:r>
      <w:r>
        <w:rPr/>
        <w:t>公司及子公司均为独立核算主体，独立在银行开户，资金使用亦不受控股股东、实际控制人干预。</w:t>
      </w:r>
    </w:p>
    <w:p>
      <w:pPr>
        <w:spacing w:line="240" w:lineRule="auto" w:before="6"/>
        <w:rPr>
          <w:rFonts w:ascii="宋体" w:hAnsi="宋体" w:cs="宋体" w:eastAsia="宋体" w:hint="default"/>
          <w:sz w:val="19"/>
          <w:szCs w:val="19"/>
        </w:rPr>
      </w:pPr>
    </w:p>
    <w:p>
      <w:pPr>
        <w:pStyle w:val="Heading2"/>
        <w:spacing w:line="240" w:lineRule="auto"/>
        <w:ind w:right="95"/>
        <w:jc w:val="left"/>
        <w:rPr>
          <w:b w:val="0"/>
          <w:bCs w:val="0"/>
        </w:rPr>
      </w:pP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54"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2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0.27%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31">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w w:val="100"/>
                <w:sz w:val="18"/>
                <w:szCs w:val="18"/>
              </w:rPr>
              <w:t> </w:t>
            </w: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2015-025</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0.01%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31">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w w:val="100"/>
                <w:sz w:val="18"/>
                <w:szCs w:val="18"/>
              </w:rPr>
              <w:t> </w:t>
            </w: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2015-047</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31">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w w:val="100"/>
                <w:sz w:val="18"/>
                <w:szCs w:val="18"/>
              </w:rPr>
              <w:t> </w:t>
            </w: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2015-086</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0.03%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31">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w w:val="100"/>
                <w:sz w:val="18"/>
                <w:szCs w:val="18"/>
              </w:rPr>
              <w:t> </w:t>
            </w:r>
            <w:r>
              <w:rPr>
                <w:rFonts w:ascii="宋体" w:hAnsi="宋体" w:cs="宋体" w:eastAsia="宋体" w:hint="default"/>
                <w:spacing w:val="-5"/>
                <w:sz w:val="18"/>
                <w:szCs w:val="18"/>
              </w:rPr>
              <w:t>公告编号：</w:t>
            </w:r>
            <w:r>
              <w:rPr>
                <w:rFonts w:ascii="Times New Roman" w:hAnsi="Times New Roman" w:cs="Times New Roman" w:eastAsia="Times New Roman" w:hint="default"/>
                <w:spacing w:val="-5"/>
                <w:sz w:val="18"/>
                <w:szCs w:val="18"/>
              </w:rPr>
              <w:t>2015-111</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谷建全</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甘勇</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王世卿</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祝田山</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12"/>
        <w:rPr>
          <w:rFonts w:ascii="宋体" w:hAnsi="宋体" w:cs="宋体" w:eastAsia="宋体" w:hint="default"/>
          <w:sz w:val="12"/>
          <w:szCs w:val="12"/>
        </w:rPr>
      </w:pPr>
    </w:p>
    <w:p>
      <w:pPr>
        <w:pStyle w:val="BodyText"/>
        <w:spacing w:line="400" w:lineRule="auto" w:before="0"/>
        <w:ind w:left="153" w:right="0" w:firstLine="420"/>
        <w:jc w:val="left"/>
      </w:pPr>
      <w:r>
        <w:rPr/>
        <w:t>公司独立董事甘勇先生于</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月中旬至月底期间，因任职单位郑州轻工业学院工作原因，被委 </w:t>
      </w:r>
      <w:r>
        <w:rPr>
          <w:spacing w:val="-1"/>
        </w:rPr>
        <w:t>任外地出差，期间公司召开了第三届董事会第十四次及第三届董事会第十五次会议，故其委托独立董事王</w:t>
      </w:r>
      <w:r>
        <w:rPr>
          <w:spacing w:val="-81"/>
        </w:rPr>
        <w:t> </w:t>
      </w:r>
      <w:r>
        <w:rPr>
          <w:spacing w:val="-81"/>
        </w:rPr>
      </w:r>
      <w:r>
        <w:rPr>
          <w:spacing w:val="-1"/>
        </w:rPr>
        <w:t>世卿先生代为出席会议并对会议审议事项进行投票。同时，由于第三届董事会第十四次会议审议事项涉及</w:t>
      </w:r>
      <w:r>
        <w:rPr>
          <w:spacing w:val="-81"/>
        </w:rPr>
        <w:t> </w:t>
      </w:r>
      <w:r>
        <w:rPr>
          <w:spacing w:val="-81"/>
        </w:rPr>
      </w:r>
      <w:r>
        <w:rPr>
          <w:rFonts w:ascii="Times New Roman" w:hAnsi="Times New Roman" w:cs="Times New Roman" w:eastAsia="Times New Roman" w:hint="default"/>
        </w:rPr>
        <w:t>2015 </w:t>
      </w:r>
      <w:r>
        <w:rPr/>
        <w:t>年半年度公司控股股东及其他关联方占用公司资金及公司对外担保情况、</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年半年度募集资金存</w:t>
      </w:r>
    </w:p>
    <w:p>
      <w:pPr>
        <w:spacing w:after="0" w:line="400"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410" w:lineRule="auto" w:before="35"/>
        <w:ind w:left="153" w:right="102"/>
        <w:jc w:val="left"/>
      </w:pPr>
      <w:r>
        <w:rPr>
          <w:spacing w:val="-3"/>
        </w:rPr>
        <w:t>放与实际使用情况等，需要独立董事发表独立意见，其已预先全面了解了该次会议拟审议议案及前述事项，</w:t>
      </w:r>
      <w:r>
        <w:rPr>
          <w:spacing w:val="-92"/>
        </w:rPr>
        <w:t> </w:t>
      </w:r>
      <w:r>
        <w:rPr>
          <w:spacing w:val="-92"/>
        </w:rPr>
      </w:r>
      <w:r>
        <w:rPr/>
        <w:t>并与公司其他独立董事就前述事项发表独立意见事宜达成一致，其出具了《授权委托书》授权独立董事王</w:t>
      </w:r>
      <w:r>
        <w:rPr/>
        <w:t> 世卿先生代为签署公司独立董事关于上述事项的独立意见。</w:t>
      </w:r>
    </w:p>
    <w:p>
      <w:pPr>
        <w:spacing w:line="240" w:lineRule="auto" w:before="3"/>
        <w:rPr>
          <w:rFonts w:ascii="宋体" w:hAnsi="宋体" w:cs="宋体" w:eastAsia="宋体" w:hint="default"/>
          <w:sz w:val="20"/>
          <w:szCs w:val="20"/>
        </w:rPr>
      </w:pPr>
    </w:p>
    <w:p>
      <w:pPr>
        <w:pStyle w:val="Heading4"/>
        <w:spacing w:line="240" w:lineRule="auto"/>
        <w:ind w:left="153" w:right="95"/>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spacing w:before="0"/>
        <w:ind w:left="154" w:right="95"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6"/>
        <w:ind w:left="154" w:right="60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13"/>
        <w:rPr>
          <w:rFonts w:ascii="宋体" w:hAnsi="宋体" w:cs="宋体" w:eastAsia="宋体" w:hint="default"/>
          <w:sz w:val="20"/>
          <w:szCs w:val="20"/>
        </w:rPr>
      </w:pPr>
    </w:p>
    <w:p>
      <w:pPr>
        <w:pStyle w:val="Heading4"/>
        <w:spacing w:line="240" w:lineRule="auto"/>
        <w:ind w:right="95"/>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spacing w:before="0"/>
        <w:ind w:left="154" w:right="95"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before="116"/>
        <w:ind w:left="153"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240" w:lineRule="auto" w:before="155"/>
        <w:ind w:left="574" w:right="95"/>
        <w:jc w:val="left"/>
      </w:pPr>
      <w:r>
        <w:rPr/>
        <w:t>独立董事对公司有关建议被采纳或未被采纳的说明</w:t>
      </w:r>
    </w:p>
    <w:p>
      <w:pPr>
        <w:spacing w:line="240" w:lineRule="auto" w:before="10"/>
        <w:rPr>
          <w:rFonts w:ascii="宋体" w:hAnsi="宋体" w:cs="宋体" w:eastAsia="宋体" w:hint="default"/>
          <w:sz w:val="17"/>
          <w:szCs w:val="17"/>
        </w:rPr>
      </w:pPr>
    </w:p>
    <w:p>
      <w:pPr>
        <w:pStyle w:val="BodyText"/>
        <w:spacing w:line="391" w:lineRule="auto" w:before="0"/>
        <w:ind w:right="208" w:firstLine="419"/>
        <w:jc w:val="both"/>
      </w:pPr>
      <w:r>
        <w:rPr>
          <w:spacing w:val="-1"/>
        </w:rPr>
        <w:t>（</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12</w:t>
      </w:r>
      <w:r>
        <w:rPr>
          <w:spacing w:val="-1"/>
        </w:rPr>
        <w:t>日公司召开第三届董事会第八次会议，独立董事就</w:t>
      </w:r>
      <w:r>
        <w:rPr>
          <w:rFonts w:ascii="Times New Roman" w:hAnsi="Times New Roman" w:cs="Times New Roman" w:eastAsia="Times New Roman" w:hint="default"/>
          <w:spacing w:val="-1"/>
        </w:rPr>
        <w:t>2014</w:t>
      </w:r>
      <w:r>
        <w:rPr>
          <w:spacing w:val="-1"/>
        </w:rPr>
        <w:t>年度公司控股股东及其他关</w:t>
      </w:r>
      <w:r>
        <w:rPr/>
        <w:t> </w:t>
      </w:r>
      <w:r>
        <w:rPr>
          <w:spacing w:val="-1"/>
        </w:rPr>
        <w:t>联方资金占用和对外担保情况、公司</w:t>
      </w:r>
      <w:r>
        <w:rPr>
          <w:rFonts w:ascii="Times New Roman" w:hAnsi="Times New Roman" w:cs="Times New Roman" w:eastAsia="Times New Roman" w:hint="default"/>
          <w:spacing w:val="-1"/>
        </w:rPr>
        <w:t>2014</w:t>
      </w:r>
      <w:r>
        <w:rPr>
          <w:spacing w:val="-1"/>
        </w:rPr>
        <w:t>年度利润分配及资本公积金转增股本预案、公司</w:t>
      </w:r>
      <w:r>
        <w:rPr>
          <w:rFonts w:ascii="Times New Roman" w:hAnsi="Times New Roman" w:cs="Times New Roman" w:eastAsia="Times New Roman" w:hint="default"/>
          <w:spacing w:val="-1"/>
        </w:rPr>
        <w:t>2014</w:t>
      </w:r>
      <w:r>
        <w:rPr>
          <w:spacing w:val="-1"/>
        </w:rPr>
        <w:t>年度关联交</w:t>
      </w:r>
      <w:r>
        <w:rPr>
          <w:spacing w:val="-82"/>
        </w:rPr>
        <w:t> </w:t>
      </w:r>
      <w:r>
        <w:rPr>
          <w:spacing w:val="-1"/>
        </w:rPr>
        <w:t>易事项、公司</w:t>
      </w:r>
      <w:r>
        <w:rPr>
          <w:rFonts w:ascii="Times New Roman" w:hAnsi="Times New Roman" w:cs="Times New Roman" w:eastAsia="Times New Roman" w:hint="default"/>
          <w:spacing w:val="-1"/>
        </w:rPr>
        <w:t>2014</w:t>
      </w:r>
      <w:r>
        <w:rPr>
          <w:spacing w:val="-1"/>
        </w:rPr>
        <w:t>年度内部控制自我评价报告、</w:t>
      </w:r>
      <w:r>
        <w:rPr>
          <w:rFonts w:ascii="Times New Roman" w:hAnsi="Times New Roman" w:cs="Times New Roman" w:eastAsia="Times New Roman" w:hint="default"/>
          <w:spacing w:val="-1"/>
        </w:rPr>
        <w:t>2014</w:t>
      </w:r>
      <w:r>
        <w:rPr>
          <w:spacing w:val="-1"/>
        </w:rPr>
        <w:t>年度募集资金存放与实际使用、公司聘任</w:t>
      </w:r>
      <w:r>
        <w:rPr>
          <w:rFonts w:ascii="Times New Roman" w:hAnsi="Times New Roman" w:cs="Times New Roman" w:eastAsia="Times New Roman" w:hint="default"/>
          <w:spacing w:val="-1"/>
        </w:rPr>
        <w:t>2015</w:t>
      </w:r>
      <w:r>
        <w:rPr>
          <w:spacing w:val="-1"/>
        </w:rPr>
        <w:t>年度审</w:t>
      </w:r>
      <w:r>
        <w:rPr>
          <w:spacing w:val="-86"/>
        </w:rPr>
        <w:t> </w:t>
      </w:r>
      <w:r>
        <w:rPr>
          <w:spacing w:val="-86"/>
        </w:rPr>
      </w:r>
      <w:r>
        <w:rPr>
          <w:spacing w:val="-2"/>
        </w:rPr>
        <w:t>计机构、公司</w:t>
      </w:r>
      <w:r>
        <w:rPr>
          <w:rFonts w:ascii="Times New Roman" w:hAnsi="Times New Roman" w:cs="Times New Roman" w:eastAsia="Times New Roman" w:hint="default"/>
          <w:spacing w:val="-2"/>
        </w:rPr>
        <w:t>2015</w:t>
      </w:r>
      <w:r>
        <w:rPr>
          <w:spacing w:val="-2"/>
        </w:rPr>
        <w:t>年董事及高级管理人员薪酬政策、公司未来三年股东回报规划（</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-2017</w:t>
      </w:r>
      <w:r>
        <w:rPr>
          <w:spacing w:val="-2"/>
        </w:rPr>
        <w:t>年）、公司</w:t>
      </w:r>
      <w:r>
        <w:rPr>
          <w:spacing w:val="-96"/>
        </w:rPr>
        <w:t> </w:t>
      </w:r>
      <w:r>
        <w:rPr>
          <w:spacing w:val="-96"/>
        </w:rPr>
      </w:r>
      <w:r>
        <w:rPr>
          <w:spacing w:val="-1"/>
        </w:rPr>
        <w:t>使用部分超募资金永久补充流动资金、公司募集资金投资项目结项及结余资金永久补充流动资金的相关事</w:t>
      </w:r>
      <w:r>
        <w:rPr>
          <w:spacing w:val="-81"/>
        </w:rPr>
        <w:t> </w:t>
      </w:r>
      <w:r>
        <w:rPr>
          <w:spacing w:val="-81"/>
        </w:rPr>
      </w:r>
      <w:r>
        <w:rPr/>
        <w:t>项发表了独立意见并被公司采纳；</w:t>
      </w:r>
    </w:p>
    <w:p>
      <w:pPr>
        <w:pStyle w:val="BodyText"/>
        <w:spacing w:line="386" w:lineRule="auto" w:before="61"/>
        <w:ind w:right="293" w:firstLine="419"/>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5</w:t>
      </w:r>
      <w:r>
        <w:rPr/>
        <w:t>日公司召开第三届董事会第十二次会议，独立董事就公司以资产抵押向银行申请综 合授信的相关事项发表了独立意见并被公司采纳；</w:t>
      </w:r>
    </w:p>
    <w:p>
      <w:pPr>
        <w:pStyle w:val="BodyText"/>
        <w:spacing w:line="386" w:lineRule="auto" w:before="65"/>
        <w:ind w:right="259" w:firstLine="420"/>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日公司召开第三届董事会第十三次会议，独立董事就于收购上海树维信息科技有限 公司</w:t>
      </w:r>
      <w:r>
        <w:rPr>
          <w:rFonts w:ascii="Times New Roman" w:hAnsi="Times New Roman" w:cs="Times New Roman" w:eastAsia="Times New Roman" w:hint="default"/>
        </w:rPr>
        <w:t>100%</w:t>
      </w:r>
      <w:r>
        <w:rPr/>
        <w:t>股权、使用超募资金支付收购上海树维信息科技有限公司</w:t>
      </w:r>
      <w:r>
        <w:rPr>
          <w:rFonts w:ascii="Times New Roman" w:hAnsi="Times New Roman" w:cs="Times New Roman" w:eastAsia="Times New Roman" w:hint="default"/>
        </w:rPr>
        <w:t>100%</w:t>
      </w:r>
      <w:r>
        <w:rPr/>
        <w:t>股权部分现金对价的相关事项发 表了独立意见并被公司采纳；</w:t>
      </w:r>
    </w:p>
    <w:p>
      <w:pPr>
        <w:pStyle w:val="BodyText"/>
        <w:spacing w:line="386" w:lineRule="auto" w:before="65"/>
        <w:ind w:right="209" w:firstLine="419"/>
        <w:jc w:val="both"/>
      </w:pPr>
      <w:r>
        <w:rPr>
          <w:spacing w:val="-1"/>
        </w:rPr>
        <w:t>（</w:t>
      </w:r>
      <w:r>
        <w:rPr>
          <w:rFonts w:ascii="Times New Roman" w:hAnsi="Times New Roman" w:cs="Times New Roman" w:eastAsia="Times New Roman" w:hint="default"/>
          <w:spacing w:val="-1"/>
        </w:rPr>
        <w:t>4</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20</w:t>
      </w:r>
      <w:r>
        <w:rPr>
          <w:spacing w:val="-1"/>
        </w:rPr>
        <w:t>日公司召开第三届董事会第十四次会议，独立董事就</w:t>
      </w:r>
      <w:r>
        <w:rPr>
          <w:rFonts w:ascii="Times New Roman" w:hAnsi="Times New Roman" w:cs="Times New Roman" w:eastAsia="Times New Roman" w:hint="default"/>
          <w:spacing w:val="-1"/>
        </w:rPr>
        <w:t>2015</w:t>
      </w:r>
      <w:r>
        <w:rPr>
          <w:spacing w:val="-1"/>
        </w:rPr>
        <w:t>年半年度公司控股股东及</w:t>
      </w:r>
      <w:r>
        <w:rPr/>
        <w:t> </w:t>
      </w:r>
      <w:r>
        <w:rPr>
          <w:spacing w:val="-1"/>
        </w:rPr>
        <w:t>其他关联方占用公司资金及公司对外担保情况、</w:t>
      </w:r>
      <w:r>
        <w:rPr>
          <w:rFonts w:ascii="Times New Roman" w:hAnsi="Times New Roman" w:cs="Times New Roman" w:eastAsia="Times New Roman" w:hint="default"/>
          <w:spacing w:val="-1"/>
        </w:rPr>
        <w:t>2015</w:t>
      </w:r>
      <w:r>
        <w:rPr>
          <w:spacing w:val="-1"/>
        </w:rPr>
        <w:t>年半年度募集资金存放与实际使用情况的相关事项发</w:t>
      </w:r>
      <w:r>
        <w:rPr>
          <w:spacing w:val="-82"/>
        </w:rPr>
        <w:t> </w:t>
      </w:r>
      <w:r>
        <w:rPr>
          <w:spacing w:val="-82"/>
        </w:rPr>
      </w:r>
      <w:r>
        <w:rPr/>
        <w:t>表了独立意见并被公司采纳；</w:t>
      </w:r>
    </w:p>
    <w:p>
      <w:pPr>
        <w:pStyle w:val="BodyText"/>
        <w:spacing w:line="386" w:lineRule="auto" w:before="65"/>
        <w:ind w:right="293" w:firstLine="420"/>
        <w:jc w:val="both"/>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22</w:t>
      </w:r>
      <w:r>
        <w:rPr/>
        <w:t>日公司召开第三届董事会第十七次会议，独立董事就聘任新开普电子股份有限公 司副总经理、公司非公开发行股票的相关事项发表了独立意见并被公司采纳；</w:t>
      </w:r>
    </w:p>
    <w:p>
      <w:pPr>
        <w:pStyle w:val="BodyText"/>
        <w:spacing w:line="386" w:lineRule="auto" w:before="65"/>
        <w:ind w:right="211" w:firstLine="419"/>
        <w:jc w:val="both"/>
      </w:pPr>
      <w:r>
        <w:rPr>
          <w:spacing w:val="-1"/>
        </w:rPr>
        <w:t>（</w:t>
      </w:r>
      <w:r>
        <w:rPr>
          <w:rFonts w:ascii="Times New Roman" w:hAnsi="Times New Roman" w:cs="Times New Roman" w:eastAsia="Times New Roman" w:hint="default"/>
          <w:spacing w:val="-1"/>
        </w:rPr>
        <w:t>6</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w:t>
      </w:r>
      <w:r>
        <w:rPr>
          <w:spacing w:val="-1"/>
        </w:rPr>
        <w:t>日公司召开第三届董事会第十八次会议，独立董事就追认公司全资子公司向关联方</w:t>
      </w:r>
      <w:r>
        <w:rPr/>
        <w:t> 借款暨关联交易的相关事项发表了独立意见并被公司采纳。</w:t>
      </w:r>
    </w:p>
    <w:p>
      <w:pPr>
        <w:spacing w:after="0" w:line="386" w:lineRule="auto"/>
        <w:jc w:val="both"/>
        <w:sectPr>
          <w:pgSz w:w="11910" w:h="16840"/>
          <w:pgMar w:header="877" w:footer="982" w:top="1100" w:bottom="1180" w:left="980" w:right="92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left="573" w:right="216"/>
        <w:jc w:val="left"/>
      </w:pPr>
      <w:r>
        <w:rPr/>
        <w:t>（一）审计委员会履职情况 报告期内，审计委员会积极履行职责，共召开了</w:t>
      </w:r>
      <w:r>
        <w:rPr>
          <w:rFonts w:ascii="Times New Roman" w:hAnsi="Times New Roman" w:cs="Times New Roman" w:eastAsia="Times New Roman" w:hint="default"/>
        </w:rPr>
        <w:t>8</w:t>
      </w:r>
      <w:r>
        <w:rPr/>
        <w:t>次会议，对年度审计计划、各季度内审工作报告、</w:t>
      </w:r>
    </w:p>
    <w:p>
      <w:pPr>
        <w:pStyle w:val="BodyText"/>
        <w:spacing w:line="408" w:lineRule="auto" w:before="14"/>
        <w:ind w:left="153" w:right="0"/>
        <w:jc w:val="left"/>
      </w:pPr>
      <w:r>
        <w:rPr>
          <w:spacing w:val="-1"/>
        </w:rPr>
        <w:t>募集资金使用、发行股份及支付现金购买资产并募集配套资金、定期报告、续聘年度审计机构、年度利润</w:t>
      </w:r>
      <w:r>
        <w:rPr>
          <w:spacing w:val="-82"/>
        </w:rPr>
        <w:t> </w:t>
      </w:r>
      <w:r>
        <w:rPr>
          <w:spacing w:val="-82"/>
        </w:rPr>
      </w:r>
      <w:r>
        <w:rPr/>
        <w:t>分配及资本公积金转增股本、向银行申请综合授信等事项进行了专项审议。</w:t>
      </w:r>
    </w:p>
    <w:p>
      <w:pPr>
        <w:pStyle w:val="BodyText"/>
        <w:spacing w:line="408" w:lineRule="auto"/>
        <w:ind w:left="573" w:right="0"/>
        <w:jc w:val="left"/>
      </w:pPr>
      <w:r>
        <w:rPr/>
        <w:t>（二）薪酬与考核委员会履职情况 </w:t>
      </w:r>
      <w:r>
        <w:rPr>
          <w:spacing w:val="-1"/>
        </w:rPr>
        <w:t>报告期内，薪酬与考核委员会对公司董事、监事和高级管理人员的薪酬情况进行了审核，认为其薪酬</w:t>
      </w:r>
    </w:p>
    <w:p>
      <w:pPr>
        <w:pStyle w:val="BodyText"/>
        <w:spacing w:line="405" w:lineRule="auto"/>
        <w:ind w:left="153" w:right="0"/>
        <w:jc w:val="left"/>
      </w:pPr>
      <w:r>
        <w:rPr>
          <w:spacing w:val="-1"/>
        </w:rPr>
        <w:t>标准和年度薪酬总额的确定符合公司相关薪酬管理制度的规定。同时，薪酬与考核委员会不断探讨绩效考</w:t>
      </w:r>
      <w:r>
        <w:rPr>
          <w:spacing w:val="-81"/>
        </w:rPr>
        <w:t> </w:t>
      </w:r>
      <w:r>
        <w:rPr>
          <w:spacing w:val="-81"/>
        </w:rPr>
      </w:r>
      <w:r>
        <w:rPr>
          <w:spacing w:val="-1"/>
        </w:rPr>
        <w:t>核体系的进一步完善，为充分调动公司董事、监事、高级管理人员和核心员工的积极性，增强公司管理团</w:t>
      </w:r>
      <w:r>
        <w:rPr>
          <w:spacing w:val="-82"/>
        </w:rPr>
        <w:t> </w:t>
      </w:r>
      <w:r>
        <w:rPr>
          <w:spacing w:val="-82"/>
        </w:rPr>
      </w:r>
      <w:r>
        <w:rPr>
          <w:spacing w:val="-1"/>
        </w:rPr>
        <w:t>队和核心员工对实现公司健康、持续发展的责任感、使命感，有效地将股东利益、公司利益和公司员工利</w:t>
      </w:r>
      <w:r>
        <w:rPr>
          <w:spacing w:val="-82"/>
        </w:rPr>
        <w:t> </w:t>
      </w:r>
      <w:r>
        <w:rPr>
          <w:spacing w:val="-82"/>
        </w:rPr>
      </w:r>
      <w:r>
        <w:rPr>
          <w:spacing w:val="-1"/>
        </w:rPr>
        <w:t>益结合在一起，使各方共同关注公司的长远发展，减少管理者的短期行为。报告期内，薪酬与考核委员会</w:t>
      </w:r>
      <w:r>
        <w:rPr>
          <w:spacing w:val="-82"/>
        </w:rPr>
        <w:t> </w:t>
      </w:r>
      <w:r>
        <w:rPr>
          <w:spacing w:val="-82"/>
        </w:rPr>
      </w:r>
      <w:r>
        <w:rPr>
          <w:spacing w:val="-1"/>
        </w:rPr>
        <w:t>认为，公司董事、监事和高级管理人员根据各自的分工，认真履行了相应的职责，较好的完成了其工作目</w:t>
      </w:r>
      <w:r>
        <w:rPr>
          <w:spacing w:val="-82"/>
        </w:rPr>
        <w:t> </w:t>
      </w:r>
      <w:r>
        <w:rPr>
          <w:spacing w:val="-82"/>
        </w:rPr>
      </w:r>
      <w:r>
        <w:rPr/>
        <w:t>标。报告期内，薪酬与考核委员会召开了</w:t>
      </w:r>
      <w:r>
        <w:rPr>
          <w:rFonts w:ascii="Times New Roman" w:hAnsi="Times New Roman" w:cs="Times New Roman" w:eastAsia="Times New Roman" w:hint="default"/>
        </w:rPr>
        <w:t>2</w:t>
      </w:r>
      <w:r>
        <w:rPr/>
        <w:t>次会议，对公司</w:t>
      </w:r>
      <w:r>
        <w:rPr>
          <w:rFonts w:ascii="Times New Roman" w:hAnsi="Times New Roman" w:cs="Times New Roman" w:eastAsia="Times New Roman" w:hint="default"/>
        </w:rPr>
        <w:t>2015</w:t>
      </w:r>
      <w:r>
        <w:rPr/>
        <w:t>年董事监事和高级管理人员的薪酬事项进 行了审核，听取了公司高级管理人员的</w:t>
      </w:r>
      <w:r>
        <w:rPr>
          <w:rFonts w:ascii="Times New Roman" w:hAnsi="Times New Roman" w:cs="Times New Roman" w:eastAsia="Times New Roman" w:hint="default"/>
        </w:rPr>
        <w:t>2015</w:t>
      </w:r>
      <w:r>
        <w:rPr/>
        <w:t>年上半年度工作总结报告</w:t>
      </w:r>
      <w:r>
        <w:rPr>
          <w:rFonts w:ascii="Times New Roman" w:hAnsi="Times New Roman" w:cs="Times New Roman" w:eastAsia="Times New Roman" w:hint="default"/>
        </w:rPr>
        <w:t>,</w:t>
      </w:r>
      <w:r>
        <w:rPr/>
        <w:t>并提交给董事会审议。</w:t>
      </w:r>
    </w:p>
    <w:p>
      <w:pPr>
        <w:pStyle w:val="BodyText"/>
        <w:spacing w:line="408" w:lineRule="auto" w:before="17"/>
        <w:ind w:left="574" w:right="0"/>
        <w:jc w:val="left"/>
      </w:pPr>
      <w:r>
        <w:rPr/>
        <w:t>（三）提名委员会履职情况 </w:t>
      </w:r>
      <w:r>
        <w:rPr>
          <w:spacing w:val="-1"/>
        </w:rPr>
        <w:t>报告期内，提名委员会按照《董事会专门委员会工作细则》履行职责，提名委员会认为公司董事会人</w:t>
      </w:r>
    </w:p>
    <w:p>
      <w:pPr>
        <w:pStyle w:val="BodyText"/>
        <w:spacing w:line="398" w:lineRule="auto"/>
        <w:ind w:right="0"/>
        <w:jc w:val="left"/>
      </w:pPr>
      <w:r>
        <w:rPr>
          <w:spacing w:val="-1"/>
        </w:rPr>
        <w:t>员结构合理，高管团队具有丰富的行业经验和管理经验，完全胜任各自的工作。报告期内，提名委员会召</w:t>
      </w:r>
      <w:r>
        <w:rPr>
          <w:spacing w:val="-82"/>
        </w:rPr>
        <w:t> </w:t>
      </w:r>
      <w:r>
        <w:rPr>
          <w:spacing w:val="-82"/>
        </w:rPr>
      </w:r>
      <w:r>
        <w:rPr/>
        <w:t>开了</w:t>
      </w:r>
      <w:r>
        <w:rPr>
          <w:rFonts w:ascii="Times New Roman" w:hAnsi="Times New Roman" w:cs="Times New Roman" w:eastAsia="Times New Roman" w:hint="default"/>
        </w:rPr>
        <w:t>4</w:t>
      </w:r>
      <w:r>
        <w:rPr/>
        <w:t>次会议，审查了董事、高级管理人员</w:t>
      </w:r>
      <w:r>
        <w:rPr>
          <w:rFonts w:ascii="Times New Roman" w:hAnsi="Times New Roman" w:cs="Times New Roman" w:eastAsia="Times New Roman" w:hint="default"/>
        </w:rPr>
        <w:t>2014</w:t>
      </w:r>
      <w:r>
        <w:rPr/>
        <w:t>年度、</w:t>
      </w:r>
      <w:r>
        <w:rPr>
          <w:rFonts w:ascii="Times New Roman" w:hAnsi="Times New Roman" w:cs="Times New Roman" w:eastAsia="Times New Roman" w:hint="default"/>
        </w:rPr>
        <w:t>2015</w:t>
      </w:r>
      <w:r>
        <w:rPr/>
        <w:t>年上半年度任职资格以及对公司聘任独立董事 张英瑶先生、王玉辉女士和副总经理刘永春先生的任职资格进行了认真审查，并提交给董事会审议。</w:t>
      </w:r>
    </w:p>
    <w:p>
      <w:pPr>
        <w:pStyle w:val="BodyText"/>
        <w:spacing w:line="408" w:lineRule="auto" w:before="54"/>
        <w:ind w:left="574" w:right="0"/>
        <w:jc w:val="left"/>
      </w:pPr>
      <w:r>
        <w:rPr/>
        <w:t>（四）战略发展委员会履职情况 </w:t>
      </w:r>
      <w:r>
        <w:rPr>
          <w:spacing w:val="-1"/>
        </w:rPr>
        <w:t>报告期内，公司战略发展委员会认真研究国家宏观经济政策、结构调整对公司的影响，跟踪国内外同</w:t>
      </w:r>
    </w:p>
    <w:p>
      <w:pPr>
        <w:pStyle w:val="BodyText"/>
        <w:spacing w:line="396" w:lineRule="auto"/>
        <w:ind w:right="136"/>
        <w:jc w:val="left"/>
      </w:pPr>
      <w:r>
        <w:rPr>
          <w:spacing w:val="-1"/>
        </w:rPr>
        <w:t>行业发展动向，结合公司战略发展要求，向公司董事会提出有关结构调整、资本运作、长远发展等事项的</w:t>
      </w:r>
      <w:r>
        <w:rPr>
          <w:spacing w:val="-82"/>
        </w:rPr>
        <w:t> </w:t>
      </w:r>
      <w:r>
        <w:rPr>
          <w:spacing w:val="-82"/>
        </w:rPr>
      </w:r>
      <w:r>
        <w:rPr>
          <w:spacing w:val="-1"/>
        </w:rPr>
        <w:t>建议，对促进公司转方式、调结构，规避市场风险，起到积极良好的作用。报告期内，战略委员会召开了</w:t>
      </w:r>
      <w:r>
        <w:rPr>
          <w:spacing w:val="-83"/>
        </w:rPr>
        <w:t> </w:t>
      </w:r>
      <w:r>
        <w:rPr>
          <w:spacing w:val="-83"/>
        </w:rPr>
      </w:r>
      <w:r>
        <w:rPr>
          <w:rFonts w:ascii="Times New Roman" w:hAnsi="Times New Roman" w:cs="Times New Roman" w:eastAsia="Times New Roman" w:hint="default"/>
        </w:rPr>
        <w:t>3</w:t>
      </w:r>
      <w:r>
        <w:rPr/>
        <w:t>次会议，会议审议了《关于公司发行股份及支付现金购买资产方案的议案》、《关于公司募集配套资金 </w:t>
      </w:r>
      <w:r>
        <w:rPr>
          <w:spacing w:val="-2"/>
        </w:rPr>
        <w:t>方案的议案》、《关于收购上海树维信息科技有限公司</w:t>
      </w:r>
      <w:r>
        <w:rPr>
          <w:rFonts w:ascii="Times New Roman" w:hAnsi="Times New Roman" w:cs="Times New Roman" w:eastAsia="Times New Roman" w:hint="default"/>
          <w:spacing w:val="-2"/>
        </w:rPr>
        <w:t>100%</w:t>
      </w:r>
      <w:r>
        <w:rPr>
          <w:spacing w:val="-2"/>
        </w:rPr>
        <w:t>股权的议案》、《关于使用超募资金支付收购</w:t>
      </w:r>
      <w:r>
        <w:rPr/>
        <w:t> </w:t>
      </w:r>
      <w:r>
        <w:rPr>
          <w:spacing w:val="-2"/>
        </w:rPr>
        <w:t>上海树维信息科技有限公司</w:t>
      </w:r>
      <w:r>
        <w:rPr>
          <w:rFonts w:ascii="Times New Roman" w:hAnsi="Times New Roman" w:cs="Times New Roman" w:eastAsia="Times New Roman" w:hint="default"/>
          <w:spacing w:val="-2"/>
        </w:rPr>
        <w:t>100%</w:t>
      </w:r>
      <w:r>
        <w:rPr>
          <w:spacing w:val="-2"/>
        </w:rPr>
        <w:t>股权部分现金对价的议案》、讨论了公司业务转型及未来发展战略及非公</w:t>
      </w:r>
      <w:r>
        <w:rPr/>
        <w:t> 开发行</w:t>
      </w:r>
      <w:r>
        <w:rPr>
          <w:rFonts w:ascii="Times New Roman" w:hAnsi="Times New Roman" w:cs="Times New Roman" w:eastAsia="Times New Roman" w:hint="default"/>
        </w:rPr>
        <w:t>A</w:t>
      </w:r>
      <w:r>
        <w:rPr/>
        <w:t>股股票事项相关议案。</w:t>
      </w:r>
    </w:p>
    <w:p>
      <w:pPr>
        <w:spacing w:after="0" w:line="396" w:lineRule="auto"/>
        <w:jc w:val="left"/>
        <w:sectPr>
          <w:pgSz w:w="11910" w:h="16840"/>
          <w:pgMar w:header="877" w:footer="982" w:top="1100" w:bottom="118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95"/>
        <w:jc w:val="left"/>
        <w:rPr>
          <w:b w:val="0"/>
          <w:bCs w:val="0"/>
        </w:rPr>
      </w:pP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54" w:right="95"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监事会在报告期内的监督活动是否发现公司存在风险</w:t>
      </w:r>
    </w:p>
    <w:p>
      <w:pPr>
        <w:spacing w:line="340" w:lineRule="auto" w:before="116"/>
        <w:ind w:left="154" w:right="64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95"/>
        <w:jc w:val="left"/>
        <w:rPr>
          <w:b w:val="0"/>
          <w:bCs w:val="0"/>
        </w:rPr>
      </w:pPr>
      <w:r>
        <w:rPr/>
        <w:t>八、高级管理人员的考评及激励情况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01" w:firstLine="420"/>
        <w:jc w:val="left"/>
      </w:pPr>
      <w:r>
        <w:rPr/>
        <w:t>公司按照《高级管理人员薪酬制度》，坚持按劳分配与责、权、利相结合，实行收入水平与公司效益 及工作目标挂钩的原则，年度薪酬标准公开、公正、透明等三项基本原则，建立了高级管理人员的薪酬与 公司业绩挂钩的绩效考核与激励约束机制。公司董事会薪酬与考核委员会具体负责对高管人员进行考核以 </w:t>
      </w:r>
      <w:r>
        <w:rPr>
          <w:spacing w:val="-3"/>
        </w:rPr>
        <w:t>及建议、确定年度薪酬分配。公司高管人员年度薪酬由基本薪酬、绩效收入两部分组成。根据职位重要性、</w:t>
      </w:r>
      <w:r>
        <w:rPr>
          <w:spacing w:val="-96"/>
        </w:rPr>
        <w:t> </w:t>
      </w:r>
      <w:r>
        <w:rPr>
          <w:spacing w:val="-96"/>
        </w:rPr>
      </w:r>
      <w:r>
        <w:rPr/>
        <w:t>所承担的责任、具体工作量、工作完成情况及市场薪资行情等因素确定，基本薪酬按月度发放，绩效收入</w:t>
      </w:r>
      <w:r>
        <w:rPr/>
        <w:t> 按年度发放。</w:t>
      </w:r>
    </w:p>
    <w:p>
      <w:pPr>
        <w:pStyle w:val="BodyText"/>
        <w:spacing w:line="408" w:lineRule="auto"/>
        <w:ind w:right="95" w:firstLine="420"/>
        <w:jc w:val="left"/>
      </w:pPr>
      <w:r>
        <w:rPr>
          <w:spacing w:val="-1"/>
        </w:rPr>
        <w:t>公司的各项考核制度较为合理地把高级管理人员的工作业绩与其薪酬进行挂钩，提高了高级管理人员</w:t>
      </w:r>
      <w:r>
        <w:rPr/>
        <w:t> 的积极性，同时高管薪酬的确定符合公司薪酬管理和业绩考评激励等制度的有关规定。</w:t>
      </w:r>
    </w:p>
    <w:p>
      <w:pPr>
        <w:spacing w:line="240" w:lineRule="auto" w:before="11"/>
        <w:rPr>
          <w:rFonts w:ascii="宋体" w:hAnsi="宋体" w:cs="宋体" w:eastAsia="宋体" w:hint="default"/>
          <w:sz w:val="18"/>
          <w:szCs w:val="18"/>
        </w:rPr>
      </w:pPr>
    </w:p>
    <w:p>
      <w:pPr>
        <w:pStyle w:val="Heading2"/>
        <w:spacing w:line="240" w:lineRule="auto"/>
        <w:ind w:right="95"/>
        <w:jc w:val="left"/>
        <w:rPr>
          <w:b w:val="0"/>
          <w:bCs w:val="0"/>
        </w:rPr>
      </w:pP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5"/>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spacing w:before="0"/>
        <w:ind w:left="154"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right="95"/>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8"/>
        <w:gridCol w:w="3329"/>
        <w:gridCol w:w="305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70"/>
                <w:sz w:val="18"/>
                <w:szCs w:val="18"/>
              </w:rPr>
              <w:t> </w:t>
            </w:r>
            <w:hyperlink r:id="rId31">
              <w:r>
                <w:rPr>
                  <w:rFonts w:ascii="Times New Roman" w:hAnsi="Times New Roman" w:cs="Times New Roman" w:eastAsia="Times New Roman" w:hint="default"/>
                  <w:sz w:val="18"/>
                  <w:szCs w:val="18"/>
                </w:rPr>
                <w:t>www.cninfo.com.cn</w:t>
              </w:r>
            </w:hyperlink>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88" w:hRule="exact"/>
        </w:trPr>
        <w:tc>
          <w:tcPr>
            <w:tcW w:w="3188" w:type="dxa"/>
            <w:vMerge w:val="restart"/>
            <w:tcBorders>
              <w:top w:val="single" w:sz="4" w:space="0" w:color="000000"/>
              <w:left w:val="single" w:sz="4" w:space="0" w:color="000000"/>
              <w:right w:val="single" w:sz="4" w:space="0" w:color="000000"/>
            </w:tcBorders>
            <w:shd w:val="clear" w:color="auto" w:fill="D3D3D3"/>
          </w:tcPr>
          <w:p>
            <w:pPr/>
          </w:p>
        </w:tc>
        <w:tc>
          <w:tcPr>
            <w:tcW w:w="33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1"/>
              <w:ind w:left="28" w:right="0"/>
              <w:jc w:val="left"/>
              <w:rPr>
                <w:rFonts w:ascii="宋体" w:hAnsi="宋体" w:cs="宋体" w:eastAsia="宋体" w:hint="default"/>
                <w:sz w:val="18"/>
                <w:szCs w:val="18"/>
              </w:rPr>
            </w:pPr>
            <w:r>
              <w:rPr>
                <w:rFonts w:ascii="宋体" w:hAnsi="宋体" w:cs="宋体" w:eastAsia="宋体" w:hint="default"/>
                <w:sz w:val="18"/>
                <w:szCs w:val="18"/>
              </w:rPr>
              <w:t>认定为重大缺陷：</w:t>
            </w:r>
          </w:p>
        </w:tc>
        <w:tc>
          <w:tcPr>
            <w:tcW w:w="3050" w:type="dxa"/>
            <w:tcBorders>
              <w:top w:val="single" w:sz="4" w:space="0" w:color="000000"/>
              <w:left w:val="single" w:sz="4" w:space="0" w:color="000000"/>
              <w:bottom w:val="nil" w:sz="6" w:space="0" w:color="auto"/>
              <w:right w:val="single" w:sz="4" w:space="0" w:color="000000"/>
            </w:tcBorders>
          </w:tcPr>
          <w:p>
            <w:pPr/>
          </w:p>
        </w:tc>
      </w:tr>
      <w:tr>
        <w:trPr>
          <w:trHeight w:val="300" w:hRule="exact"/>
        </w:trPr>
        <w:tc>
          <w:tcPr>
            <w:tcW w:w="3188" w:type="dxa"/>
            <w:vMerge/>
            <w:tcBorders>
              <w:left w:val="single" w:sz="4" w:space="0" w:color="000000"/>
              <w:bottom w:val="nil" w:sz="6" w:space="0" w:color="auto"/>
              <w:right w:val="single" w:sz="4" w:space="0" w:color="000000"/>
            </w:tcBorders>
            <w:shd w:val="clear" w:color="auto" w:fill="D3D3D3"/>
          </w:tcPr>
          <w:p>
            <w:pPr/>
          </w:p>
        </w:tc>
        <w:tc>
          <w:tcPr>
            <w:tcW w:w="3329"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28"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）对已经公告的财务报告出现的重大差</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认定为重大缺陷：</w:t>
            </w:r>
          </w:p>
        </w:tc>
      </w:tr>
      <w:tr>
        <w:trPr>
          <w:trHeight w:val="392" w:hRule="exact"/>
        </w:trPr>
        <w:tc>
          <w:tcPr>
            <w:tcW w:w="318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错进行错报更正；</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）公司缺乏民主决策程序；</w:t>
            </w:r>
          </w:p>
        </w:tc>
      </w:tr>
      <w:tr>
        <w:trPr>
          <w:trHeight w:val="328" w:hRule="exact"/>
        </w:trPr>
        <w:tc>
          <w:tcPr>
            <w:tcW w:w="3188" w:type="dxa"/>
            <w:vMerge w:val="restart"/>
            <w:tcBorders>
              <w:top w:val="nil" w:sz="6" w:space="0" w:color="auto"/>
              <w:left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）当期财务报告存在重大错报，而内部</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）公司决策程序导致重大失误；</w:t>
            </w:r>
          </w:p>
        </w:tc>
      </w:tr>
      <w:tr>
        <w:trPr>
          <w:trHeight w:val="360" w:hRule="exact"/>
        </w:trPr>
        <w:tc>
          <w:tcPr>
            <w:tcW w:w="3188" w:type="dxa"/>
            <w:vMerge/>
            <w:tcBorders>
              <w:left w:val="single" w:sz="4" w:space="0" w:color="000000"/>
              <w:bottom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single" w:sz="4" w:space="0" w:color="000000"/>
              <w:right w:val="single" w:sz="4" w:space="0" w:color="000000"/>
            </w:tcBorders>
          </w:tcPr>
          <w:p>
            <w:pPr>
              <w:pStyle w:val="TableParagraph"/>
              <w:spacing w:line="231" w:lineRule="exact"/>
              <w:ind w:left="28" w:right="0"/>
              <w:jc w:val="left"/>
              <w:rPr>
                <w:rFonts w:ascii="宋体" w:hAnsi="宋体" w:cs="宋体" w:eastAsia="宋体" w:hint="default"/>
                <w:sz w:val="18"/>
                <w:szCs w:val="18"/>
              </w:rPr>
            </w:pPr>
            <w:r>
              <w:rPr>
                <w:rFonts w:ascii="宋体" w:hAnsi="宋体" w:cs="宋体" w:eastAsia="宋体" w:hint="default"/>
                <w:sz w:val="18"/>
                <w:szCs w:val="18"/>
              </w:rPr>
              <w:t>控制在运行过程中未能发现该错报；</w:t>
            </w:r>
          </w:p>
        </w:tc>
        <w:tc>
          <w:tcPr>
            <w:tcW w:w="30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）公司重要业务缺乏制度控制或制</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8"/>
          <w:szCs w:val="18"/>
        </w:rPr>
      </w:pPr>
    </w:p>
    <w:p>
      <w:pPr>
        <w:spacing w:before="44"/>
        <w:ind w:left="0" w:right="158" w:firstLine="0"/>
        <w:jc w:val="right"/>
        <w:rPr>
          <w:rFonts w:ascii="宋体" w:hAnsi="宋体" w:cs="宋体" w:eastAsia="宋体" w:hint="default"/>
          <w:sz w:val="18"/>
          <w:szCs w:val="18"/>
        </w:rPr>
      </w:pPr>
      <w:r>
        <w:rPr/>
        <w:pict>
          <v:shape style="position:absolute;margin-left:56.459999pt;margin-top:-100.508049pt;width:479.1pt;height:521.1pt;mso-position-horizontal-relative:page;mso-position-vertical-relative:paragraph;z-index:33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3"/>
                    <w:gridCol w:w="3050"/>
                  </w:tblGrid>
                  <w:tr>
                    <w:trPr>
                      <w:trHeight w:val="322" w:hRule="exact"/>
                    </w:trPr>
                    <w:tc>
                      <w:tcPr>
                        <w:tcW w:w="3194" w:type="dxa"/>
                        <w:vMerge w:val="restart"/>
                        <w:tcBorders>
                          <w:top w:val="single" w:sz="4" w:space="0" w:color="000000"/>
                          <w:left w:val="single" w:sz="4" w:space="0" w:color="000000"/>
                          <w:right w:val="single" w:sz="4" w:space="0" w:color="000000"/>
                        </w:tcBorders>
                        <w:shd w:val="clear" w:color="auto" w:fill="D3D3D3"/>
                      </w:tcPr>
                      <w:p>
                        <w:pPr/>
                      </w:p>
                    </w:tc>
                    <w:tc>
                      <w:tcPr>
                        <w:tcW w:w="33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）审计委员会以及内部审计部门对财务</w:t>
                        </w:r>
                      </w:p>
                    </w:tc>
                    <w:tc>
                      <w:tcPr>
                        <w:tcW w:w="30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度体系失效；</w:t>
                        </w:r>
                      </w:p>
                    </w:tc>
                  </w:tr>
                  <w:tr>
                    <w:trPr>
                      <w:trHeight w:val="353"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报告内部控制监督无效。</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）公司内部控制重大或重要缺陷未</w:t>
                        </w:r>
                      </w:p>
                    </w:tc>
                  </w:tr>
                  <w:tr>
                    <w:trPr>
                      <w:trHeight w:val="327"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认定为重要缺陷：</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得到整改。</w:t>
                        </w:r>
                      </w:p>
                    </w:tc>
                  </w:tr>
                  <w:tr>
                    <w:trPr>
                      <w:trHeight w:val="337"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）未依照公认会计准则选择和应用会计</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认定为重要缺陷：</w:t>
                        </w:r>
                      </w:p>
                    </w:tc>
                  </w:tr>
                  <w:tr>
                    <w:trPr>
                      <w:trHeight w:val="351"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政策；</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）公司民主决策程序存在但不够完</w:t>
                        </w: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）对于非常规或特殊交易的账务处理没</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善；</w:t>
                        </w:r>
                      </w:p>
                    </w:tc>
                  </w:tr>
                  <w:tr>
                    <w:trPr>
                      <w:trHeight w:val="334"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有建立相应的控制机制或没有实施且没有</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）公司决策程序导致出现一般失误</w:t>
                        </w:r>
                      </w:p>
                    </w:tc>
                  </w:tr>
                  <w:tr>
                    <w:trPr>
                      <w:trHeight w:val="351"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宋体" w:hAnsi="宋体" w:cs="宋体" w:eastAsia="宋体" w:hint="default"/>
                            <w:sz w:val="18"/>
                            <w:szCs w:val="18"/>
                          </w:rPr>
                          <w:t>相应的补偿性控制；</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）公司内部控制重要或一般缺陷未</w:t>
                        </w:r>
                      </w:p>
                    </w:tc>
                  </w:tr>
                  <w:tr>
                    <w:trPr>
                      <w:trHeight w:val="308"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）对于期末财务报告过程的控制存在一</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2" w:right="0"/>
                          <w:jc w:val="left"/>
                          <w:rPr>
                            <w:rFonts w:ascii="宋体" w:hAnsi="宋体" w:cs="宋体" w:eastAsia="宋体" w:hint="default"/>
                            <w:sz w:val="18"/>
                            <w:szCs w:val="18"/>
                          </w:rPr>
                        </w:pPr>
                        <w:r>
                          <w:rPr>
                            <w:rFonts w:ascii="宋体" w:hAnsi="宋体" w:cs="宋体" w:eastAsia="宋体" w:hint="default"/>
                            <w:sz w:val="18"/>
                            <w:szCs w:val="18"/>
                          </w:rPr>
                          <w:t>得到整改。</w:t>
                        </w:r>
                      </w:p>
                    </w:tc>
                  </w:tr>
                  <w:tr>
                    <w:trPr>
                      <w:trHeight w:val="292"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项或多项缺陷且不能合理保证编制的财务</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3194" w:type="dxa"/>
                        <w:vMerge/>
                        <w:tcBorders>
                          <w:left w:val="single" w:sz="4" w:space="0" w:color="000000"/>
                          <w:bottom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报表达到真实、准确的目标。</w:t>
                        </w:r>
                      </w:p>
                    </w:tc>
                    <w:tc>
                      <w:tcPr>
                        <w:tcW w:w="3050"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3194" w:type="dxa"/>
                        <w:tcBorders>
                          <w:top w:val="single" w:sz="4" w:space="0" w:color="000000"/>
                          <w:left w:val="single" w:sz="4" w:space="0" w:color="000000"/>
                          <w:bottom w:val="nil" w:sz="6" w:space="0" w:color="auto"/>
                          <w:right w:val="single" w:sz="4" w:space="0" w:color="000000"/>
                        </w:tcBorders>
                        <w:shd w:val="clear" w:color="auto" w:fill="D3D3D3"/>
                      </w:tcPr>
                      <w:p>
                        <w:pPr/>
                      </w:p>
                    </w:tc>
                    <w:tc>
                      <w:tcPr>
                        <w:tcW w:w="33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定量标准以营业收入、资产总额作为衡量</w:t>
                        </w:r>
                      </w:p>
                    </w:tc>
                    <w:tc>
                      <w:tcPr>
                        <w:tcW w:w="3050" w:type="dxa"/>
                        <w:tcBorders>
                          <w:top w:val="single" w:sz="4" w:space="0" w:color="000000"/>
                          <w:left w:val="single" w:sz="4" w:space="0" w:color="000000"/>
                          <w:bottom w:val="nil" w:sz="6" w:space="0" w:color="auto"/>
                          <w:right w:val="single" w:sz="4" w:space="0" w:color="000000"/>
                        </w:tcBorders>
                      </w:tcPr>
                      <w:p>
                        <w:pPr/>
                      </w:p>
                    </w:tc>
                  </w:tr>
                  <w:tr>
                    <w:trPr>
                      <w:trHeight w:val="33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指标。</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31"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宋体" w:hAnsi="宋体" w:cs="宋体" w:eastAsia="宋体" w:hint="default"/>
                            <w:sz w:val="18"/>
                            <w:szCs w:val="18"/>
                          </w:rPr>
                          <w:t>内部控制缺陷可能导致或导致的损失与利</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润表相关的，以营业收入指标衡量。如果</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该缺陷单独或连同其他缺陷可能导致的财</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务报告错报金额小于营业收入的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pacing w:val="-78"/>
                            <w:sz w:val="18"/>
                            <w:szCs w:val="18"/>
                          </w:rPr>
                          <w:t>，</w:t>
                        </w:r>
                        <w:r>
                          <w:rPr>
                            <w:rFonts w:ascii="宋体" w:hAnsi="宋体" w:cs="宋体" w:eastAsia="宋体" w:hint="default"/>
                            <w:sz w:val="18"/>
                            <w:szCs w:val="18"/>
                          </w:rPr>
                          <w:t>则认</w:t>
                        </w:r>
                      </w:p>
                    </w:tc>
                    <w:tc>
                      <w:tcPr>
                        <w:tcW w:w="3050" w:type="dxa"/>
                        <w:tcBorders>
                          <w:top w:val="nil" w:sz="6" w:space="0" w:color="auto"/>
                          <w:left w:val="single" w:sz="4" w:space="0" w:color="000000"/>
                          <w:bottom w:val="nil" w:sz="6" w:space="0" w:color="auto"/>
                          <w:right w:val="single" w:sz="4" w:space="0" w:color="000000"/>
                        </w:tcBorders>
                      </w:tcPr>
                      <w:p>
                        <w:pPr/>
                      </w:p>
                    </w:tc>
                  </w:tr>
                  <w:tr>
                    <w:trPr>
                      <w:trHeight w:val="1029"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3" w:right="23"/>
                          <w:jc w:val="left"/>
                          <w:rPr>
                            <w:rFonts w:ascii="宋体" w:hAnsi="宋体" w:cs="宋体" w:eastAsia="宋体" w:hint="default"/>
                            <w:sz w:val="18"/>
                            <w:szCs w:val="18"/>
                          </w:rPr>
                        </w:pPr>
                        <w:r>
                          <w:rPr>
                            <w:rFonts w:ascii="宋体" w:hAnsi="宋体" w:cs="宋体" w:eastAsia="宋体" w:hint="default"/>
                            <w:sz w:val="18"/>
                            <w:szCs w:val="18"/>
                          </w:rPr>
                          <w:t>定为一般缺陷；如果超过营业收入的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但小于</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则为重要缺陷；如果超过营业收</w:t>
                        </w:r>
                        <w:r>
                          <w:rPr>
                            <w:rFonts w:ascii="宋体" w:hAnsi="宋体" w:cs="宋体" w:eastAsia="宋体" w:hint="default"/>
                            <w:sz w:val="18"/>
                            <w:szCs w:val="18"/>
                          </w:rPr>
                          <w:t> 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，则认定为重大缺陷。</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22" w:right="137"/>
                          <w:jc w:val="both"/>
                          <w:rPr>
                            <w:rFonts w:ascii="宋体" w:hAnsi="宋体" w:cs="宋体" w:eastAsia="宋体" w:hint="default"/>
                            <w:sz w:val="18"/>
                            <w:szCs w:val="18"/>
                          </w:rPr>
                        </w:pPr>
                        <w:r>
                          <w:rPr>
                            <w:rFonts w:ascii="宋体" w:hAnsi="宋体" w:cs="宋体" w:eastAsia="宋体" w:hint="default"/>
                            <w:sz w:val="18"/>
                            <w:szCs w:val="18"/>
                          </w:rPr>
                          <w:t>公司确定的非财务报告内部控制缺陷 评价的定量标准参照财务报告内部控 制缺陷评价定量认定标准。</w:t>
                        </w:r>
                      </w:p>
                    </w:tc>
                  </w:tr>
                  <w:tr>
                    <w:trPr>
                      <w:trHeight w:val="253"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187" w:lineRule="exact"/>
                          <w:ind w:left="23" w:right="0"/>
                          <w:jc w:val="left"/>
                          <w:rPr>
                            <w:rFonts w:ascii="宋体" w:hAnsi="宋体" w:cs="宋体" w:eastAsia="宋体" w:hint="default"/>
                            <w:sz w:val="18"/>
                            <w:szCs w:val="18"/>
                          </w:rPr>
                        </w:pPr>
                        <w:r>
                          <w:rPr>
                            <w:rFonts w:ascii="宋体" w:hAnsi="宋体" w:cs="宋体" w:eastAsia="宋体" w:hint="default"/>
                            <w:sz w:val="18"/>
                            <w:szCs w:val="18"/>
                          </w:rPr>
                          <w:t>内部控制缺陷可能导致或导致的损失与资</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产管理相关的，以资产总额指标衡量。如</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果该缺陷单独或连同其他缺陷可能导致的</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财务报告错报金额小于资产总额的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pacing w:val="-78"/>
                            <w:sz w:val="18"/>
                            <w:szCs w:val="18"/>
                          </w:rPr>
                          <w:t>，</w:t>
                        </w:r>
                        <w:r>
                          <w:rPr>
                            <w:rFonts w:ascii="宋体" w:hAnsi="宋体" w:cs="宋体" w:eastAsia="宋体" w:hint="default"/>
                            <w:sz w:val="18"/>
                            <w:szCs w:val="18"/>
                          </w:rPr>
                          <w:t>则</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认定为一般缺陷</w:t>
                        </w:r>
                        <w:r>
                          <w:rPr>
                            <w:rFonts w:ascii="宋体" w:hAnsi="宋体" w:cs="宋体" w:eastAsia="宋体" w:hint="default"/>
                            <w:spacing w:val="-78"/>
                            <w:sz w:val="18"/>
                            <w:szCs w:val="18"/>
                          </w:rPr>
                          <w:t>；</w:t>
                        </w:r>
                        <w:r>
                          <w:rPr>
                            <w:rFonts w:ascii="宋体" w:hAnsi="宋体" w:cs="宋体" w:eastAsia="宋体" w:hint="default"/>
                            <w:sz w:val="18"/>
                            <w:szCs w:val="18"/>
                          </w:rPr>
                          <w:t>如果超过资产总额的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但小于 </w:t>
                        </w:r>
                        <w:r>
                          <w:rPr>
                            <w:rFonts w:ascii="Times New Roman" w:hAnsi="Times New Roman" w:cs="Times New Roman" w:eastAsia="Times New Roman" w:hint="default"/>
                            <w:sz w:val="18"/>
                            <w:szCs w:val="18"/>
                          </w:rPr>
                          <w:t>2%</w:t>
                        </w:r>
                        <w:r>
                          <w:rPr>
                            <w:rFonts w:ascii="宋体" w:hAnsi="宋体" w:cs="宋体" w:eastAsia="宋体" w:hint="default"/>
                            <w:sz w:val="18"/>
                            <w:szCs w:val="18"/>
                          </w:rPr>
                          <w:t>认定为重要缺陷；</w:t>
                        </w:r>
                        <w:r>
                          <w:rPr>
                            <w:rFonts w:ascii="宋体" w:hAnsi="宋体" w:cs="宋体" w:eastAsia="宋体" w:hint="default"/>
                            <w:spacing w:val="-46"/>
                            <w:sz w:val="18"/>
                            <w:szCs w:val="18"/>
                          </w:rPr>
                          <w:t> </w:t>
                        </w:r>
                        <w:r>
                          <w:rPr>
                            <w:rFonts w:ascii="宋体" w:hAnsi="宋体" w:cs="宋体" w:eastAsia="宋体" w:hint="default"/>
                            <w:sz w:val="18"/>
                            <w:szCs w:val="18"/>
                          </w:rPr>
                          <w:t>如果超过资</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3194" w:type="dxa"/>
                        <w:tcBorders>
                          <w:top w:val="nil" w:sz="6" w:space="0" w:color="auto"/>
                          <w:left w:val="single" w:sz="4" w:space="0" w:color="000000"/>
                          <w:bottom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，则认定为重大缺陷。</w:t>
                        </w:r>
                      </w:p>
                    </w:tc>
                    <w:tc>
                      <w:tcPr>
                        <w:tcW w:w="3050"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2080"/>
        <w:jc w:val="center"/>
        <w:rPr>
          <w:b w:val="0"/>
          <w:bCs w:val="0"/>
        </w:rPr>
      </w:pPr>
      <w:bookmarkStart w:name="_TOC_250001" w:id="10"/>
      <w:r>
        <w:rPr/>
        <w:t>第十节</w:t>
      </w:r>
      <w:r>
        <w:rPr>
          <w:spacing w:val="-5"/>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711219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刘金进、李洪勇</w:t>
            </w:r>
          </w:p>
        </w:tc>
      </w:tr>
    </w:tbl>
    <w:p>
      <w:pPr>
        <w:spacing w:before="51"/>
        <w:ind w:left="2081" w:right="2079"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1"/>
        <w:rPr>
          <w:rFonts w:ascii="宋体" w:hAnsi="宋体" w:cs="宋体" w:eastAsia="宋体" w:hint="default"/>
          <w:sz w:val="10"/>
          <w:szCs w:val="10"/>
        </w:rPr>
      </w:pPr>
    </w:p>
    <w:p>
      <w:pPr>
        <w:spacing w:line="408" w:lineRule="auto" w:before="35"/>
        <w:ind w:left="574" w:right="134" w:hanging="420"/>
        <w:jc w:val="left"/>
        <w:rPr>
          <w:rFonts w:ascii="宋体" w:hAnsi="宋体" w:cs="宋体" w:eastAsia="宋体" w:hint="default"/>
          <w:sz w:val="21"/>
          <w:szCs w:val="21"/>
        </w:rPr>
      </w:pPr>
      <w:r>
        <w:rPr>
          <w:rFonts w:ascii="宋体" w:hAnsi="宋体" w:cs="宋体" w:eastAsia="宋体" w:hint="default"/>
          <w:b/>
          <w:bCs/>
          <w:sz w:val="21"/>
          <w:szCs w:val="21"/>
        </w:rPr>
        <w:t>新开普电子股份有限公司全体股东：</w:t>
      </w:r>
      <w:r>
        <w:rPr>
          <w:rFonts w:ascii="宋体" w:hAnsi="宋体" w:cs="宋体" w:eastAsia="宋体" w:hint="default"/>
          <w:b/>
          <w:bCs/>
          <w:w w:val="99"/>
          <w:sz w:val="21"/>
          <w:szCs w:val="21"/>
        </w:rPr>
        <w:t> </w:t>
      </w:r>
      <w:r>
        <w:rPr>
          <w:rFonts w:ascii="宋体" w:hAnsi="宋体" w:cs="宋体" w:eastAsia="宋体" w:hint="default"/>
          <w:sz w:val="21"/>
          <w:szCs w:val="21"/>
        </w:rPr>
        <w:t>我们审计了后附的新开普电子股份有限公司（以下简称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贵公司</w:t>
      </w:r>
      <w:r>
        <w:rPr>
          <w:rFonts w:ascii="Times New Roman" w:hAnsi="Times New Roman" w:cs="Times New Roman" w:eastAsia="Times New Roman" w:hint="default"/>
          <w:sz w:val="21"/>
          <w:szCs w:val="21"/>
        </w:rPr>
        <w:t>”</w:t>
      </w:r>
      <w:r>
        <w:rPr>
          <w:rFonts w:ascii="宋体" w:hAnsi="宋体" w:cs="宋体" w:eastAsia="宋体" w:hint="default"/>
          <w:sz w:val="21"/>
          <w:szCs w:val="21"/>
        </w:rPr>
        <w:t>）财务报表，包括</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日的</w:t>
      </w:r>
    </w:p>
    <w:p>
      <w:pPr>
        <w:pStyle w:val="BodyText"/>
        <w:spacing w:line="386" w:lineRule="auto" w:before="14"/>
        <w:ind w:right="0"/>
        <w:jc w:val="left"/>
      </w:pPr>
      <w:r>
        <w:rPr>
          <w:spacing w:val="-1"/>
        </w:rPr>
        <w:t>合并及公司资产负债表、</w:t>
      </w:r>
      <w:r>
        <w:rPr>
          <w:rFonts w:ascii="Times New Roman" w:hAnsi="Times New Roman" w:cs="Times New Roman" w:eastAsia="Times New Roman" w:hint="default"/>
          <w:spacing w:val="-1"/>
        </w:rPr>
        <w:t>2015</w:t>
      </w:r>
      <w:r>
        <w:rPr>
          <w:spacing w:val="-1"/>
        </w:rPr>
        <w:t>年度的合并及公司利润表、合并及公司现金流量表、合并及公司所有者权益</w:t>
      </w:r>
      <w:r>
        <w:rPr>
          <w:spacing w:val="-84"/>
        </w:rPr>
        <w:t> </w:t>
      </w:r>
      <w:r>
        <w:rPr>
          <w:spacing w:val="-84"/>
        </w:rPr>
      </w:r>
      <w:r>
        <w:rPr/>
        <w:t>变动表以及财务报表附注。</w:t>
      </w:r>
    </w:p>
    <w:p>
      <w:pPr>
        <w:spacing w:line="408" w:lineRule="auto" w:before="65"/>
        <w:ind w:left="574" w:right="0" w:hanging="8"/>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spacing w:val="1"/>
          <w:w w:val="99"/>
          <w:sz w:val="21"/>
          <w:szCs w:val="21"/>
        </w:rPr>
        <w:t> </w:t>
      </w:r>
      <w:r>
        <w:rPr>
          <w:rFonts w:ascii="宋体" w:hAnsi="宋体" w:cs="宋体" w:eastAsia="宋体" w:hint="default"/>
          <w:sz w:val="21"/>
          <w:szCs w:val="21"/>
        </w:rPr>
        <w:t>编制和公允列报财务报表是贵公司管理层的责任。这种责任包括：（</w:t>
      </w:r>
      <w:r>
        <w:rPr>
          <w:rFonts w:ascii="Times New Roman" w:hAnsi="Times New Roman" w:cs="Times New Roman" w:eastAsia="Times New Roman" w:hint="default"/>
          <w:sz w:val="21"/>
          <w:szCs w:val="21"/>
        </w:rPr>
        <w:t>1</w:t>
      </w:r>
      <w:r>
        <w:rPr>
          <w:rFonts w:ascii="宋体" w:hAnsi="宋体" w:cs="宋体" w:eastAsia="宋体" w:hint="default"/>
          <w:sz w:val="21"/>
          <w:szCs w:val="21"/>
        </w:rPr>
        <w:t>）按照企业会计准则的规定编</w:t>
      </w:r>
    </w:p>
    <w:p>
      <w:pPr>
        <w:pStyle w:val="BodyText"/>
        <w:spacing w:line="386" w:lineRule="auto" w:before="14"/>
        <w:ind w:right="0"/>
        <w:jc w:val="left"/>
      </w:pPr>
      <w:r>
        <w:rPr/>
        <w:t>制财务报表，并使其实现公允反映；（</w:t>
      </w:r>
      <w:r>
        <w:rPr>
          <w:rFonts w:ascii="Times New Roman" w:hAnsi="Times New Roman" w:cs="Times New Roman" w:eastAsia="Times New Roman" w:hint="default"/>
        </w:rPr>
        <w:t>2</w:t>
      </w:r>
      <w:r>
        <w:rPr/>
        <w:t>）设计、执行和维护必要的内部控制，以使财务报表不存在由于</w:t>
      </w:r>
      <w:r>
        <w:rPr>
          <w:spacing w:val="-34"/>
        </w:rPr>
        <w:t> </w:t>
      </w:r>
      <w:r>
        <w:rPr>
          <w:spacing w:val="-34"/>
        </w:rPr>
      </w:r>
      <w:r>
        <w:rPr/>
        <w:t>舞弊或错误导致的重大错报。</w:t>
      </w:r>
    </w:p>
    <w:p>
      <w:pPr>
        <w:pStyle w:val="BodyText"/>
        <w:spacing w:line="408" w:lineRule="auto" w:before="65"/>
        <w:ind w:left="574" w:right="0" w:hanging="8"/>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1"/>
        </w:rPr>
        <w:t>我们的责任是在执行审计工作的基础上对财务报表发表审计意见。我们按照中国注册会计师审计准则</w:t>
      </w:r>
    </w:p>
    <w:p>
      <w:pPr>
        <w:pStyle w:val="BodyText"/>
        <w:spacing w:line="408" w:lineRule="auto"/>
        <w:ind w:right="0"/>
        <w:jc w:val="left"/>
      </w:pPr>
      <w:r>
        <w:rPr>
          <w:spacing w:val="-1"/>
        </w:rPr>
        <w:t>的规定执行了审计工作。中国注册会计师审计准则要求我们遵守中国注册会计师职业道德守则，计划和执</w:t>
      </w:r>
      <w:r>
        <w:rPr>
          <w:spacing w:val="-81"/>
        </w:rPr>
        <w:t> </w:t>
      </w:r>
      <w:r>
        <w:rPr>
          <w:spacing w:val="-81"/>
        </w:rPr>
      </w:r>
      <w:r>
        <w:rPr/>
        <w:t>行审计工作以对财务报表是否不存在重大错报获取合理保证。</w:t>
      </w:r>
    </w:p>
    <w:p>
      <w:pPr>
        <w:pStyle w:val="BodyText"/>
        <w:spacing w:line="408" w:lineRule="auto"/>
        <w:ind w:right="151" w:firstLine="420"/>
        <w:jc w:val="both"/>
      </w:pPr>
      <w:r>
        <w:rPr>
          <w:spacing w:val="-1"/>
        </w:rPr>
        <w:t>审计工作涉及实施审计程序，以获取有关财务报表金额和披露的审计证据。选择的审计程序取决于注</w:t>
      </w:r>
      <w:r>
        <w:rPr/>
        <w:t> </w:t>
      </w:r>
      <w:r>
        <w:rPr>
          <w:spacing w:val="-1"/>
        </w:rPr>
        <w:t>册会计师的判断，包括对由于舞弊或错误导致的财务报表重大错报风险的评估。在进行风险评估时，注册</w:t>
      </w:r>
      <w:r>
        <w:rPr>
          <w:spacing w:val="-83"/>
        </w:rPr>
        <w:t> </w:t>
      </w:r>
      <w:r>
        <w:rPr>
          <w:spacing w:val="-83"/>
        </w:rPr>
      </w:r>
      <w:r>
        <w:rPr>
          <w:spacing w:val="-1"/>
        </w:rPr>
        <w:t>会计师考虑与财务报表编制和公允列报相关的内部控制，以设计恰当的审计程序。审计工作还包括评价管</w:t>
      </w:r>
      <w:r>
        <w:rPr>
          <w:spacing w:val="-81"/>
        </w:rPr>
        <w:t> </w:t>
      </w:r>
      <w:r>
        <w:rPr>
          <w:spacing w:val="-81"/>
        </w:rPr>
      </w:r>
      <w:r>
        <w:rPr/>
        <w:t>理层选用会计政策的恰当性和作出会计估计的合理性，以及评价财务报表的总体列报。</w:t>
      </w:r>
    </w:p>
    <w:p>
      <w:pPr>
        <w:pStyle w:val="BodyText"/>
        <w:spacing w:line="408" w:lineRule="auto"/>
        <w:ind w:left="566" w:right="2001" w:firstLine="7"/>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240" w:lineRule="auto"/>
        <w:ind w:left="574" w:right="0"/>
        <w:jc w:val="left"/>
      </w:pPr>
      <w:r>
        <w:rPr/>
        <w:t>我们认为，贵公司财务报表在所有重大方面按照企业会计准则的规定编制，公允反映了贵公司</w:t>
      </w:r>
      <w:r>
        <w:rPr>
          <w:rFonts w:ascii="Times New Roman" w:hAnsi="Times New Roman" w:cs="Times New Roman" w:eastAsia="Times New Roman" w:hint="default"/>
        </w:rPr>
        <w:t>2015</w:t>
      </w:r>
      <w:r>
        <w:rPr/>
        <w:t>年</w:t>
      </w:r>
    </w:p>
    <w:p>
      <w:pPr>
        <w:pStyle w:val="BodyText"/>
        <w:spacing w:line="240" w:lineRule="auto" w:before="177"/>
        <w:ind w:left="153" w:right="0"/>
        <w:jc w:val="left"/>
      </w:pP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日的合并及公司财务状况以及</w:t>
      </w:r>
      <w:r>
        <w:rPr>
          <w:rFonts w:ascii="Times New Roman" w:hAnsi="Times New Roman" w:cs="Times New Roman" w:eastAsia="Times New Roman" w:hint="default"/>
        </w:rPr>
        <w:t>2015</w:t>
      </w:r>
      <w:r>
        <w:rPr/>
        <w:t>年度的合并及公司经营成果和现金流量。</w:t>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4"/>
        <w:tabs>
          <w:tab w:pos="5033" w:val="left" w:leader="none"/>
        </w:tabs>
        <w:spacing w:line="240" w:lineRule="auto" w:before="35"/>
        <w:ind w:right="0"/>
        <w:jc w:val="left"/>
        <w:rPr>
          <w:b w:val="0"/>
          <w:bCs w:val="0"/>
        </w:rPr>
      </w:pPr>
      <w:r>
        <w:rPr>
          <w:w w:val="95"/>
        </w:rPr>
        <w:t>立信会计师事务所</w:t>
        <w:tab/>
      </w:r>
      <w:r>
        <w:rPr/>
        <w:t>中国注册会计师：刘金进</w:t>
      </w:r>
      <w:r>
        <w:rPr>
          <w:b w:val="0"/>
          <w:bCs w:val="0"/>
        </w:rPr>
      </w:r>
    </w:p>
    <w:p>
      <w:pPr>
        <w:pStyle w:val="Heading4"/>
        <w:spacing w:line="240" w:lineRule="auto" w:before="37"/>
        <w:ind w:right="0"/>
        <w:jc w:val="left"/>
        <w:rPr>
          <w:b w:val="0"/>
          <w:bCs w:val="0"/>
        </w:rPr>
      </w:pPr>
      <w:r>
        <w:rPr/>
        <w:t>（特殊普通合伙）</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p>
      <w:pPr>
        <w:pStyle w:val="Heading4"/>
        <w:spacing w:line="240" w:lineRule="auto"/>
        <w:ind w:left="4982" w:right="0"/>
        <w:jc w:val="left"/>
        <w:rPr>
          <w:b w:val="0"/>
          <w:bCs w:val="0"/>
        </w:rPr>
      </w:pPr>
      <w:r>
        <w:rPr/>
        <w:t>中国注册会计师：李洪勇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4"/>
        <w:tabs>
          <w:tab w:pos="5035" w:val="left" w:leader="none"/>
        </w:tabs>
        <w:spacing w:line="240" w:lineRule="auto" w:before="177"/>
        <w:ind w:left="1291" w:right="0"/>
        <w:jc w:val="left"/>
        <w:rPr>
          <w:b w:val="0"/>
          <w:bCs w:val="0"/>
        </w:rPr>
      </w:pPr>
      <w:r>
        <w:rPr>
          <w:w w:val="95"/>
        </w:rPr>
        <w:t>中国</w:t>
      </w:r>
      <w:r>
        <w:rPr>
          <w:rFonts w:ascii="Times New Roman" w:hAnsi="Times New Roman" w:cs="Times New Roman" w:eastAsia="Times New Roman" w:hint="default"/>
          <w:w w:val="95"/>
        </w:rPr>
        <w:t>·</w:t>
      </w:r>
      <w:r>
        <w:rPr>
          <w:w w:val="95"/>
        </w:rPr>
        <w:t>上海</w:t>
        <w:tab/>
      </w:r>
      <w:r>
        <w:rPr/>
        <w:t>二〇一六年四月二十一日</w:t>
      </w:r>
      <w:r>
        <w:rPr>
          <w:b w:val="0"/>
          <w:bCs w:val="0"/>
        </w:rPr>
      </w:r>
    </w:p>
    <w:p>
      <w:pPr>
        <w:spacing w:line="240" w:lineRule="auto" w:before="0"/>
        <w:rPr>
          <w:rFonts w:ascii="宋体" w:hAnsi="宋体" w:cs="宋体" w:eastAsia="宋体" w:hint="default"/>
          <w:b/>
          <w:bCs/>
          <w:sz w:val="22"/>
          <w:szCs w:val="22"/>
        </w:rPr>
      </w:pPr>
    </w:p>
    <w:p>
      <w:pPr>
        <w:spacing w:line="240" w:lineRule="auto" w:before="10"/>
        <w:rPr>
          <w:rFonts w:ascii="宋体" w:hAnsi="宋体" w:cs="宋体" w:eastAsia="宋体" w:hint="default"/>
          <w:b/>
          <w:bCs/>
          <w:sz w:val="24"/>
          <w:szCs w:val="24"/>
        </w:rPr>
      </w:pPr>
    </w:p>
    <w:p>
      <w:pPr>
        <w:pStyle w:val="Heading2"/>
        <w:spacing w:line="240" w:lineRule="auto"/>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编制单位：新开普电子股份有限公司</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198,663,050.10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171,758,522.59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以公允价值计量且其变动计入当 期损益的金融资产</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211,534,612.67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142,414,643.59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15,584,633.81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10,342,064.75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528,900.36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28,217,289.21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14,710,739.01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174,782,234.26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106,244,066.70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628,781,820.05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445,998,937.00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19,002,690.76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2,725,964.65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19,617,111.05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18,231,011.52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19,238,212.43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153,683,226.46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158,160,877.64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1,572,103.36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1,212,168.70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44,319,451.24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12,271,150.89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449,584,839.57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1,339,743.80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9,206,235.14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5,740,785.23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716,556,412.90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200,689,159.54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1,345,338,232.95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646,688,096.54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以公允价值计量且其变动计入当 期损益的金融负债</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95,020,026.19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52,015,612.37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71,174,767.76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22,009,715.16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9,584,638.44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426,005.22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24,223,754.93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10,639,433.50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203,607,390.32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1,189,402.29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8,666,666.66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487,777,244.30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86,280,168.54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17,333,333.34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预计负债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808,531.04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15,184,581.67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9,563,001.67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33,326,446.05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9,563,001.67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521,103,690.35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95,843,170.21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302,094,901.00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142,720,000.00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274,048,192.18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206,469,044.44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24,933,191.49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21,449,656.21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208,078,594.09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165,432,136.29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809,154,878.76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536,070,836.94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15,079,663.84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14,774,089.39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824,234,542.60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550,844,926.33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1,345,338,232.95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646,688,096.54</w:t>
            </w:r>
          </w:p>
        </w:tc>
      </w:tr>
    </w:tbl>
    <w:p>
      <w:pPr>
        <w:spacing w:line="240" w:lineRule="auto" w:before="3"/>
        <w:rPr>
          <w:rFonts w:ascii="Times New Roman" w:hAnsi="Times New Roman" w:cs="Times New Roman" w:eastAsia="Times New Roman" w:hint="default"/>
          <w:sz w:val="23"/>
          <w:szCs w:val="23"/>
        </w:rPr>
      </w:pPr>
    </w:p>
    <w:p>
      <w:pPr>
        <w:tabs>
          <w:tab w:pos="3509" w:val="left" w:leader="none"/>
          <w:tab w:pos="7739" w:val="left" w:leader="none"/>
        </w:tabs>
        <w:spacing w:before="44"/>
        <w:ind w:left="0" w:right="248" w:firstLine="0"/>
        <w:jc w:val="right"/>
        <w:rPr>
          <w:rFonts w:ascii="宋体" w:hAnsi="宋体" w:cs="宋体" w:eastAsia="宋体" w:hint="default"/>
          <w:sz w:val="18"/>
          <w:szCs w:val="18"/>
        </w:rPr>
      </w:pPr>
      <w:r>
        <w:rPr>
          <w:rFonts w:ascii="宋体" w:hAnsi="宋体" w:cs="宋体" w:eastAsia="宋体" w:hint="default"/>
          <w:sz w:val="18"/>
          <w:szCs w:val="18"/>
        </w:rPr>
        <w:t>法定代表人：杨维国</w:t>
        <w:tab/>
        <w:t>主管会计工作负责人：李玉玲</w:t>
        <w:tab/>
        <w:t>会计机构负责人：张翀</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货币资金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135,391,313.31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169,611,711.58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    以公允价值计量且其变动计入当 期损益的金融资产</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衍生金融资产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应收票据</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应收账款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163,075,723.56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143,494,522.41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预付款项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10,199,922.06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8,421,060.21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应收利息</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528,900.36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应收股利</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其他应收款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15,679,910.60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13,676,028.56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存货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143,439,781.73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102,280,103.51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467,786,651.26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438,012,326.63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19,002,690.76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2,725,964.65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553,917,111.05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18,231,011.52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19,238,212.43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126,550,022.09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131,999,227.17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1,572,103.36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1,063,248.70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11,674,357.40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12,271,150.89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1,339,743.80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8,201,038.41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5,704,477.94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740,488,078.39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189,642,281.78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1,208,274,729.65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627,654,608.41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以公允价值计量且其变动计入当 期损益的金融负债</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66,619,793.71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50,881,739.18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24,305,984.58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18,757,162.64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195,880.69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426,005.22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12,136,490.44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9,911,690.97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203,080,459.55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1,189,402.29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8,666,666.66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390,505,275.63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81,166,000.30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17,333,333.34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预计负债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808,531.04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15,184,581.67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9,563,001.67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33,326,446.05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9,563,001.67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423,831,721.68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90,729,001.97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302,094,901.00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142,720,000.00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274,048,192.18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206,469,044.44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24,933,191.49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21,449,656.21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183,366,723.30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166,286,905.79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784,443,007.97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536,925,606.44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1,208,274,729.65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627,654,608.41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7"/>
        <w:rPr>
          <w:rFonts w:ascii="Times New Roman" w:hAnsi="Times New Roman" w:cs="Times New Roman" w:eastAsia="Times New Roman" w:hint="default"/>
          <w:sz w:val="23"/>
          <w:szCs w:val="23"/>
        </w:rPr>
      </w:pPr>
      <w:r>
        <w:rPr/>
        <w:pict>
          <v:group style="position:absolute;margin-left:210.960007pt;margin-top:629.880005pt;width:160pt;height:19.6pt;mso-position-horizontal-relative:page;mso-position-vertical-relative:page;z-index:-1166800" coordorigin="4219,12598" coordsize="3200,392">
            <v:group style="position:absolute;left:7396;top:12598;width:23;height:392" coordorigin="7396,12598" coordsize="23,392">
              <v:shape style="position:absolute;left:7396;top:12598;width:23;height:392" coordorigin="7396,12598" coordsize="23,392" path="m7396,12989l7418,12989,7418,12598,7396,12598,7396,12989xe" filled="true" fillcolor="#ffffff" stroked="false">
                <v:path arrowok="t"/>
                <v:fill type="solid"/>
              </v:shape>
            </v:group>
            <v:group style="position:absolute;left:4219;top:12598;width:23;height:392" coordorigin="4219,12598" coordsize="23,392">
              <v:shape style="position:absolute;left:4219;top:12598;width:23;height:392" coordorigin="4219,12598" coordsize="23,392" path="m4219,12989l4242,12989,4242,12598,4219,12598,4219,12989xe" filled="true" fillcolor="#ffffff" stroked="false">
                <v:path arrowok="t"/>
                <v:fill type="solid"/>
              </v:shape>
            </v:group>
            <v:group style="position:absolute;left:4242;top:12598;width:3154;height:392" coordorigin="4242,12598" coordsize="3154,392">
              <v:shape style="position:absolute;left:4242;top:12598;width:3154;height:392" coordorigin="4242,12598" coordsize="3154,392" path="m4242,12989l7396,12989,7396,12598,4242,12598,4242,12989xe" filled="true" fillcolor="#ffffff" stroked="false">
                <v:path arrowok="t"/>
                <v:fill type="solid"/>
              </v:shape>
            </v:group>
            <w10:wrap type="none"/>
          </v:group>
        </w:pict>
      </w:r>
    </w:p>
    <w:p>
      <w:pPr>
        <w:pStyle w:val="Heading4"/>
        <w:spacing w:line="240" w:lineRule="auto" w:before="35"/>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80"/>
        <w:gridCol w:w="3210"/>
        <w:gridCol w:w="3277"/>
      </w:tblGrid>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510,443,267.47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315,360,861.85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510,443,267.47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315,360,861.85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444,345,274.09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283,627,265.90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237,359,027.65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149,135,520.14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手续费及佣金支出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退保金</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赔付支出净额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提取保险合同准备金净额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保单红利支出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分保费用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营业税金及附加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5,811,453.05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3,005,733.82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销售费用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124,357,399.12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83,117,790.64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管理费用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67,529,711.60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40,993,554.37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财务费用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-47,687.64</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-2,878,156.45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资产减值损失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9,335,370.31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10,252,823.38</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185"/>
              <w:jc w:val="left"/>
              <w:rPr>
                <w:rFonts w:ascii="宋体" w:hAnsi="宋体" w:cs="宋体" w:eastAsia="宋体" w:hint="default"/>
                <w:sz w:val="18"/>
                <w:szCs w:val="18"/>
              </w:rPr>
            </w:pPr>
            <w:r>
              <w:rPr>
                <w:rFonts w:ascii="宋体" w:hAnsi="宋体" w:cs="宋体" w:eastAsia="宋体" w:hint="default"/>
                <w:sz w:val="18"/>
                <w:szCs w:val="18"/>
              </w:rPr>
              <w:t>        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2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217,111.05</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217,111.05</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9"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66,315,104.43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31,733,595.95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加：营业外收入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5,165,042.73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11,466,582.05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其中：非流动资产处置利得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减：营业外支出</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1,844,849.77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36,606.97</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其中：非流动资产处置损失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39,662.57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8,513.01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r>
        <w:rPr/>
        <w:pict>
          <v:shape style="position:absolute;margin-left:177.841202pt;margin-top:72.480003pt;width:193.1pt;height:19.650pt;mso-position-horizontal-relative:page;mso-position-vertical-relative:page;z-index:-116677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3080"/>
        <w:gridCol w:w="3210"/>
        <w:gridCol w:w="3277"/>
      </w:tblGrid>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3210" w:type="dxa"/>
            <w:tcBorders>
              <w:top w:val="single" w:sz="4" w:space="0" w:color="000000"/>
              <w:left w:val="single" w:sz="9" w:space="0" w:color="FFFFFF"/>
              <w:bottom w:val="single" w:sz="4" w:space="0" w:color="000000"/>
              <w:right w:val="single" w:sz="13" w:space="0" w:color="FFFFFF"/>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69,635,297.39</w:t>
            </w:r>
          </w:p>
        </w:tc>
        <w:tc>
          <w:tcPr>
            <w:tcW w:w="327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43,163,571.03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减：所得税费用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8,927,729.86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5,099,259.17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60,707,567.53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38,064,311.86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归属于母公司所有者的净利润</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60,401,993.08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37,756,702.33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少数股东损益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305,574.45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307,609.53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  归属母公司所有者的其他综合收益 的税后净额</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8"/>
                <w:sz w:val="18"/>
                <w:szCs w:val="18"/>
              </w:rPr>
              <w:t> </w:t>
            </w: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8"/>
                <w:sz w:val="18"/>
                <w:szCs w:val="18"/>
              </w:rPr>
              <w:t> </w:t>
            </w: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 部分</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  归属于少数股东的其他综合收益的 税后净额</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60,707,567.53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38,064,311.86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    归属于母公司所有者的综合收益 总额</w:t>
            </w:r>
          </w:p>
        </w:tc>
        <w:tc>
          <w:tcPr>
            <w:tcW w:w="32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60,401,993.08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37,756,702.33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归属于少数股东的综合收益总额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305,574.45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307,609.53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0"/>
        <w:rPr>
          <w:rFonts w:ascii="Times New Roman" w:hAnsi="Times New Roman" w:cs="Times New Roman" w:eastAsia="Times New Roman" w:hint="default"/>
          <w:sz w:val="25"/>
          <w:szCs w:val="25"/>
        </w:rPr>
      </w:pPr>
    </w:p>
    <w:p>
      <w:pPr>
        <w:tabs>
          <w:tab w:pos="3663" w:val="left" w:leader="none"/>
          <w:tab w:pos="7893" w:val="left" w:leader="none"/>
        </w:tabs>
        <w:spacing w:line="621" w:lineRule="auto" w:before="44"/>
        <w:ind w:left="153" w:right="248"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法定代表人：杨维国</w:t>
        <w:tab/>
        <w:t>主管会计工作负责人：李玉玲</w:t>
        <w:tab/>
        <w:t>会计机构负责人：张翀</w:t>
      </w:r>
    </w:p>
    <w:p>
      <w:pPr>
        <w:pStyle w:val="Heading4"/>
        <w:spacing w:line="240" w:lineRule="auto" w:before="65"/>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395,625,124.95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304,851,386.12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187,940,430.30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146,642,148.36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4,016,086.01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2,829,641.78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109,478,452.13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77,738,134.42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48,484,668.06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38,426,346.63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-353,145.20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-2,875,369.13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10,213,625.44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10,188,100.70</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        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217,111.05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3,883,275.99</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3"/>
              <w:jc w:val="left"/>
              <w:rPr>
                <w:rFonts w:ascii="宋体" w:hAnsi="宋体" w:cs="宋体" w:eastAsia="宋体" w:hint="default"/>
                <w:sz w:val="18"/>
                <w:szCs w:val="18"/>
              </w:rPr>
            </w:pPr>
            <w:r>
              <w:rPr>
                <w:rFonts w:ascii="宋体" w:hAnsi="宋体" w:cs="宋体" w:eastAsia="宋体" w:hint="default"/>
                <w:sz w:val="18"/>
                <w:szCs w:val="18"/>
              </w:rPr>
              <w:t>        其中：对联营企业和合营企 业的投资收益</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217,111.05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36,062,119.26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35,785,659.35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4,364,804.90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11,452,882.05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其中：非流动资产处置利得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944,845.27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8,513.01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其中：非流动资产处置损失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39,662.57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8,513.01</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39,482,078.89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47,230,028.39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4,646,726.10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4,818,644.02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34,835,352.79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42,411,384.37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3"/>
              <w:jc w:val="left"/>
              <w:rPr>
                <w:rFonts w:ascii="宋体" w:hAnsi="宋体" w:cs="宋体" w:eastAsia="宋体" w:hint="default"/>
                <w:sz w:val="18"/>
                <w:szCs w:val="18"/>
              </w:rPr>
            </w:pPr>
            <w:r>
              <w:rPr>
                <w:rFonts w:ascii="宋体" w:hAnsi="宋体" w:cs="宋体" w:eastAsia="宋体" w:hint="default"/>
                <w:sz w:val="18"/>
                <w:szCs w:val="18"/>
              </w:rPr>
              <w:t>    （一）以后不能重分类进损益的 其他综合收益</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98"/>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2"/>
              <w:ind w:left="22" w:right="53"/>
              <w:jc w:val="both"/>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    （二）以后将重分类进损益的其 他综合收益</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11" w:right="41"/>
              <w:jc w:val="both"/>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86"/>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86"/>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86"/>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 效部分</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34,835,352.79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42,411,384.37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    （一）基本每股收益</w:t>
            </w:r>
          </w:p>
        </w:tc>
        <w:tc>
          <w:tcPr>
            <w:tcW w:w="331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    （二）稀释每股收益</w:t>
            </w:r>
          </w:p>
        </w:tc>
        <w:tc>
          <w:tcPr>
            <w:tcW w:w="331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551,961,348.28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328,666,847.03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客户存款和同业存放款项净增加 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向其他金融机构拆入资金净增加 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收到原保险合同保费取得的现金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收到再保险业务现金净额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保户储金及投资款净增加额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处置以公允价值计量且其变动计 入当期损益的金融资产净增加额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收取利息、手续费及佣金的现金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3,274,634.12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10,214,540.95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12,285,353.68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6,220,776.42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567,521,336.08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345,102,164.40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225,964,443.41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163,549,941.73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存放中央银行和同业款项净增加 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支付原保险合同赔付款项的现金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支付给职工以及为职工支付的现 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112,533,500.68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78,899,507.01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54,102,613.65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30,180,680.97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96,335,726.92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68,850,289.82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488,936,284.66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341,480,419.53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78,585,051.42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3,621,744.87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处置固定资产、无形资产和其他 长期资产收回的现金净额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225,450.00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处置子公司及其他营业单位收到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225,450.00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购建固定资产、无形资产和其他 长期资产支付的现金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9,618,025.90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53,925,369.43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取得子公司及其他营业单位支付 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151,256,672.89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1,186,000.00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198,274,698.79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58,111,369.43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-198,256,198.79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-57,885,919.43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70,954,048.74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10,266,700.00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其中：子公司吸收少数股东投资 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187,954,048.74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10,266,700.00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25,770,388.55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分配股利、利润或偿付利息支付 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15,950,395.68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8,920,000.00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其中：子公司支付给少数股东的 股利、利润</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158,631.40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63,329.32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41,879,415.63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8,983,329.32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146,074,633.11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1,283,370.68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26,403,485.74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-52,980,803.88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170,830,522.59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223,811,326.47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197,234,008.33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170,830,522.59</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411,509,460.94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311,073,468.28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2,481,796.57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10,214,540.95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12,240,912.02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6,143,148.65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426,232,169.53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327,431,157.88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193,620,284.37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158,960,884.33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支付给职工以及为职工支付的现 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96,346,574.83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74,086,064.84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42,347,816.33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29,153,011.68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78,093,365.18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62,722,545.29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410,408,040.71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324,922,506.14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15,824,128.82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2,508,651.74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处置固定资产、无形资产和其他 长期资产收回的现金净额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225,450.00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处置子公司及其他营业单位收到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225,450.00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购建固定资产、无形资产和其他 长期资产支付的现金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7,935,861.12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41,809,374.93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取得子公司及其他营业单位支付 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161,600,000.00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1,186,000.00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206,935,861.12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45,995,374.93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-206,917,361.12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-45,769,924.93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70,954,048.74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179,954,048.74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分配股利、利润或偿付利息支付 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15,622,583.31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8,920,000.00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158,631.40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63,329.32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23,281,214.71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8,983,329.32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156,672,834.03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-8,983,329.32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-34,420,398.27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-52,244,602.51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168,683,711.58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220,928,314.09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134,263,313.31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168,683,711.58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7"/>
        <w:rPr>
          <w:rFonts w:ascii="Times New Roman" w:hAnsi="Times New Roman" w:cs="Times New Roman" w:eastAsia="Times New Roman" w:hint="default"/>
          <w:sz w:val="23"/>
          <w:szCs w:val="23"/>
        </w:rPr>
      </w:pPr>
    </w:p>
    <w:p>
      <w:pPr>
        <w:pStyle w:val="Heading4"/>
        <w:spacing w:line="240" w:lineRule="auto" w:before="35"/>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6809"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5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3D3D3"/>
          </w:tcPr>
          <w:p>
            <w:pPr/>
          </w:p>
        </w:tc>
        <w:tc>
          <w:tcPr>
            <w:tcW w:w="563"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4" w:type="dxa"/>
            <w:vMerge/>
            <w:tcBorders>
              <w:left w:val="single" w:sz="4" w:space="0" w:color="000000"/>
              <w:bottom w:val="single" w:sz="4" w:space="0" w:color="000000"/>
              <w:right w:val="single" w:sz="4" w:space="0" w:color="000000"/>
            </w:tcBorders>
            <w:shd w:val="clear" w:color="auto" w:fill="D3D3D3"/>
          </w:tcPr>
          <w:p>
            <w:pPr/>
          </w:p>
        </w:tc>
        <w:tc>
          <w:tcPr>
            <w:tcW w:w="666"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142,72</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206,469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,044.44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21,449,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656.21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165,432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,136.29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14,774,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089.39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550,844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,926.33</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        前期差 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        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142,72</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206,469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,044.44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21,449,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656.21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165,432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,136.29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14,774,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089.39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550,844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,926.33</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159,37</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4,901.</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67,579,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147.74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3,483,5</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35.28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42,646,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457.80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305,574</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.45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273,389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,616.27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60,401,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993.08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305,574</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.45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60,707,</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567.53</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16,654</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,901.0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210,299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,147.74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226,954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,048.74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16,654</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,901.0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210,299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,147.74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226,954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,048.74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3,483,5</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35.28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-17,755,</w:t>
            </w:r>
          </w:p>
          <w:p>
            <w:pPr>
              <w:pStyle w:val="TableParagraph"/>
              <w:spacing w:line="240" w:lineRule="auto" w:before="106"/>
              <w:ind w:left="114" w:right="0"/>
              <w:jc w:val="center"/>
              <w:rPr>
                <w:rFonts w:ascii="Times New Roman" w:hAnsi="Times New Roman" w:cs="Times New Roman" w:eastAsia="Times New Roman" w:hint="default"/>
                <w:sz w:val="18"/>
                <w:szCs w:val="18"/>
              </w:rPr>
            </w:pPr>
            <w:r>
              <w:rPr>
                <w:rFonts w:ascii="Times New Roman"/>
                <w:sz w:val="18"/>
              </w:rPr>
              <w:t>535.28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-14,272,</w:t>
            </w:r>
          </w:p>
          <w:p>
            <w:pPr>
              <w:pStyle w:val="TableParagraph"/>
              <w:spacing w:line="240" w:lineRule="auto" w:before="106"/>
              <w:ind w:left="108"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3,483,5</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35.28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-3,483,5</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35.28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-14,272,</w:t>
            </w:r>
          </w:p>
          <w:p>
            <w:pPr>
              <w:pStyle w:val="TableParagraph"/>
              <w:spacing w:line="240" w:lineRule="auto" w:before="106"/>
              <w:ind w:left="114"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-14,272,</w:t>
            </w:r>
          </w:p>
          <w:p>
            <w:pPr>
              <w:pStyle w:val="TableParagraph"/>
              <w:spacing w:line="240" w:lineRule="auto" w:before="106"/>
              <w:ind w:left="108"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142,72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-142,72</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142,72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-142,72</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302,09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4,901.</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274,048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,192.18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24,933,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191.49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208,078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,594.09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15,079,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663.84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824,234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,542.60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682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22"/>
                <w:szCs w:val="22"/>
              </w:rPr>
            </w:pPr>
          </w:p>
          <w:p>
            <w:pPr>
              <w:pStyle w:val="TableParagraph"/>
              <w:spacing w:line="316" w:lineRule="auto"/>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5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713" w:hRule="exact"/>
        </w:trPr>
        <w:tc>
          <w:tcPr>
            <w:tcW w:w="1438" w:type="dxa"/>
            <w:vMerge/>
            <w:tcBorders>
              <w:left w:val="single" w:sz="4" w:space="0" w:color="000000"/>
              <w:bottom w:val="single" w:sz="4" w:space="0" w:color="000000"/>
              <w:right w:val="single" w:sz="4" w:space="0" w:color="000000"/>
            </w:tcBorders>
            <w:shd w:val="clear" w:color="auto" w:fill="D3D3D3"/>
          </w:tcPr>
          <w:p>
            <w:pPr/>
          </w:p>
        </w:tc>
        <w:tc>
          <w:tcPr>
            <w:tcW w:w="562"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78" w:type="dxa"/>
            <w:vMerge/>
            <w:tcBorders>
              <w:left w:val="single" w:sz="4" w:space="0" w:color="000000"/>
              <w:bottom w:val="single" w:sz="4" w:space="0" w:color="000000"/>
              <w:right w:val="single" w:sz="4" w:space="0" w:color="000000"/>
            </w:tcBorders>
            <w:shd w:val="clear" w:color="auto" w:fill="D3D3D3"/>
          </w:tcPr>
          <w:p>
            <w:pPr/>
          </w:p>
        </w:tc>
        <w:tc>
          <w:tcPr>
            <w:tcW w:w="652" w:type="dxa"/>
            <w:vMerge/>
            <w:tcBorders>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89,200</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259,989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,044.44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17,208,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517.77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140,836</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,572.40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4,199,7</w:t>
            </w:r>
          </w:p>
          <w:p>
            <w:pPr>
              <w:pStyle w:val="TableParagraph"/>
              <w:spacing w:line="240" w:lineRule="auto" w:before="105"/>
              <w:ind w:left="193" w:right="0"/>
              <w:jc w:val="center"/>
              <w:rPr>
                <w:rFonts w:ascii="Times New Roman" w:hAnsi="Times New Roman" w:cs="Times New Roman" w:eastAsia="Times New Roman" w:hint="default"/>
                <w:sz w:val="18"/>
                <w:szCs w:val="18"/>
              </w:rPr>
            </w:pPr>
            <w:r>
              <w:rPr>
                <w:rFonts w:ascii="Times New Roman"/>
                <w:sz w:val="18"/>
              </w:rPr>
              <w:t>79.86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511,433</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,914.47</w:t>
            </w: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right="22"/>
              <w:jc w:val="righ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0"/>
                <w:sz w:val="18"/>
                <w:szCs w:val="18"/>
              </w:rPr>
              <w:t>加：会计政策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        前期差 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        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89,200</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259,989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,044.44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17,208,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517.77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140,836</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,572.40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4,199,7</w:t>
            </w:r>
          </w:p>
          <w:p>
            <w:pPr>
              <w:pStyle w:val="TableParagraph"/>
              <w:spacing w:line="240" w:lineRule="auto" w:before="105"/>
              <w:ind w:left="193" w:right="0"/>
              <w:jc w:val="center"/>
              <w:rPr>
                <w:rFonts w:ascii="Times New Roman" w:hAnsi="Times New Roman" w:cs="Times New Roman" w:eastAsia="Times New Roman" w:hint="default"/>
                <w:sz w:val="18"/>
                <w:szCs w:val="18"/>
              </w:rPr>
            </w:pPr>
            <w:r>
              <w:rPr>
                <w:rFonts w:ascii="Times New Roman"/>
                <w:sz w:val="18"/>
              </w:rPr>
              <w:t>79.86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511,433</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,914.47</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53,520</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-53,520,</w:t>
            </w:r>
          </w:p>
          <w:p>
            <w:pPr>
              <w:pStyle w:val="TableParagraph"/>
              <w:spacing w:line="240" w:lineRule="auto" w:before="105"/>
              <w:ind w:left="116"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4,241,1</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38.44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24,595,</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563.89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10,574,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309.53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39,411,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011.86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37,756,</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702.33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307,609</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.53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38,064,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311.86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10,266,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10,266,</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700.00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10,266,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10,266,</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700.00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4,241,1</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38.44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-13,161,</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138.44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-8,920,0</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4,241,1</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38.44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-4,241,1</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38.44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-8,920,0</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-8,920,0</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53,520</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-53,520,</w:t>
            </w:r>
          </w:p>
          <w:p>
            <w:pPr>
              <w:pStyle w:val="TableParagraph"/>
              <w:spacing w:line="240" w:lineRule="auto" w:before="105"/>
              <w:ind w:left="116"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53,520</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-53,520,</w:t>
            </w:r>
          </w:p>
          <w:p>
            <w:pPr>
              <w:pStyle w:val="TableParagraph"/>
              <w:spacing w:line="240" w:lineRule="auto" w:before="105"/>
              <w:ind w:left="116"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142,72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206,469</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,044.44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21,449,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656.21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165,432</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,136.29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14,774,</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089.39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550,844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,926.33</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1"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1"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142,720,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206,469,0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44.44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21,449,65</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6.21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166,286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,905.79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536,925,6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06.44</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        前期差 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142,720,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206,469,0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44.44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21,449,65</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6.21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166,286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,905.79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536,925,6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06.44</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159,374,</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901.00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67,579,14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7.74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3,483,535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17,079,</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817.51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247,517,4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01.53</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34,835,</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352.79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34,835,35</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2.79</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16,654,9</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210,299,1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47.74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226,954,0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48.74</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16,654,9</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210,299,1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47.74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226,954,0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48.74</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3,483,535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-17,755,</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535.28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-14,272,0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3,483,535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-3,483,5</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35.28</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-14,272,</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-14,272,0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142,720,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-142,720,</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142,720,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-142,720,</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302,094,</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901.00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274,048,1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92.18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24,933,19</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1.49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183,366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,723.30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784,443,0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07.97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1"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41"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89,200,0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259,989,0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44.44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17,208,51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7.77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137,036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,659.86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503,434,2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22.07</w:t>
            </w: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        前期差 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89,200,0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259,989,0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44.44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17,208,51</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7.77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137,036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,659.86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503,434,2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22.07</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53,520,0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-53,520,0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4,241,138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29,250,</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245.93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33,491,38</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4.37</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42,411,</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384.37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42,411,38</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4.37</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4,241,138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-13,161,</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138.44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-8,920,00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4,241,138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-4,241,1</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38.44</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-8,920,0</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-8,920,00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53,520,0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-53,520,0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53,520,0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-53,520,0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142,720,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206,469,0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44.44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21,449,65</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6.21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166,286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,905.79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536,925,6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06.44</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both"/>
        <w:rPr>
          <w:b w:val="0"/>
          <w:bCs w:val="0"/>
        </w:rPr>
      </w:pPr>
      <w:r>
        <w:rPr/>
        <w:t>三、公司基本情况</w:t>
      </w:r>
      <w:r>
        <w:rPr>
          <w:b w:val="0"/>
          <w:bCs w:val="0"/>
        </w:rPr>
      </w:r>
    </w:p>
    <w:p>
      <w:pPr>
        <w:spacing w:line="240" w:lineRule="auto" w:before="5"/>
        <w:rPr>
          <w:rFonts w:ascii="宋体" w:hAnsi="宋体" w:cs="宋体" w:eastAsia="宋体" w:hint="default"/>
          <w:b/>
          <w:bCs/>
          <w:sz w:val="31"/>
          <w:szCs w:val="31"/>
        </w:rPr>
      </w:pPr>
    </w:p>
    <w:p>
      <w:pPr>
        <w:pStyle w:val="BodyText"/>
        <w:spacing w:line="350" w:lineRule="auto" w:before="0"/>
        <w:ind w:left="679" w:right="206" w:firstLine="1"/>
        <w:jc w:val="left"/>
      </w:pPr>
      <w:r>
        <w:rPr>
          <w:rFonts w:ascii="宋体" w:hAnsi="宋体" w:cs="宋体" w:eastAsia="宋体" w:hint="default"/>
          <w:b/>
          <w:bCs/>
        </w:rPr>
        <w:t>（一）公司概况</w:t>
      </w:r>
      <w:r>
        <w:rPr>
          <w:rFonts w:ascii="宋体" w:hAnsi="宋体" w:cs="宋体" w:eastAsia="宋体" w:hint="default"/>
          <w:b/>
          <w:bCs/>
          <w:w w:val="99"/>
        </w:rPr>
        <w:t> </w:t>
      </w:r>
      <w:r>
        <w:rPr/>
        <w:t>新开普电子股份有限公司</w:t>
      </w:r>
      <w:r>
        <w:rPr>
          <w:rFonts w:ascii="Times New Roman" w:hAnsi="Times New Roman" w:cs="Times New Roman" w:eastAsia="Times New Roman" w:hint="default"/>
        </w:rPr>
        <w:t>(</w:t>
      </w:r>
      <w:r>
        <w:rPr/>
        <w:t>原名</w:t>
      </w:r>
      <w:r>
        <w:rPr>
          <w:rFonts w:ascii="Times New Roman" w:hAnsi="Times New Roman" w:cs="Times New Roman" w:eastAsia="Times New Roman" w:hint="default"/>
        </w:rPr>
        <w:t>“</w:t>
      </w:r>
      <w:r>
        <w:rPr/>
        <w:t>郑州新开普电子股份有限公司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），系</w:t>
      </w:r>
    </w:p>
    <w:p>
      <w:pPr>
        <w:pStyle w:val="BodyText"/>
        <w:spacing w:line="331" w:lineRule="auto" w:before="2"/>
        <w:ind w:left="153" w:right="208"/>
        <w:jc w:val="both"/>
      </w:pPr>
      <w:r>
        <w:rPr/>
        <w:t>由郑州新开普电子技术有限公司（以下简称</w:t>
      </w:r>
      <w:r>
        <w:rPr>
          <w:rFonts w:ascii="Times New Roman" w:hAnsi="Times New Roman" w:cs="Times New Roman" w:eastAsia="Times New Roman" w:hint="default"/>
        </w:rPr>
        <w:t>“</w:t>
      </w:r>
      <w:r>
        <w:rPr/>
        <w:t>有限公司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18"/>
        </w:rPr>
        <w:t> </w:t>
      </w:r>
      <w:r>
        <w:rPr/>
        <w:t>年</w:t>
      </w:r>
      <w:r>
        <w:rPr>
          <w:spacing w:val="-70"/>
        </w:rPr>
        <w:t> </w:t>
      </w:r>
      <w:r>
        <w:rPr>
          <w:rFonts w:ascii="Times New Roman" w:hAnsi="Times New Roman" w:cs="Times New Roman" w:eastAsia="Times New Roman" w:hint="default"/>
        </w:rPr>
        <w:t>5</w:t>
      </w:r>
      <w:r>
        <w:rPr>
          <w:rFonts w:ascii="Times New Roman" w:hAnsi="Times New Roman" w:cs="Times New Roman" w:eastAsia="Times New Roman" w:hint="default"/>
          <w:spacing w:val="-17"/>
        </w:rPr>
        <w:t> </w:t>
      </w:r>
      <w:r>
        <w:rPr/>
        <w:t>月整体变更设立的股份有限公司。</w:t>
      </w:r>
      <w:r>
        <w:rPr>
          <w:rFonts w:ascii="Times New Roman" w:hAnsi="Times New Roman" w:cs="Times New Roman" w:eastAsia="Times New Roman" w:hint="default"/>
        </w:rPr>
        <w:t>2014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日更名为新开普电子股份有限公司。公司于</w:t>
      </w:r>
      <w:r>
        <w:rPr>
          <w:spacing w:val="-5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11</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t>日在郑州市工商行政管理局换发统 一社会信用代码为</w:t>
      </w:r>
      <w:r>
        <w:rPr>
          <w:spacing w:val="-58"/>
        </w:rPr>
        <w:t> </w:t>
      </w:r>
      <w:r>
        <w:rPr>
          <w:rFonts w:ascii="Times New Roman" w:hAnsi="Times New Roman" w:cs="Times New Roman" w:eastAsia="Times New Roman" w:hint="default"/>
        </w:rPr>
        <w:t>91410100721832659Y</w:t>
      </w:r>
      <w:r>
        <w:rPr>
          <w:rFonts w:ascii="Times New Roman" w:hAnsi="Times New Roman" w:cs="Times New Roman" w:eastAsia="Times New Roman" w:hint="default"/>
          <w:spacing w:val="-6"/>
        </w:rPr>
        <w:t> </w:t>
      </w:r>
      <w:r>
        <w:rPr/>
        <w:t>号的企业法人营业执照。</w:t>
      </w:r>
    </w:p>
    <w:p>
      <w:pPr>
        <w:pStyle w:val="BodyText"/>
        <w:spacing w:line="348" w:lineRule="auto" w:before="20"/>
        <w:ind w:left="573" w:right="6739"/>
        <w:jc w:val="left"/>
      </w:pPr>
      <w:r>
        <w:rPr/>
        <w:t>法定代表人：杨维国 注册资本： </w:t>
      </w:r>
      <w:r>
        <w:rPr>
          <w:rFonts w:ascii="Times New Roman" w:hAnsi="Times New Roman" w:cs="Times New Roman" w:eastAsia="Times New Roman" w:hint="default"/>
        </w:rPr>
        <w:t>30,209.4901</w:t>
      </w:r>
      <w:r>
        <w:rPr>
          <w:rFonts w:ascii="Times New Roman" w:hAnsi="Times New Roman" w:cs="Times New Roman" w:eastAsia="Times New Roman" w:hint="default"/>
          <w:spacing w:val="-6"/>
        </w:rPr>
        <w:t> </w:t>
      </w:r>
      <w:r>
        <w:rPr/>
        <w:t>万元</w:t>
      </w:r>
    </w:p>
    <w:p>
      <w:pPr>
        <w:pStyle w:val="BodyText"/>
        <w:spacing w:line="328" w:lineRule="auto" w:before="5"/>
        <w:ind w:left="573" w:right="95"/>
        <w:jc w:val="left"/>
      </w:pPr>
      <w:r>
        <w:rPr/>
        <w:t>注册地：郑州高新技术产业开发区迎春街</w:t>
      </w:r>
      <w:r>
        <w:rPr>
          <w:spacing w:val="-53"/>
        </w:rPr>
        <w:t> </w:t>
      </w:r>
      <w:r>
        <w:rPr>
          <w:rFonts w:ascii="Times New Roman" w:hAnsi="Times New Roman" w:cs="Times New Roman" w:eastAsia="Times New Roman" w:hint="default"/>
        </w:rPr>
        <w:t>18 </w:t>
      </w:r>
      <w:r>
        <w:rPr/>
        <w:t>号 </w:t>
      </w:r>
      <w:r>
        <w:rPr>
          <w:spacing w:val="-1"/>
        </w:rPr>
        <w:t>经营范围：计算机系统集成，计算机及相关产品、仪器仪表、各类智能卡应用产品、智能卡机具、智</w:t>
      </w:r>
    </w:p>
    <w:p>
      <w:pPr>
        <w:pStyle w:val="BodyText"/>
        <w:spacing w:line="345" w:lineRule="auto" w:before="47"/>
        <w:ind w:left="153" w:right="211"/>
        <w:jc w:val="both"/>
      </w:pPr>
      <w:r>
        <w:rPr>
          <w:spacing w:val="-1"/>
        </w:rPr>
        <w:t>能卡终端、智能卡节能产品、智能卡家电及软件的设计、开发、生产、销售、维护；第二类增值电信业务</w:t>
      </w:r>
      <w:r>
        <w:rPr>
          <w:spacing w:val="-85"/>
        </w:rPr>
        <w:t> </w:t>
      </w:r>
      <w:r>
        <w:rPr>
          <w:spacing w:val="-85"/>
        </w:rPr>
      </w:r>
      <w:r>
        <w:rPr>
          <w:spacing w:val="-2"/>
        </w:rPr>
        <w:t>中的信息服务业务</w:t>
      </w:r>
      <w:r>
        <w:rPr>
          <w:rFonts w:ascii="Times New Roman" w:hAnsi="Times New Roman" w:cs="Times New Roman" w:eastAsia="Times New Roman" w:hint="default"/>
          <w:spacing w:val="-2"/>
        </w:rPr>
        <w:t>(</w:t>
      </w:r>
      <w:r>
        <w:rPr>
          <w:spacing w:val="-2"/>
        </w:rPr>
        <w:t>不含固定网电话信息服务和互联网信息服务）；互联网信息技术、计算机技术咨询、服</w:t>
      </w:r>
      <w:r>
        <w:rPr/>
        <w:t> </w:t>
      </w:r>
      <w:r>
        <w:rPr>
          <w:spacing w:val="-1"/>
        </w:rPr>
        <w:t>务、培训（非学历培训；国家法律法规禁止的不得经营；应经审批的未获批准前不得经营），从事货物和</w:t>
      </w:r>
      <w:r>
        <w:rPr>
          <w:spacing w:val="-83"/>
        </w:rPr>
        <w:t> </w:t>
      </w:r>
      <w:r>
        <w:rPr>
          <w:spacing w:val="-83"/>
        </w:rPr>
      </w:r>
      <w:r>
        <w:rPr>
          <w:spacing w:val="-1"/>
        </w:rPr>
        <w:t>技术的进出口业务（国家法律、法规规定应经审批方可经营或禁止进出口的货物和技术除外）；电力智能</w:t>
      </w:r>
      <w:r>
        <w:rPr>
          <w:spacing w:val="-82"/>
        </w:rPr>
        <w:t> </w:t>
      </w:r>
      <w:r>
        <w:rPr>
          <w:spacing w:val="-82"/>
        </w:rPr>
      </w:r>
      <w:r>
        <w:rPr/>
        <w:t>抄表系统、金融支付系统及终端的生产与销售；建筑智能化工程设计与施工（凭资质证经营）。</w:t>
      </w:r>
    </w:p>
    <w:p>
      <w:pPr>
        <w:pStyle w:val="BodyText"/>
        <w:spacing w:line="348" w:lineRule="auto" w:before="32"/>
        <w:ind w:left="573" w:right="3960"/>
        <w:jc w:val="left"/>
      </w:pPr>
      <w:r>
        <w:rPr/>
        <w:t>本公司的实际控制人为杨维国。 本财务报表业经公司董事会于</w:t>
      </w:r>
      <w:r>
        <w:rPr>
          <w:spacing w:val="-5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日批准报出。</w:t>
      </w:r>
    </w:p>
    <w:p>
      <w:pPr>
        <w:pStyle w:val="Heading4"/>
        <w:spacing w:line="240" w:lineRule="auto" w:before="5"/>
        <w:ind w:left="576" w:right="95"/>
        <w:jc w:val="left"/>
        <w:rPr>
          <w:b w:val="0"/>
          <w:bCs w:val="0"/>
        </w:rPr>
      </w:pPr>
      <w:r>
        <w:rPr/>
        <w:t>（二）历史沿革</w:t>
      </w:r>
      <w:r>
        <w:rPr>
          <w:b w:val="0"/>
          <w:bCs w:val="0"/>
        </w:rPr>
      </w:r>
    </w:p>
    <w:p>
      <w:pPr>
        <w:pStyle w:val="BodyText"/>
        <w:spacing w:line="328" w:lineRule="auto" w:before="125"/>
        <w:ind w:left="573" w:right="96" w:hanging="1"/>
        <w:jc w:val="left"/>
      </w:pPr>
      <w:r>
        <w:rPr>
          <w:rFonts w:ascii="Times New Roman" w:hAnsi="Times New Roman" w:cs="Times New Roman" w:eastAsia="Times New Roman" w:hint="default"/>
        </w:rPr>
        <w:t>1</w:t>
      </w:r>
      <w:r>
        <w:rPr/>
        <w:t>、公司设立 </w:t>
      </w:r>
      <w:r>
        <w:rPr>
          <w:spacing w:val="-3"/>
        </w:rPr>
        <w:t>公司前身系由杨维国、尚卫国、赵利宾、杜建平、傅常顺、刘桂林、郎金文、尹涛、王为真、葛晓阁、</w:t>
      </w:r>
    </w:p>
    <w:p>
      <w:pPr>
        <w:pStyle w:val="BodyText"/>
        <w:spacing w:line="240" w:lineRule="auto" w:before="48"/>
        <w:ind w:left="153" w:right="0"/>
        <w:jc w:val="both"/>
        <w:rPr>
          <w:rFonts w:ascii="Times New Roman" w:hAnsi="Times New Roman" w:cs="Times New Roman" w:eastAsia="Times New Roman" w:hint="default"/>
        </w:rPr>
      </w:pPr>
      <w:r>
        <w:rPr>
          <w:spacing w:val="-10"/>
        </w:rPr>
        <w:t>华梦阳、刘恩臣等</w:t>
      </w:r>
      <w:r>
        <w:rPr>
          <w:spacing w:val="-53"/>
        </w:rPr>
        <w:t> </w:t>
      </w:r>
      <w:r>
        <w:rPr>
          <w:rFonts w:ascii="Times New Roman" w:hAnsi="Times New Roman" w:cs="Times New Roman" w:eastAsia="Times New Roman" w:hint="default"/>
        </w:rPr>
        <w:t>12 </w:t>
      </w:r>
      <w:r>
        <w:rPr>
          <w:spacing w:val="-7"/>
        </w:rPr>
        <w:t>个自然人共同出资组建，于</w:t>
      </w:r>
      <w:r>
        <w:rPr>
          <w:spacing w:val="-53"/>
        </w:rPr>
        <w:t> </w:t>
      </w:r>
      <w:r>
        <w:rPr>
          <w:rFonts w:ascii="Times New Roman" w:hAnsi="Times New Roman" w:cs="Times New Roman" w:eastAsia="Times New Roman" w:hint="default"/>
        </w:rPr>
        <w:t>2000 </w:t>
      </w:r>
      <w:r>
        <w:rPr/>
        <w:t>年</w:t>
      </w:r>
      <w:r>
        <w:rPr>
          <w:spacing w:val="-54"/>
        </w:rPr>
        <w:t> </w:t>
      </w:r>
      <w:r>
        <w:rPr>
          <w:rFonts w:ascii="Times New Roman" w:hAnsi="Times New Roman" w:cs="Times New Roman" w:eastAsia="Times New Roman" w:hint="default"/>
        </w:rPr>
        <w:t>4 </w:t>
      </w:r>
      <w:r>
        <w:rPr/>
        <w:t>月</w:t>
      </w:r>
      <w:r>
        <w:rPr>
          <w:spacing w:val="-54"/>
        </w:rPr>
        <w:t> </w:t>
      </w:r>
      <w:r>
        <w:rPr>
          <w:rFonts w:ascii="Times New Roman" w:hAnsi="Times New Roman" w:cs="Times New Roman" w:eastAsia="Times New Roman" w:hint="default"/>
        </w:rPr>
        <w:t>25 </w:t>
      </w:r>
      <w:r>
        <w:rPr>
          <w:spacing w:val="-5"/>
        </w:rPr>
        <w:t>日在郑州市设立，注册资本为人民币</w:t>
      </w:r>
      <w:r>
        <w:rPr>
          <w:spacing w:val="-53"/>
        </w:rPr>
        <w:t> </w:t>
      </w:r>
      <w:r>
        <w:rPr>
          <w:rFonts w:ascii="Times New Roman" w:hAnsi="Times New Roman" w:cs="Times New Roman" w:eastAsia="Times New Roman" w:hint="default"/>
        </w:rPr>
        <w:t>51.00</w:t>
      </w:r>
    </w:p>
    <w:p>
      <w:pPr>
        <w:pStyle w:val="BodyText"/>
        <w:spacing w:line="328" w:lineRule="auto" w:before="109"/>
        <w:ind w:left="153" w:right="208"/>
        <w:jc w:val="both"/>
      </w:pPr>
      <w:r>
        <w:rPr/>
        <w:t>万元，实收资本为</w:t>
      </w:r>
      <w:r>
        <w:rPr>
          <w:spacing w:val="-46"/>
        </w:rPr>
        <w:t> </w:t>
      </w:r>
      <w:r>
        <w:rPr>
          <w:rFonts w:ascii="Times New Roman" w:hAnsi="Times New Roman" w:cs="Times New Roman" w:eastAsia="Times New Roman" w:hint="default"/>
        </w:rPr>
        <w:t>51.00</w:t>
      </w:r>
      <w:r>
        <w:rPr>
          <w:rFonts w:ascii="Times New Roman" w:hAnsi="Times New Roman" w:cs="Times New Roman" w:eastAsia="Times New Roman" w:hint="default"/>
          <w:spacing w:val="5"/>
        </w:rPr>
        <w:t> </w:t>
      </w:r>
      <w:r>
        <w:rPr/>
        <w:t>万元，已经郑州高新会计师事务所审验，并出具高新内验字［</w:t>
      </w:r>
      <w:r>
        <w:rPr>
          <w:rFonts w:ascii="Times New Roman" w:hAnsi="Times New Roman" w:cs="Times New Roman" w:eastAsia="Times New Roman" w:hint="default"/>
        </w:rPr>
        <w:t>2000</w:t>
      </w:r>
      <w:r>
        <w:rPr/>
        <w:t>］第</w:t>
      </w:r>
      <w:r>
        <w:rPr>
          <w:spacing w:val="-46"/>
        </w:rPr>
        <w:t> </w:t>
      </w:r>
      <w:r>
        <w:rPr>
          <w:rFonts w:ascii="Times New Roman" w:hAnsi="Times New Roman" w:cs="Times New Roman" w:eastAsia="Times New Roman" w:hint="default"/>
        </w:rPr>
        <w:t>033</w:t>
      </w:r>
      <w:r>
        <w:rPr>
          <w:rFonts w:ascii="Times New Roman" w:hAnsi="Times New Roman" w:cs="Times New Roman" w:eastAsia="Times New Roman" w:hint="default"/>
          <w:spacing w:val="7"/>
        </w:rPr>
        <w:t> </w:t>
      </w:r>
      <w:r>
        <w:rPr/>
        <w:t>号验 资报告。</w:t>
      </w:r>
    </w:p>
    <w:p>
      <w:pPr>
        <w:pStyle w:val="BodyText"/>
        <w:spacing w:line="240" w:lineRule="auto" w:before="48"/>
        <w:ind w:left="573" w:right="95"/>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2002</w:t>
      </w:r>
      <w:r>
        <w:rPr>
          <w:rFonts w:ascii="Times New Roman" w:hAnsi="Times New Roman" w:cs="Times New Roman" w:eastAsia="Times New Roman" w:hint="default"/>
          <w:spacing w:val="-3"/>
        </w:rPr>
        <w:t> </w:t>
      </w:r>
      <w:r>
        <w:rPr/>
        <w:t>年股权转让及增资</w:t>
      </w:r>
    </w:p>
    <w:p>
      <w:pPr>
        <w:pStyle w:val="BodyText"/>
        <w:spacing w:line="328" w:lineRule="auto" w:before="108"/>
        <w:ind w:left="153" w:right="206" w:firstLine="420"/>
        <w:jc w:val="left"/>
      </w:pPr>
      <w:r>
        <w:rPr>
          <w:rFonts w:ascii="Times New Roman" w:hAnsi="Times New Roman" w:cs="Times New Roman" w:eastAsia="Times New Roman" w:hint="default"/>
        </w:rPr>
        <w:t>2002</w:t>
      </w:r>
      <w:r>
        <w:rPr>
          <w:rFonts w:ascii="Times New Roman" w:hAnsi="Times New Roman" w:cs="Times New Roman" w:eastAsia="Times New Roman" w:hint="default"/>
          <w:spacing w:val="5"/>
        </w:rPr>
        <w:t> </w:t>
      </w:r>
      <w:r>
        <w:rPr/>
        <w:t>年</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3"/>
        </w:rPr>
        <w:t>日根据公司股东会第七次决议，原股东刘桂林、尹涛、王为真分别将其持有的股份全部</w:t>
      </w:r>
      <w:r>
        <w:rPr/>
        <w:t> 转让给股东杨维国。</w:t>
      </w:r>
    </w:p>
    <w:p>
      <w:pPr>
        <w:pStyle w:val="BodyText"/>
        <w:spacing w:line="240" w:lineRule="auto" w:before="48"/>
        <w:ind w:left="573" w:right="95"/>
        <w:jc w:val="left"/>
      </w:pPr>
      <w:r>
        <w:rPr/>
        <w:t>根据</w:t>
      </w:r>
      <w:r>
        <w:rPr>
          <w:spacing w:val="-59"/>
        </w:rPr>
        <w:t> </w:t>
      </w:r>
      <w:r>
        <w:rPr>
          <w:rFonts w:ascii="Times New Roman" w:hAnsi="Times New Roman" w:cs="Times New Roman" w:eastAsia="Times New Roman" w:hint="default"/>
        </w:rPr>
        <w:t>2002</w:t>
      </w:r>
      <w:r>
        <w:rPr>
          <w:rFonts w:ascii="Times New Roman" w:hAnsi="Times New Roman" w:cs="Times New Roman" w:eastAsia="Times New Roman" w:hint="default"/>
          <w:spacing w:val="-6"/>
        </w:rPr>
        <w:t> </w:t>
      </w:r>
      <w:r>
        <w:rPr/>
        <w:t>年</w:t>
      </w:r>
      <w:r>
        <w:rPr>
          <w:spacing w:val="-60"/>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60"/>
        </w:rPr>
        <w:t> </w:t>
      </w:r>
      <w:r>
        <w:rPr>
          <w:rFonts w:ascii="Times New Roman" w:hAnsi="Times New Roman" w:cs="Times New Roman" w:eastAsia="Times New Roman" w:hint="default"/>
        </w:rPr>
        <w:t>15</w:t>
      </w:r>
      <w:r>
        <w:rPr>
          <w:rFonts w:ascii="Times New Roman" w:hAnsi="Times New Roman" w:cs="Times New Roman" w:eastAsia="Times New Roman" w:hint="default"/>
          <w:spacing w:val="-6"/>
        </w:rPr>
        <w:t> </w:t>
      </w:r>
      <w:r>
        <w:rPr/>
        <w:t>日有限公司股东会第十次决议，有限公司决定新增注册资本</w:t>
      </w:r>
      <w:r>
        <w:rPr>
          <w:spacing w:val="-59"/>
        </w:rPr>
        <w:t> </w:t>
      </w:r>
      <w:r>
        <w:rPr>
          <w:rFonts w:ascii="Times New Roman" w:hAnsi="Times New Roman" w:cs="Times New Roman" w:eastAsia="Times New Roman" w:hint="default"/>
        </w:rPr>
        <w:t>449.00</w:t>
      </w:r>
      <w:r>
        <w:rPr>
          <w:rFonts w:ascii="Times New Roman" w:hAnsi="Times New Roman" w:cs="Times New Roman" w:eastAsia="Times New Roman" w:hint="default"/>
          <w:spacing w:val="-6"/>
        </w:rPr>
        <w:t> </w:t>
      </w:r>
      <w:r>
        <w:rPr>
          <w:spacing w:val="-7"/>
        </w:rPr>
        <w:t>万元，变更后</w:t>
      </w:r>
    </w:p>
    <w:p>
      <w:pPr>
        <w:pStyle w:val="BodyText"/>
        <w:spacing w:line="240" w:lineRule="auto" w:before="109"/>
        <w:ind w:left="153" w:right="0"/>
        <w:jc w:val="both"/>
      </w:pPr>
      <w:r>
        <w:rPr/>
        <w:t>注册资本为</w:t>
      </w:r>
      <w:r>
        <w:rPr>
          <w:spacing w:val="-46"/>
        </w:rPr>
        <w:t> </w:t>
      </w:r>
      <w:r>
        <w:rPr>
          <w:rFonts w:ascii="Times New Roman" w:hAnsi="Times New Roman" w:cs="Times New Roman" w:eastAsia="Times New Roman" w:hint="default"/>
        </w:rPr>
        <w:t>500.00</w:t>
      </w:r>
      <w:r>
        <w:rPr>
          <w:rFonts w:ascii="Times New Roman" w:hAnsi="Times New Roman" w:cs="Times New Roman" w:eastAsia="Times New Roman" w:hint="default"/>
          <w:spacing w:val="7"/>
        </w:rPr>
        <w:t> </w:t>
      </w:r>
      <w:r>
        <w:rPr>
          <w:spacing w:val="-3"/>
        </w:rPr>
        <w:t>万元，已经郑州科信会计师事务所有限责任公司审验，并出具郑科会变验字［</w:t>
      </w:r>
      <w:r>
        <w:rPr>
          <w:rFonts w:ascii="Times New Roman" w:hAnsi="Times New Roman" w:cs="Times New Roman" w:eastAsia="Times New Roman" w:hint="default"/>
          <w:spacing w:val="-3"/>
        </w:rPr>
        <w:t>2002</w:t>
      </w:r>
      <w:r>
        <w:rPr>
          <w:spacing w:val="-3"/>
        </w:rPr>
        <w:t>］第</w:t>
      </w:r>
      <w:r>
        <w:rPr/>
      </w:r>
    </w:p>
    <w:p>
      <w:pPr>
        <w:pStyle w:val="BodyText"/>
        <w:spacing w:line="240" w:lineRule="auto" w:before="109"/>
        <w:ind w:left="153" w:right="0"/>
        <w:jc w:val="both"/>
      </w:pP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号验资报告。</w:t>
      </w:r>
    </w:p>
    <w:p>
      <w:pPr>
        <w:spacing w:after="0" w:line="240" w:lineRule="auto"/>
        <w:jc w:val="both"/>
        <w:sectPr>
          <w:pgSz w:w="11910" w:h="16840"/>
          <w:pgMar w:header="877" w:footer="982" w:top="1100" w:bottom="1180" w:left="980" w:right="920"/>
        </w:sectPr>
      </w:pPr>
    </w:p>
    <w:p>
      <w:pPr>
        <w:spacing w:line="240" w:lineRule="auto" w:before="7"/>
        <w:rPr>
          <w:rFonts w:ascii="宋体" w:hAnsi="宋体" w:cs="宋体" w:eastAsia="宋体" w:hint="default"/>
          <w:sz w:val="27"/>
          <w:szCs w:val="27"/>
        </w:rPr>
      </w:pPr>
    </w:p>
    <w:p>
      <w:pPr>
        <w:pStyle w:val="BodyText"/>
        <w:spacing w:line="331" w:lineRule="auto" w:before="35"/>
        <w:ind w:left="153" w:right="176" w:firstLine="420"/>
        <w:jc w:val="both"/>
      </w:pPr>
      <w:r>
        <w:rPr/>
        <w:t>根据</w:t>
      </w:r>
      <w:r>
        <w:rPr>
          <w:spacing w:val="-55"/>
        </w:rPr>
        <w:t> </w:t>
      </w:r>
      <w:r>
        <w:rPr>
          <w:rFonts w:ascii="Times New Roman" w:hAnsi="Times New Roman" w:cs="Times New Roman" w:eastAsia="Times New Roman" w:hint="default"/>
        </w:rPr>
        <w:t>2002</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日有限公司第十二次股东会决议通过，有限公司决定新增注册资本</w:t>
      </w:r>
      <w:r>
        <w:rPr>
          <w:spacing w:val="-55"/>
        </w:rPr>
        <w:t> </w:t>
      </w:r>
      <w:r>
        <w:rPr>
          <w:rFonts w:ascii="Times New Roman" w:hAnsi="Times New Roman" w:cs="Times New Roman" w:eastAsia="Times New Roman" w:hint="default"/>
        </w:rPr>
        <w:t>50.00</w:t>
      </w:r>
      <w:r>
        <w:rPr>
          <w:rFonts w:ascii="Times New Roman" w:hAnsi="Times New Roman" w:cs="Times New Roman" w:eastAsia="Times New Roman" w:hint="default"/>
          <w:spacing w:val="-2"/>
        </w:rPr>
        <w:t> </w:t>
      </w:r>
      <w:r>
        <w:rPr/>
        <w:t>万元， 变更后注册资本为</w:t>
      </w:r>
      <w:r>
        <w:rPr>
          <w:spacing w:val="-50"/>
        </w:rPr>
        <w:t> </w:t>
      </w:r>
      <w:r>
        <w:rPr>
          <w:rFonts w:ascii="Times New Roman" w:hAnsi="Times New Roman" w:cs="Times New Roman" w:eastAsia="Times New Roman" w:hint="default"/>
          <w:spacing w:val="-1"/>
        </w:rPr>
        <w:t>550.00</w:t>
      </w:r>
      <w:r>
        <w:rPr>
          <w:rFonts w:ascii="Times New Roman" w:hAnsi="Times New Roman" w:cs="Times New Roman" w:eastAsia="Times New Roman" w:hint="default"/>
          <w:spacing w:val="3"/>
        </w:rPr>
        <w:t> </w:t>
      </w:r>
      <w:r>
        <w:rPr>
          <w:spacing w:val="-10"/>
        </w:rPr>
        <w:t>万元，已经河南大平会计师事务所有限公司审验，并出具审验字（</w:t>
      </w:r>
      <w:r>
        <w:rPr>
          <w:rFonts w:ascii="Times New Roman" w:hAnsi="Times New Roman" w:cs="Times New Roman" w:eastAsia="Times New Roman" w:hint="default"/>
          <w:spacing w:val="-10"/>
        </w:rPr>
        <w:t>2002</w:t>
      </w:r>
      <w:r>
        <w:rPr>
          <w:spacing w:val="-10"/>
        </w:rPr>
        <w:t>）第</w:t>
      </w:r>
      <w:r>
        <w:rPr>
          <w:spacing w:val="-50"/>
        </w:rPr>
        <w:t> </w:t>
      </w:r>
      <w:r>
        <w:rPr>
          <w:rFonts w:ascii="Times New Roman" w:hAnsi="Times New Roman" w:cs="Times New Roman" w:eastAsia="Times New Roman" w:hint="default"/>
          <w:spacing w:val="-1"/>
        </w:rPr>
        <w:t>B10-09</w:t>
      </w:r>
      <w:r>
        <w:rPr>
          <w:rFonts w:ascii="Times New Roman" w:hAnsi="Times New Roman" w:cs="Times New Roman" w:eastAsia="Times New Roman" w:hint="default"/>
          <w:spacing w:val="-47"/>
        </w:rPr>
        <w:t> </w:t>
      </w:r>
      <w:r>
        <w:rPr>
          <w:rFonts w:ascii="Times New Roman" w:hAnsi="Times New Roman" w:cs="Times New Roman" w:eastAsia="Times New Roman" w:hint="default"/>
          <w:spacing w:val="-47"/>
        </w:rPr>
      </w:r>
      <w:r>
        <w:rPr/>
        <w:t>号验资报告。</w:t>
      </w:r>
    </w:p>
    <w:p>
      <w:pPr>
        <w:pStyle w:val="BodyText"/>
        <w:spacing w:line="240" w:lineRule="auto" w:before="45"/>
        <w:ind w:left="573"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2004</w:t>
      </w:r>
      <w:r>
        <w:rPr>
          <w:rFonts w:ascii="Times New Roman" w:hAnsi="Times New Roman" w:cs="Times New Roman" w:eastAsia="Times New Roman" w:hint="default"/>
          <w:spacing w:val="-4"/>
        </w:rPr>
        <w:t> </w:t>
      </w:r>
      <w:r>
        <w:rPr/>
        <w:t>年增资</w:t>
      </w:r>
    </w:p>
    <w:p>
      <w:pPr>
        <w:pStyle w:val="BodyText"/>
        <w:spacing w:line="240" w:lineRule="auto" w:before="109"/>
        <w:ind w:left="573" w:right="0"/>
        <w:jc w:val="left"/>
      </w:pPr>
      <w:r>
        <w:rPr/>
        <w:t>根据</w:t>
      </w:r>
      <w:r>
        <w:rPr>
          <w:spacing w:val="-59"/>
        </w:rPr>
        <w:t> </w:t>
      </w:r>
      <w:r>
        <w:rPr>
          <w:rFonts w:ascii="Times New Roman" w:hAnsi="Times New Roman" w:cs="Times New Roman" w:eastAsia="Times New Roman" w:hint="default"/>
        </w:rPr>
        <w:t>2004</w:t>
      </w:r>
      <w:r>
        <w:rPr>
          <w:rFonts w:ascii="Times New Roman" w:hAnsi="Times New Roman" w:cs="Times New Roman" w:eastAsia="Times New Roman" w:hint="default"/>
          <w:spacing w:val="-6"/>
        </w:rPr>
        <w:t> </w:t>
      </w:r>
      <w:r>
        <w:rPr/>
        <w:t>年</w:t>
      </w:r>
      <w:r>
        <w:rPr>
          <w:spacing w:val="-60"/>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60"/>
        </w:rPr>
        <w:t> </w:t>
      </w:r>
      <w:r>
        <w:rPr>
          <w:rFonts w:ascii="Times New Roman" w:hAnsi="Times New Roman" w:cs="Times New Roman" w:eastAsia="Times New Roman" w:hint="default"/>
        </w:rPr>
        <w:t>18</w:t>
      </w:r>
      <w:r>
        <w:rPr>
          <w:rFonts w:ascii="Times New Roman" w:hAnsi="Times New Roman" w:cs="Times New Roman" w:eastAsia="Times New Roman" w:hint="default"/>
          <w:spacing w:val="-6"/>
        </w:rPr>
        <w:t> </w:t>
      </w:r>
      <w:r>
        <w:rPr/>
        <w:t>日有限公司股东会第十五次决议，有限公司决定新增注册资本</w:t>
      </w:r>
      <w:r>
        <w:rPr>
          <w:spacing w:val="-59"/>
        </w:rPr>
        <w:t> </w:t>
      </w:r>
      <w:r>
        <w:rPr>
          <w:rFonts w:ascii="Times New Roman" w:hAnsi="Times New Roman" w:cs="Times New Roman" w:eastAsia="Times New Roman" w:hint="default"/>
        </w:rPr>
        <w:t>458.00</w:t>
      </w:r>
      <w:r>
        <w:rPr>
          <w:rFonts w:ascii="Times New Roman" w:hAnsi="Times New Roman" w:cs="Times New Roman" w:eastAsia="Times New Roman" w:hint="default"/>
          <w:spacing w:val="-5"/>
        </w:rPr>
        <w:t> </w:t>
      </w:r>
      <w:r>
        <w:rPr>
          <w:spacing w:val="-8"/>
        </w:rPr>
        <w:t>万元，变更</w:t>
      </w:r>
    </w:p>
    <w:p>
      <w:pPr>
        <w:pStyle w:val="BodyText"/>
        <w:spacing w:line="240" w:lineRule="auto" w:before="110"/>
        <w:ind w:left="153" w:right="0"/>
        <w:jc w:val="both"/>
      </w:pPr>
      <w:r>
        <w:rPr/>
        <w:t>后注册资本为人民币</w:t>
      </w:r>
      <w:r>
        <w:rPr>
          <w:spacing w:val="-71"/>
        </w:rPr>
        <w:t> </w:t>
      </w:r>
      <w:r>
        <w:rPr>
          <w:rFonts w:ascii="Times New Roman" w:hAnsi="Times New Roman" w:cs="Times New Roman" w:eastAsia="Times New Roman" w:hint="default"/>
        </w:rPr>
        <w:t>1,008.00</w:t>
      </w:r>
      <w:r>
        <w:rPr>
          <w:rFonts w:ascii="Times New Roman" w:hAnsi="Times New Roman" w:cs="Times New Roman" w:eastAsia="Times New Roman" w:hint="default"/>
          <w:spacing w:val="-18"/>
        </w:rPr>
        <w:t> </w:t>
      </w:r>
      <w:r>
        <w:rPr/>
        <w:t>万元，已经河南大平会计师事务所有限公司审验，并出具审验字（</w:t>
      </w:r>
      <w:r>
        <w:rPr>
          <w:rFonts w:ascii="Times New Roman" w:hAnsi="Times New Roman" w:cs="Times New Roman" w:eastAsia="Times New Roman" w:hint="default"/>
        </w:rPr>
        <w:t>2004</w:t>
      </w:r>
      <w:r>
        <w:rPr/>
        <w:t>）第</w:t>
      </w:r>
    </w:p>
    <w:p>
      <w:pPr>
        <w:pStyle w:val="BodyText"/>
        <w:spacing w:line="240" w:lineRule="auto" w:before="109"/>
        <w:ind w:left="153" w:right="0"/>
        <w:jc w:val="both"/>
      </w:pPr>
      <w:r>
        <w:rPr>
          <w:rFonts w:ascii="Times New Roman" w:hAnsi="Times New Roman" w:cs="Times New Roman" w:eastAsia="Times New Roman" w:hint="default"/>
        </w:rPr>
        <w:t>B02-01</w:t>
      </w:r>
      <w:r>
        <w:rPr>
          <w:rFonts w:ascii="Times New Roman" w:hAnsi="Times New Roman" w:cs="Times New Roman" w:eastAsia="Times New Roman" w:hint="default"/>
          <w:spacing w:val="-4"/>
        </w:rPr>
        <w:t> </w:t>
      </w:r>
      <w:r>
        <w:rPr/>
        <w:t>号验资报告。</w:t>
      </w:r>
    </w:p>
    <w:p>
      <w:pPr>
        <w:pStyle w:val="BodyText"/>
        <w:spacing w:line="240" w:lineRule="auto" w:before="109"/>
        <w:ind w:left="573"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年股份制改造</w:t>
      </w:r>
    </w:p>
    <w:p>
      <w:pPr>
        <w:pStyle w:val="BodyText"/>
        <w:spacing w:line="240" w:lineRule="auto" w:before="110"/>
        <w:ind w:left="573" w:right="0"/>
        <w:jc w:val="left"/>
      </w:pPr>
      <w:r>
        <w:rPr/>
        <w:t>根据有限公司</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日股东会决议及</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日公司发起人会议暨创立大会决议和修</w:t>
      </w:r>
    </w:p>
    <w:p>
      <w:pPr>
        <w:pStyle w:val="BodyText"/>
        <w:spacing w:line="240" w:lineRule="auto" w:before="109"/>
        <w:ind w:left="153" w:right="0"/>
        <w:jc w:val="both"/>
      </w:pPr>
      <w:r>
        <w:rPr/>
        <w:t>改后的章程规定，同意有限公司整体改制为股份有限公司，由全体股东以有限公司</w:t>
      </w:r>
      <w:r>
        <w:rPr>
          <w:spacing w:val="-40"/>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3"/>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40"/>
        </w:rPr>
        <w:t> </w:t>
      </w:r>
      <w:r>
        <w:rPr>
          <w:rFonts w:ascii="Times New Roman" w:hAnsi="Times New Roman" w:cs="Times New Roman" w:eastAsia="Times New Roman" w:hint="default"/>
        </w:rPr>
        <w:t>31</w:t>
      </w:r>
      <w:r>
        <w:rPr>
          <w:rFonts w:ascii="Times New Roman" w:hAnsi="Times New Roman" w:cs="Times New Roman" w:eastAsia="Times New Roman" w:hint="default"/>
          <w:spacing w:val="13"/>
        </w:rPr>
        <w:t> </w:t>
      </w:r>
      <w:r>
        <w:rPr/>
        <w:t>日的</w:t>
      </w:r>
    </w:p>
    <w:p>
      <w:pPr>
        <w:pStyle w:val="BodyText"/>
        <w:spacing w:line="340" w:lineRule="auto" w:before="109"/>
        <w:ind w:left="153" w:right="250"/>
        <w:jc w:val="both"/>
      </w:pPr>
      <w:r>
        <w:rPr/>
        <w:t>净资产进行出资并于公司成立日（即</w:t>
      </w:r>
      <w:r>
        <w:rPr>
          <w:spacing w:val="-5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日）一次缴足，股份公司设立时的股本为</w:t>
      </w:r>
      <w:r>
        <w:rPr>
          <w:spacing w:val="-57"/>
        </w:rPr>
        <w:t> </w:t>
      </w:r>
      <w:r>
        <w:rPr>
          <w:rFonts w:ascii="Times New Roman" w:hAnsi="Times New Roman" w:cs="Times New Roman" w:eastAsia="Times New Roman" w:hint="default"/>
        </w:rPr>
        <w:t>2,745.00</w:t>
      </w:r>
      <w:r>
        <w:rPr>
          <w:rFonts w:ascii="Times New Roman" w:hAnsi="Times New Roman" w:cs="Times New Roman" w:eastAsia="Times New Roman" w:hint="default"/>
          <w:spacing w:val="-4"/>
        </w:rPr>
        <w:t> </w:t>
      </w:r>
      <w:r>
        <w:rPr/>
        <w:t>万 </w:t>
      </w:r>
      <w:r>
        <w:rPr>
          <w:spacing w:val="-1"/>
        </w:rPr>
        <w:t>元，出资净资产超过股本的部分计入资本公积，已经利安达信隆会计师事务所有限责任公司审验，并出具</w:t>
      </w:r>
      <w:r>
        <w:rPr>
          <w:spacing w:val="-83"/>
        </w:rPr>
        <w:t> </w:t>
      </w:r>
      <w:r>
        <w:rPr>
          <w:spacing w:val="-83"/>
        </w:rPr>
      </w:r>
      <w:r>
        <w:rPr/>
        <w:t>利安达验字［</w:t>
      </w:r>
      <w:r>
        <w:rPr>
          <w:rFonts w:ascii="Times New Roman" w:hAnsi="Times New Roman" w:cs="Times New Roman" w:eastAsia="Times New Roman" w:hint="default"/>
        </w:rPr>
        <w:t>2008</w:t>
      </w:r>
      <w:r>
        <w:rPr/>
        <w:t>］第</w:t>
      </w:r>
      <w:r>
        <w:rPr>
          <w:spacing w:val="-57"/>
        </w:rPr>
        <w:t> </w:t>
      </w:r>
      <w:r>
        <w:rPr>
          <w:rFonts w:ascii="Times New Roman" w:hAnsi="Times New Roman" w:cs="Times New Roman" w:eastAsia="Times New Roman" w:hint="default"/>
        </w:rPr>
        <w:t>A1002</w:t>
      </w:r>
      <w:r>
        <w:rPr>
          <w:rFonts w:ascii="Times New Roman" w:hAnsi="Times New Roman" w:cs="Times New Roman" w:eastAsia="Times New Roman" w:hint="default"/>
          <w:spacing w:val="-3"/>
        </w:rPr>
        <w:t> </w:t>
      </w:r>
      <w:r>
        <w:rPr/>
        <w:t>号验资报告。</w:t>
      </w:r>
    </w:p>
    <w:p>
      <w:pPr>
        <w:pStyle w:val="BodyText"/>
        <w:spacing w:line="240" w:lineRule="auto" w:before="11"/>
        <w:ind w:left="573" w:right="0"/>
        <w:jc w:val="left"/>
      </w:pPr>
      <w:r>
        <w:rPr/>
        <w:t>根据本公司</w:t>
      </w:r>
      <w:r>
        <w:rPr>
          <w:spacing w:val="-4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年第二次临时股东大会决议和修改后的章程规定，本公司按每股</w:t>
      </w:r>
      <w:r>
        <w:rPr>
          <w:spacing w:val="-46"/>
        </w:rPr>
        <w:t> </w:t>
      </w:r>
      <w:r>
        <w:rPr>
          <w:rFonts w:ascii="Times New Roman" w:hAnsi="Times New Roman" w:cs="Times New Roman" w:eastAsia="Times New Roman" w:hint="default"/>
        </w:rPr>
        <w:t>1.00</w:t>
      </w:r>
      <w:r>
        <w:rPr>
          <w:rFonts w:ascii="Times New Roman" w:hAnsi="Times New Roman" w:cs="Times New Roman" w:eastAsia="Times New Roman" w:hint="default"/>
          <w:spacing w:val="7"/>
        </w:rPr>
        <w:t> </w:t>
      </w:r>
      <w:r>
        <w:rPr/>
        <w:t>元的价格向公</w:t>
      </w:r>
    </w:p>
    <w:p>
      <w:pPr>
        <w:pStyle w:val="BodyText"/>
        <w:spacing w:line="240" w:lineRule="auto" w:before="110"/>
        <w:ind w:left="153" w:right="0"/>
        <w:jc w:val="both"/>
      </w:pPr>
      <w:r>
        <w:rPr/>
        <w:t>司员工进行定向增资，申请增加注册资本人民币</w:t>
      </w:r>
      <w:r>
        <w:rPr>
          <w:spacing w:val="-40"/>
        </w:rPr>
        <w:t> </w:t>
      </w:r>
      <w:r>
        <w:rPr>
          <w:rFonts w:ascii="Times New Roman" w:hAnsi="Times New Roman" w:cs="Times New Roman" w:eastAsia="Times New Roman" w:hint="default"/>
        </w:rPr>
        <w:t>105.00</w:t>
      </w:r>
      <w:r>
        <w:rPr>
          <w:rFonts w:ascii="Times New Roman" w:hAnsi="Times New Roman" w:cs="Times New Roman" w:eastAsia="Times New Roman" w:hint="default"/>
          <w:spacing w:val="13"/>
        </w:rPr>
        <w:t> </w:t>
      </w:r>
      <w:r>
        <w:rPr/>
        <w:t>万元，每股面值</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元，增加股本</w:t>
      </w:r>
      <w:r>
        <w:rPr>
          <w:spacing w:val="-40"/>
        </w:rPr>
        <w:t> </w:t>
      </w:r>
      <w:r>
        <w:rPr>
          <w:rFonts w:ascii="Times New Roman" w:hAnsi="Times New Roman" w:cs="Times New Roman" w:eastAsia="Times New Roman" w:hint="default"/>
        </w:rPr>
        <w:t>105.00</w:t>
      </w:r>
      <w:r>
        <w:rPr>
          <w:rFonts w:ascii="Times New Roman" w:hAnsi="Times New Roman" w:cs="Times New Roman" w:eastAsia="Times New Roman" w:hint="default"/>
          <w:spacing w:val="13"/>
        </w:rPr>
        <w:t> </w:t>
      </w:r>
      <w:r>
        <w:rPr/>
        <w:t>万元，变</w:t>
      </w:r>
    </w:p>
    <w:p>
      <w:pPr>
        <w:pStyle w:val="BodyText"/>
        <w:spacing w:line="240" w:lineRule="auto" w:before="109"/>
        <w:ind w:left="153" w:right="0"/>
        <w:jc w:val="both"/>
      </w:pPr>
      <w:r>
        <w:rPr/>
        <w:t>更后注册资本为人民币</w:t>
      </w:r>
      <w:r>
        <w:rPr>
          <w:spacing w:val="-56"/>
        </w:rPr>
        <w:t> </w:t>
      </w:r>
      <w:r>
        <w:rPr>
          <w:rFonts w:ascii="Times New Roman" w:hAnsi="Times New Roman" w:cs="Times New Roman" w:eastAsia="Times New Roman" w:hint="default"/>
        </w:rPr>
        <w:t>2,850.00</w:t>
      </w:r>
      <w:r>
        <w:rPr>
          <w:rFonts w:ascii="Times New Roman" w:hAnsi="Times New Roman" w:cs="Times New Roman" w:eastAsia="Times New Roman" w:hint="default"/>
          <w:spacing w:val="-3"/>
        </w:rPr>
        <w:t> </w:t>
      </w:r>
      <w:r>
        <w:rPr/>
        <w:t>万元，已经河南盛元联合会计师事务所审验，并出具豫盛元验资（</w:t>
      </w:r>
      <w:r>
        <w:rPr>
          <w:rFonts w:ascii="Times New Roman" w:hAnsi="Times New Roman" w:cs="Times New Roman" w:eastAsia="Times New Roman" w:hint="default"/>
        </w:rPr>
        <w:t>2008</w:t>
      </w:r>
      <w:r>
        <w:rPr/>
        <w:t>）</w:t>
      </w:r>
    </w:p>
    <w:p>
      <w:pPr>
        <w:pStyle w:val="BodyText"/>
        <w:spacing w:line="331" w:lineRule="auto" w:before="108"/>
        <w:ind w:left="573" w:right="4201" w:hanging="420"/>
        <w:jc w:val="left"/>
      </w:pPr>
      <w:r>
        <w:rPr/>
        <w:pict>
          <v:group style="position:absolute;margin-left:94.199997pt;margin-top:42.203976pt;width:451.25pt;height:279.5pt;mso-position-horizontal-relative:page;mso-position-vertical-relative:paragraph;z-index:-1166752" coordorigin="1884,844" coordsize="9025,5590">
            <v:shape style="position:absolute;left:5270;top:844;width:3430;height:338" type="#_x0000_t75" stroked="false">
              <v:imagedata r:id="rId43" o:title=""/>
            </v:shape>
            <v:shape style="position:absolute;left:1884;top:1144;width:9025;height:5290" type="#_x0000_t75" stroked="false">
              <v:imagedata r:id="rId44" o:title=""/>
            </v:shape>
            <w10:wrap type="none"/>
          </v:group>
        </w:pict>
      </w:r>
      <w:r>
        <w:rPr/>
        <w:t>第</w:t>
      </w:r>
      <w:r>
        <w:rPr>
          <w:spacing w:val="-54"/>
        </w:rPr>
        <w:t> </w:t>
      </w:r>
      <w:r>
        <w:rPr>
          <w:rFonts w:ascii="Times New Roman" w:hAnsi="Times New Roman" w:cs="Times New Roman" w:eastAsia="Times New Roman" w:hint="default"/>
        </w:rPr>
        <w:t>03004</w:t>
      </w:r>
      <w:r>
        <w:rPr>
          <w:rFonts w:ascii="Times New Roman" w:hAnsi="Times New Roman" w:cs="Times New Roman" w:eastAsia="Times New Roman" w:hint="default"/>
          <w:spacing w:val="-1"/>
        </w:rPr>
        <w:t> </w:t>
      </w:r>
      <w:r>
        <w:rPr/>
        <w:t>号验资报告。 增加注册资本后，各股东认缴注册资本额和出资比例为：</w:t>
      </w:r>
    </w:p>
    <w:tbl>
      <w:tblPr>
        <w:tblW w:w="0" w:type="auto"/>
        <w:jc w:val="left"/>
        <w:tblInd w:w="932" w:type="dxa"/>
        <w:tblLayout w:type="fixed"/>
        <w:tblCellMar>
          <w:top w:w="0" w:type="dxa"/>
          <w:left w:w="0" w:type="dxa"/>
          <w:bottom w:w="0" w:type="dxa"/>
          <w:right w:w="0" w:type="dxa"/>
        </w:tblCellMar>
        <w:tblLook w:val="01E0"/>
      </w:tblPr>
      <w:tblGrid>
        <w:gridCol w:w="2635"/>
        <w:gridCol w:w="4052"/>
        <w:gridCol w:w="2281"/>
      </w:tblGrid>
      <w:tr>
        <w:trPr>
          <w:trHeight w:val="340" w:hRule="exact"/>
        </w:trPr>
        <w:tc>
          <w:tcPr>
            <w:tcW w:w="2635" w:type="dxa"/>
            <w:tcBorders>
              <w:top w:val="single" w:sz="12" w:space="0" w:color="000000"/>
              <w:left w:val="nil" w:sz="6" w:space="0" w:color="auto"/>
              <w:bottom w:val="nil" w:sz="6" w:space="0" w:color="auto"/>
              <w:right w:val="nil" w:sz="6" w:space="0" w:color="auto"/>
            </w:tcBorders>
          </w:tcPr>
          <w:p>
            <w:pPr>
              <w:pStyle w:val="TableParagraph"/>
              <w:spacing w:line="254" w:lineRule="exact"/>
              <w:ind w:left="723" w:right="0"/>
              <w:jc w:val="left"/>
              <w:rPr>
                <w:rFonts w:ascii="宋体" w:hAnsi="宋体" w:cs="宋体" w:eastAsia="宋体" w:hint="default"/>
                <w:sz w:val="21"/>
                <w:szCs w:val="21"/>
              </w:rPr>
            </w:pPr>
            <w:r>
              <w:rPr>
                <w:rFonts w:ascii="宋体" w:hAnsi="宋体" w:cs="宋体" w:eastAsia="宋体" w:hint="default"/>
                <w:sz w:val="21"/>
                <w:szCs w:val="21"/>
              </w:rPr>
              <w:t>投资方</w:t>
            </w:r>
          </w:p>
        </w:tc>
        <w:tc>
          <w:tcPr>
            <w:tcW w:w="4052" w:type="dxa"/>
            <w:tcBorders>
              <w:top w:val="single" w:sz="12" w:space="0" w:color="000000"/>
              <w:left w:val="nil" w:sz="6" w:space="0" w:color="auto"/>
              <w:bottom w:val="nil" w:sz="6" w:space="0" w:color="auto"/>
              <w:right w:val="nil" w:sz="6" w:space="0" w:color="auto"/>
            </w:tcBorders>
          </w:tcPr>
          <w:p>
            <w:pPr>
              <w:pStyle w:val="TableParagraph"/>
              <w:spacing w:line="254" w:lineRule="exact"/>
              <w:ind w:left="1281" w:right="0"/>
              <w:jc w:val="left"/>
              <w:rPr>
                <w:rFonts w:ascii="宋体" w:hAnsi="宋体" w:cs="宋体" w:eastAsia="宋体" w:hint="default"/>
                <w:sz w:val="21"/>
                <w:szCs w:val="21"/>
              </w:rPr>
            </w:pPr>
            <w:r>
              <w:rPr>
                <w:rFonts w:ascii="宋体" w:hAnsi="宋体" w:cs="宋体" w:eastAsia="宋体" w:hint="default"/>
                <w:sz w:val="21"/>
                <w:szCs w:val="21"/>
              </w:rPr>
              <w:t>认缴注册资本额（万元）</w:t>
            </w:r>
          </w:p>
        </w:tc>
        <w:tc>
          <w:tcPr>
            <w:tcW w:w="2281" w:type="dxa"/>
            <w:tcBorders>
              <w:top w:val="single" w:sz="12" w:space="0" w:color="000000"/>
              <w:left w:val="nil" w:sz="6" w:space="0" w:color="auto"/>
              <w:bottom w:val="nil" w:sz="6" w:space="0" w:color="auto"/>
              <w:right w:val="nil" w:sz="6" w:space="0" w:color="auto"/>
            </w:tcBorders>
          </w:tcPr>
          <w:p>
            <w:pPr>
              <w:pStyle w:val="TableParagraph"/>
              <w:spacing w:line="270" w:lineRule="exact"/>
              <w:ind w:left="460" w:right="0"/>
              <w:jc w:val="left"/>
              <w:rPr>
                <w:rFonts w:ascii="宋体" w:hAnsi="宋体" w:cs="宋体" w:eastAsia="宋体" w:hint="default"/>
                <w:sz w:val="21"/>
                <w:szCs w:val="21"/>
              </w:rPr>
            </w:pPr>
            <w:r>
              <w:rPr>
                <w:rFonts w:ascii="宋体" w:hAnsi="宋体" w:cs="宋体" w:eastAsia="宋体" w:hint="default"/>
                <w:sz w:val="21"/>
                <w:szCs w:val="21"/>
              </w:rPr>
              <w:t>出资比例（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10" w:hRule="exact"/>
        </w:trPr>
        <w:tc>
          <w:tcPr>
            <w:tcW w:w="2635" w:type="dxa"/>
            <w:tcBorders>
              <w:top w:val="nil" w:sz="6" w:space="0" w:color="auto"/>
              <w:left w:val="nil" w:sz="6" w:space="0" w:color="auto"/>
              <w:bottom w:val="nil" w:sz="6" w:space="0" w:color="auto"/>
              <w:right w:val="nil" w:sz="6" w:space="0" w:color="auto"/>
            </w:tcBorders>
          </w:tcPr>
          <w:p>
            <w:pPr>
              <w:pStyle w:val="TableParagraph"/>
              <w:spacing w:line="239" w:lineRule="exact"/>
              <w:ind w:left="723" w:right="0"/>
              <w:jc w:val="left"/>
              <w:rPr>
                <w:rFonts w:ascii="宋体" w:hAnsi="宋体" w:cs="宋体" w:eastAsia="宋体" w:hint="default"/>
                <w:sz w:val="21"/>
                <w:szCs w:val="21"/>
              </w:rPr>
            </w:pPr>
            <w:r>
              <w:rPr>
                <w:rFonts w:ascii="宋体" w:hAnsi="宋体" w:cs="宋体" w:eastAsia="宋体" w:hint="default"/>
                <w:sz w:val="21"/>
                <w:szCs w:val="21"/>
              </w:rPr>
              <w:t>杨维国</w:t>
            </w:r>
          </w:p>
        </w:tc>
        <w:tc>
          <w:tcPr>
            <w:tcW w:w="405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456" w:right="0"/>
              <w:jc w:val="left"/>
              <w:rPr>
                <w:rFonts w:ascii="Times New Roman" w:hAnsi="Times New Roman" w:cs="Times New Roman" w:eastAsia="Times New Roman" w:hint="default"/>
                <w:sz w:val="21"/>
                <w:szCs w:val="21"/>
              </w:rPr>
            </w:pPr>
            <w:r>
              <w:rPr>
                <w:rFonts w:ascii="Times New Roman"/>
                <w:sz w:val="21"/>
              </w:rPr>
              <w:t>988.20</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06"/>
              <w:jc w:val="center"/>
              <w:rPr>
                <w:rFonts w:ascii="Times New Roman" w:hAnsi="Times New Roman" w:cs="Times New Roman" w:eastAsia="Times New Roman" w:hint="default"/>
                <w:sz w:val="21"/>
                <w:szCs w:val="21"/>
              </w:rPr>
            </w:pPr>
            <w:r>
              <w:rPr>
                <w:rFonts w:ascii="Times New Roman"/>
                <w:sz w:val="21"/>
              </w:rPr>
              <w:t>34.67</w:t>
            </w:r>
          </w:p>
        </w:tc>
      </w:tr>
      <w:tr>
        <w:trPr>
          <w:trHeight w:val="310" w:hRule="exact"/>
        </w:trPr>
        <w:tc>
          <w:tcPr>
            <w:tcW w:w="2635" w:type="dxa"/>
            <w:tcBorders>
              <w:top w:val="nil" w:sz="6" w:space="0" w:color="auto"/>
              <w:left w:val="nil" w:sz="6" w:space="0" w:color="auto"/>
              <w:bottom w:val="nil" w:sz="6" w:space="0" w:color="auto"/>
              <w:right w:val="nil" w:sz="6" w:space="0" w:color="auto"/>
            </w:tcBorders>
          </w:tcPr>
          <w:p>
            <w:pPr>
              <w:pStyle w:val="TableParagraph"/>
              <w:spacing w:line="240" w:lineRule="exact"/>
              <w:ind w:left="723" w:right="0"/>
              <w:jc w:val="left"/>
              <w:rPr>
                <w:rFonts w:ascii="宋体" w:hAnsi="宋体" w:cs="宋体" w:eastAsia="宋体" w:hint="default"/>
                <w:sz w:val="21"/>
                <w:szCs w:val="21"/>
              </w:rPr>
            </w:pPr>
            <w:r>
              <w:rPr>
                <w:rFonts w:ascii="宋体" w:hAnsi="宋体" w:cs="宋体" w:eastAsia="宋体" w:hint="default"/>
                <w:sz w:val="21"/>
                <w:szCs w:val="21"/>
              </w:rPr>
              <w:t>尚卫国</w:t>
            </w:r>
          </w:p>
        </w:tc>
        <w:tc>
          <w:tcPr>
            <w:tcW w:w="405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456" w:right="0"/>
              <w:jc w:val="left"/>
              <w:rPr>
                <w:rFonts w:ascii="Times New Roman" w:hAnsi="Times New Roman" w:cs="Times New Roman" w:eastAsia="Times New Roman" w:hint="default"/>
                <w:sz w:val="21"/>
                <w:szCs w:val="21"/>
              </w:rPr>
            </w:pPr>
            <w:r>
              <w:rPr>
                <w:rFonts w:ascii="Times New Roman"/>
                <w:sz w:val="21"/>
              </w:rPr>
              <w:t>234.60</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12"/>
              <w:jc w:val="center"/>
              <w:rPr>
                <w:rFonts w:ascii="Times New Roman" w:hAnsi="Times New Roman" w:cs="Times New Roman" w:eastAsia="Times New Roman" w:hint="default"/>
                <w:sz w:val="21"/>
                <w:szCs w:val="21"/>
              </w:rPr>
            </w:pPr>
            <w:r>
              <w:rPr>
                <w:rFonts w:ascii="Times New Roman"/>
                <w:sz w:val="21"/>
              </w:rPr>
              <w:t>8.23</w:t>
            </w:r>
          </w:p>
        </w:tc>
      </w:tr>
      <w:tr>
        <w:trPr>
          <w:trHeight w:val="310" w:hRule="exact"/>
        </w:trPr>
        <w:tc>
          <w:tcPr>
            <w:tcW w:w="2635" w:type="dxa"/>
            <w:tcBorders>
              <w:top w:val="nil" w:sz="6" w:space="0" w:color="auto"/>
              <w:left w:val="nil" w:sz="6" w:space="0" w:color="auto"/>
              <w:bottom w:val="nil" w:sz="6" w:space="0" w:color="auto"/>
              <w:right w:val="nil" w:sz="6" w:space="0" w:color="auto"/>
            </w:tcBorders>
          </w:tcPr>
          <w:p>
            <w:pPr>
              <w:pStyle w:val="TableParagraph"/>
              <w:spacing w:line="239" w:lineRule="exact"/>
              <w:ind w:left="723" w:right="0"/>
              <w:jc w:val="left"/>
              <w:rPr>
                <w:rFonts w:ascii="宋体" w:hAnsi="宋体" w:cs="宋体" w:eastAsia="宋体" w:hint="default"/>
                <w:sz w:val="21"/>
                <w:szCs w:val="21"/>
              </w:rPr>
            </w:pPr>
            <w:r>
              <w:rPr>
                <w:rFonts w:ascii="宋体" w:hAnsi="宋体" w:cs="宋体" w:eastAsia="宋体" w:hint="default"/>
                <w:sz w:val="21"/>
                <w:szCs w:val="21"/>
              </w:rPr>
              <w:t>赵利宾</w:t>
            </w:r>
          </w:p>
        </w:tc>
        <w:tc>
          <w:tcPr>
            <w:tcW w:w="405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456" w:right="0"/>
              <w:jc w:val="left"/>
              <w:rPr>
                <w:rFonts w:ascii="Times New Roman" w:hAnsi="Times New Roman" w:cs="Times New Roman" w:eastAsia="Times New Roman" w:hint="default"/>
                <w:sz w:val="21"/>
                <w:szCs w:val="21"/>
              </w:rPr>
            </w:pPr>
            <w:r>
              <w:rPr>
                <w:rFonts w:ascii="Times New Roman"/>
                <w:sz w:val="21"/>
              </w:rPr>
              <w:t>219.60</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12"/>
              <w:jc w:val="center"/>
              <w:rPr>
                <w:rFonts w:ascii="Times New Roman" w:hAnsi="Times New Roman" w:cs="Times New Roman" w:eastAsia="Times New Roman" w:hint="default"/>
                <w:sz w:val="21"/>
                <w:szCs w:val="21"/>
              </w:rPr>
            </w:pPr>
            <w:r>
              <w:rPr>
                <w:rFonts w:ascii="Times New Roman"/>
                <w:sz w:val="21"/>
              </w:rPr>
              <w:t>7.71</w:t>
            </w:r>
          </w:p>
        </w:tc>
      </w:tr>
      <w:tr>
        <w:trPr>
          <w:trHeight w:val="310" w:hRule="exact"/>
        </w:trPr>
        <w:tc>
          <w:tcPr>
            <w:tcW w:w="2635" w:type="dxa"/>
            <w:tcBorders>
              <w:top w:val="nil" w:sz="6" w:space="0" w:color="auto"/>
              <w:left w:val="nil" w:sz="6" w:space="0" w:color="auto"/>
              <w:bottom w:val="nil" w:sz="6" w:space="0" w:color="auto"/>
              <w:right w:val="nil" w:sz="6" w:space="0" w:color="auto"/>
            </w:tcBorders>
          </w:tcPr>
          <w:p>
            <w:pPr>
              <w:pStyle w:val="TableParagraph"/>
              <w:spacing w:line="239" w:lineRule="exact"/>
              <w:ind w:left="723" w:right="0"/>
              <w:jc w:val="left"/>
              <w:rPr>
                <w:rFonts w:ascii="宋体" w:hAnsi="宋体" w:cs="宋体" w:eastAsia="宋体" w:hint="default"/>
                <w:sz w:val="21"/>
                <w:szCs w:val="21"/>
              </w:rPr>
            </w:pPr>
            <w:r>
              <w:rPr>
                <w:rFonts w:ascii="宋体" w:hAnsi="宋体" w:cs="宋体" w:eastAsia="宋体" w:hint="default"/>
                <w:sz w:val="21"/>
                <w:szCs w:val="21"/>
              </w:rPr>
              <w:t>华梦阳</w:t>
            </w:r>
          </w:p>
        </w:tc>
        <w:tc>
          <w:tcPr>
            <w:tcW w:w="405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456" w:right="0"/>
              <w:jc w:val="left"/>
              <w:rPr>
                <w:rFonts w:ascii="Times New Roman" w:hAnsi="Times New Roman" w:cs="Times New Roman" w:eastAsia="Times New Roman" w:hint="default"/>
                <w:sz w:val="21"/>
                <w:szCs w:val="21"/>
              </w:rPr>
            </w:pPr>
            <w:r>
              <w:rPr>
                <w:rFonts w:ascii="Times New Roman"/>
                <w:sz w:val="21"/>
              </w:rPr>
              <w:t>219.60</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12"/>
              <w:jc w:val="center"/>
              <w:rPr>
                <w:rFonts w:ascii="Times New Roman" w:hAnsi="Times New Roman" w:cs="Times New Roman" w:eastAsia="Times New Roman" w:hint="default"/>
                <w:sz w:val="21"/>
                <w:szCs w:val="21"/>
              </w:rPr>
            </w:pPr>
            <w:r>
              <w:rPr>
                <w:rFonts w:ascii="Times New Roman"/>
                <w:sz w:val="21"/>
              </w:rPr>
              <w:t>7.71</w:t>
            </w:r>
          </w:p>
        </w:tc>
      </w:tr>
      <w:tr>
        <w:trPr>
          <w:trHeight w:val="310" w:hRule="exact"/>
        </w:trPr>
        <w:tc>
          <w:tcPr>
            <w:tcW w:w="2635" w:type="dxa"/>
            <w:tcBorders>
              <w:top w:val="nil" w:sz="6" w:space="0" w:color="auto"/>
              <w:left w:val="nil" w:sz="6" w:space="0" w:color="auto"/>
              <w:bottom w:val="nil" w:sz="6" w:space="0" w:color="auto"/>
              <w:right w:val="nil" w:sz="6" w:space="0" w:color="auto"/>
            </w:tcBorders>
          </w:tcPr>
          <w:p>
            <w:pPr>
              <w:pStyle w:val="TableParagraph"/>
              <w:spacing w:line="240" w:lineRule="exact"/>
              <w:ind w:left="723" w:right="0"/>
              <w:jc w:val="left"/>
              <w:rPr>
                <w:rFonts w:ascii="宋体" w:hAnsi="宋体" w:cs="宋体" w:eastAsia="宋体" w:hint="default"/>
                <w:sz w:val="21"/>
                <w:szCs w:val="21"/>
              </w:rPr>
            </w:pPr>
            <w:r>
              <w:rPr>
                <w:rFonts w:ascii="宋体" w:hAnsi="宋体" w:cs="宋体" w:eastAsia="宋体" w:hint="default"/>
                <w:sz w:val="21"/>
                <w:szCs w:val="21"/>
              </w:rPr>
              <w:t>傅常顺</w:t>
            </w:r>
          </w:p>
        </w:tc>
        <w:tc>
          <w:tcPr>
            <w:tcW w:w="405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456" w:right="0"/>
              <w:jc w:val="left"/>
              <w:rPr>
                <w:rFonts w:ascii="Times New Roman" w:hAnsi="Times New Roman" w:cs="Times New Roman" w:eastAsia="Times New Roman" w:hint="default"/>
                <w:sz w:val="21"/>
                <w:szCs w:val="21"/>
              </w:rPr>
            </w:pPr>
            <w:r>
              <w:rPr>
                <w:rFonts w:ascii="Times New Roman"/>
                <w:sz w:val="21"/>
              </w:rPr>
              <w:t>219.60</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12"/>
              <w:jc w:val="center"/>
              <w:rPr>
                <w:rFonts w:ascii="Times New Roman" w:hAnsi="Times New Roman" w:cs="Times New Roman" w:eastAsia="Times New Roman" w:hint="default"/>
                <w:sz w:val="21"/>
                <w:szCs w:val="21"/>
              </w:rPr>
            </w:pPr>
            <w:r>
              <w:rPr>
                <w:rFonts w:ascii="Times New Roman"/>
                <w:sz w:val="21"/>
              </w:rPr>
              <w:t>7.71</w:t>
            </w:r>
          </w:p>
        </w:tc>
      </w:tr>
      <w:tr>
        <w:trPr>
          <w:trHeight w:val="310" w:hRule="exact"/>
        </w:trPr>
        <w:tc>
          <w:tcPr>
            <w:tcW w:w="2635" w:type="dxa"/>
            <w:tcBorders>
              <w:top w:val="nil" w:sz="6" w:space="0" w:color="auto"/>
              <w:left w:val="nil" w:sz="6" w:space="0" w:color="auto"/>
              <w:bottom w:val="nil" w:sz="6" w:space="0" w:color="auto"/>
              <w:right w:val="nil" w:sz="6" w:space="0" w:color="auto"/>
            </w:tcBorders>
          </w:tcPr>
          <w:p>
            <w:pPr>
              <w:pStyle w:val="TableParagraph"/>
              <w:spacing w:line="239" w:lineRule="exact"/>
              <w:ind w:left="723" w:right="0"/>
              <w:jc w:val="left"/>
              <w:rPr>
                <w:rFonts w:ascii="宋体" w:hAnsi="宋体" w:cs="宋体" w:eastAsia="宋体" w:hint="default"/>
                <w:sz w:val="21"/>
                <w:szCs w:val="21"/>
              </w:rPr>
            </w:pPr>
            <w:r>
              <w:rPr>
                <w:rFonts w:ascii="宋体" w:hAnsi="宋体" w:cs="宋体" w:eastAsia="宋体" w:hint="default"/>
                <w:sz w:val="21"/>
                <w:szCs w:val="21"/>
              </w:rPr>
              <w:t>刘恩臣</w:t>
            </w:r>
          </w:p>
        </w:tc>
        <w:tc>
          <w:tcPr>
            <w:tcW w:w="405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456" w:right="0"/>
              <w:jc w:val="left"/>
              <w:rPr>
                <w:rFonts w:ascii="Times New Roman" w:hAnsi="Times New Roman" w:cs="Times New Roman" w:eastAsia="Times New Roman" w:hint="default"/>
                <w:sz w:val="21"/>
                <w:szCs w:val="21"/>
              </w:rPr>
            </w:pPr>
            <w:r>
              <w:rPr>
                <w:rFonts w:ascii="Times New Roman"/>
                <w:sz w:val="21"/>
              </w:rPr>
              <w:t>192.15</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12"/>
              <w:jc w:val="center"/>
              <w:rPr>
                <w:rFonts w:ascii="Times New Roman" w:hAnsi="Times New Roman" w:cs="Times New Roman" w:eastAsia="Times New Roman" w:hint="default"/>
                <w:sz w:val="21"/>
                <w:szCs w:val="21"/>
              </w:rPr>
            </w:pPr>
            <w:r>
              <w:rPr>
                <w:rFonts w:ascii="Times New Roman"/>
                <w:sz w:val="21"/>
              </w:rPr>
              <w:t>6.74</w:t>
            </w:r>
          </w:p>
        </w:tc>
      </w:tr>
      <w:tr>
        <w:trPr>
          <w:trHeight w:val="310" w:hRule="exact"/>
        </w:trPr>
        <w:tc>
          <w:tcPr>
            <w:tcW w:w="2635" w:type="dxa"/>
            <w:tcBorders>
              <w:top w:val="nil" w:sz="6" w:space="0" w:color="auto"/>
              <w:left w:val="nil" w:sz="6" w:space="0" w:color="auto"/>
              <w:bottom w:val="nil" w:sz="6" w:space="0" w:color="auto"/>
              <w:right w:val="nil" w:sz="6" w:space="0" w:color="auto"/>
            </w:tcBorders>
          </w:tcPr>
          <w:p>
            <w:pPr>
              <w:pStyle w:val="TableParagraph"/>
              <w:spacing w:line="239" w:lineRule="exact"/>
              <w:ind w:left="723" w:right="0"/>
              <w:jc w:val="left"/>
              <w:rPr>
                <w:rFonts w:ascii="宋体" w:hAnsi="宋体" w:cs="宋体" w:eastAsia="宋体" w:hint="default"/>
                <w:sz w:val="21"/>
                <w:szCs w:val="21"/>
              </w:rPr>
            </w:pPr>
            <w:r>
              <w:rPr>
                <w:rFonts w:ascii="宋体" w:hAnsi="宋体" w:cs="宋体" w:eastAsia="宋体" w:hint="default"/>
                <w:sz w:val="21"/>
                <w:szCs w:val="21"/>
              </w:rPr>
              <w:t>付秋生</w:t>
            </w:r>
          </w:p>
        </w:tc>
        <w:tc>
          <w:tcPr>
            <w:tcW w:w="405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456" w:right="0"/>
              <w:jc w:val="left"/>
              <w:rPr>
                <w:rFonts w:ascii="Times New Roman" w:hAnsi="Times New Roman" w:cs="Times New Roman" w:eastAsia="Times New Roman" w:hint="default"/>
                <w:sz w:val="21"/>
                <w:szCs w:val="21"/>
              </w:rPr>
            </w:pPr>
            <w:r>
              <w:rPr>
                <w:rFonts w:ascii="Times New Roman"/>
                <w:sz w:val="21"/>
              </w:rPr>
              <w:t>192.15</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12"/>
              <w:jc w:val="center"/>
              <w:rPr>
                <w:rFonts w:ascii="Times New Roman" w:hAnsi="Times New Roman" w:cs="Times New Roman" w:eastAsia="Times New Roman" w:hint="default"/>
                <w:sz w:val="21"/>
                <w:szCs w:val="21"/>
              </w:rPr>
            </w:pPr>
            <w:r>
              <w:rPr>
                <w:rFonts w:ascii="Times New Roman"/>
                <w:sz w:val="21"/>
              </w:rPr>
              <w:t>6.74</w:t>
            </w:r>
          </w:p>
        </w:tc>
      </w:tr>
      <w:tr>
        <w:trPr>
          <w:trHeight w:val="310" w:hRule="exact"/>
        </w:trPr>
        <w:tc>
          <w:tcPr>
            <w:tcW w:w="2635" w:type="dxa"/>
            <w:tcBorders>
              <w:top w:val="nil" w:sz="6" w:space="0" w:color="auto"/>
              <w:left w:val="nil" w:sz="6" w:space="0" w:color="auto"/>
              <w:bottom w:val="nil" w:sz="6" w:space="0" w:color="auto"/>
              <w:right w:val="nil" w:sz="6" w:space="0" w:color="auto"/>
            </w:tcBorders>
          </w:tcPr>
          <w:p>
            <w:pPr>
              <w:pStyle w:val="TableParagraph"/>
              <w:spacing w:line="240" w:lineRule="exact"/>
              <w:ind w:left="723" w:right="0"/>
              <w:jc w:val="left"/>
              <w:rPr>
                <w:rFonts w:ascii="宋体" w:hAnsi="宋体" w:cs="宋体" w:eastAsia="宋体" w:hint="default"/>
                <w:sz w:val="21"/>
                <w:szCs w:val="21"/>
              </w:rPr>
            </w:pPr>
            <w:r>
              <w:rPr>
                <w:rFonts w:ascii="宋体" w:hAnsi="宋体" w:cs="宋体" w:eastAsia="宋体" w:hint="default"/>
                <w:sz w:val="21"/>
                <w:szCs w:val="21"/>
              </w:rPr>
              <w:t>杜建平</w:t>
            </w:r>
          </w:p>
        </w:tc>
        <w:tc>
          <w:tcPr>
            <w:tcW w:w="405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456" w:right="0"/>
              <w:jc w:val="left"/>
              <w:rPr>
                <w:rFonts w:ascii="Times New Roman" w:hAnsi="Times New Roman" w:cs="Times New Roman" w:eastAsia="Times New Roman" w:hint="default"/>
                <w:sz w:val="21"/>
                <w:szCs w:val="21"/>
              </w:rPr>
            </w:pPr>
            <w:r>
              <w:rPr>
                <w:rFonts w:ascii="Times New Roman"/>
                <w:sz w:val="21"/>
              </w:rPr>
              <w:t>164.70</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12"/>
              <w:jc w:val="center"/>
              <w:rPr>
                <w:rFonts w:ascii="Times New Roman" w:hAnsi="Times New Roman" w:cs="Times New Roman" w:eastAsia="Times New Roman" w:hint="default"/>
                <w:sz w:val="21"/>
                <w:szCs w:val="21"/>
              </w:rPr>
            </w:pPr>
            <w:r>
              <w:rPr>
                <w:rFonts w:ascii="Times New Roman"/>
                <w:sz w:val="21"/>
              </w:rPr>
              <w:t>5.77</w:t>
            </w:r>
          </w:p>
        </w:tc>
      </w:tr>
      <w:tr>
        <w:trPr>
          <w:trHeight w:val="310" w:hRule="exact"/>
        </w:trPr>
        <w:tc>
          <w:tcPr>
            <w:tcW w:w="2635" w:type="dxa"/>
            <w:tcBorders>
              <w:top w:val="nil" w:sz="6" w:space="0" w:color="auto"/>
              <w:left w:val="nil" w:sz="6" w:space="0" w:color="auto"/>
              <w:bottom w:val="nil" w:sz="6" w:space="0" w:color="auto"/>
              <w:right w:val="nil" w:sz="6" w:space="0" w:color="auto"/>
            </w:tcBorders>
          </w:tcPr>
          <w:p>
            <w:pPr>
              <w:pStyle w:val="TableParagraph"/>
              <w:spacing w:line="239" w:lineRule="exact"/>
              <w:ind w:left="723" w:right="0"/>
              <w:jc w:val="left"/>
              <w:rPr>
                <w:rFonts w:ascii="宋体" w:hAnsi="宋体" w:cs="宋体" w:eastAsia="宋体" w:hint="default"/>
                <w:sz w:val="21"/>
                <w:szCs w:val="21"/>
              </w:rPr>
            </w:pPr>
            <w:r>
              <w:rPr>
                <w:rFonts w:ascii="宋体" w:hAnsi="宋体" w:cs="宋体" w:eastAsia="宋体" w:hint="default"/>
                <w:sz w:val="21"/>
                <w:szCs w:val="21"/>
              </w:rPr>
              <w:t>葛晓阁</w:t>
            </w:r>
          </w:p>
        </w:tc>
        <w:tc>
          <w:tcPr>
            <w:tcW w:w="405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456" w:right="0"/>
              <w:jc w:val="left"/>
              <w:rPr>
                <w:rFonts w:ascii="Times New Roman" w:hAnsi="Times New Roman" w:cs="Times New Roman" w:eastAsia="Times New Roman" w:hint="default"/>
                <w:sz w:val="21"/>
                <w:szCs w:val="21"/>
              </w:rPr>
            </w:pPr>
            <w:r>
              <w:rPr>
                <w:rFonts w:ascii="Times New Roman"/>
                <w:sz w:val="21"/>
              </w:rPr>
              <w:t>164.70</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12"/>
              <w:jc w:val="center"/>
              <w:rPr>
                <w:rFonts w:ascii="Times New Roman" w:hAnsi="Times New Roman" w:cs="Times New Roman" w:eastAsia="Times New Roman" w:hint="default"/>
                <w:sz w:val="21"/>
                <w:szCs w:val="21"/>
              </w:rPr>
            </w:pPr>
            <w:r>
              <w:rPr>
                <w:rFonts w:ascii="Times New Roman"/>
                <w:sz w:val="21"/>
              </w:rPr>
              <w:t>5.77</w:t>
            </w:r>
          </w:p>
        </w:tc>
      </w:tr>
      <w:tr>
        <w:trPr>
          <w:trHeight w:val="310" w:hRule="exact"/>
        </w:trPr>
        <w:tc>
          <w:tcPr>
            <w:tcW w:w="2635" w:type="dxa"/>
            <w:tcBorders>
              <w:top w:val="nil" w:sz="6" w:space="0" w:color="auto"/>
              <w:left w:val="nil" w:sz="6" w:space="0" w:color="auto"/>
              <w:bottom w:val="nil" w:sz="6" w:space="0" w:color="auto"/>
              <w:right w:val="nil" w:sz="6" w:space="0" w:color="auto"/>
            </w:tcBorders>
          </w:tcPr>
          <w:p>
            <w:pPr>
              <w:pStyle w:val="TableParagraph"/>
              <w:spacing w:line="239" w:lineRule="exact"/>
              <w:ind w:left="723" w:right="0"/>
              <w:jc w:val="left"/>
              <w:rPr>
                <w:rFonts w:ascii="宋体" w:hAnsi="宋体" w:cs="宋体" w:eastAsia="宋体" w:hint="default"/>
                <w:sz w:val="21"/>
                <w:szCs w:val="21"/>
              </w:rPr>
            </w:pPr>
            <w:r>
              <w:rPr>
                <w:rFonts w:ascii="宋体" w:hAnsi="宋体" w:cs="宋体" w:eastAsia="宋体" w:hint="default"/>
                <w:sz w:val="21"/>
                <w:szCs w:val="21"/>
              </w:rPr>
              <w:t>郎金文</w:t>
            </w:r>
          </w:p>
        </w:tc>
        <w:tc>
          <w:tcPr>
            <w:tcW w:w="405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456" w:right="0"/>
              <w:jc w:val="left"/>
              <w:rPr>
                <w:rFonts w:ascii="Times New Roman" w:hAnsi="Times New Roman" w:cs="Times New Roman" w:eastAsia="Times New Roman" w:hint="default"/>
                <w:sz w:val="21"/>
                <w:szCs w:val="21"/>
              </w:rPr>
            </w:pPr>
            <w:r>
              <w:rPr>
                <w:rFonts w:ascii="Times New Roman"/>
                <w:sz w:val="21"/>
              </w:rPr>
              <w:t>164.70</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12"/>
              <w:jc w:val="center"/>
              <w:rPr>
                <w:rFonts w:ascii="Times New Roman" w:hAnsi="Times New Roman" w:cs="Times New Roman" w:eastAsia="Times New Roman" w:hint="default"/>
                <w:sz w:val="21"/>
                <w:szCs w:val="21"/>
              </w:rPr>
            </w:pPr>
            <w:r>
              <w:rPr>
                <w:rFonts w:ascii="Times New Roman"/>
                <w:sz w:val="21"/>
              </w:rPr>
              <w:t>5.77</w:t>
            </w:r>
          </w:p>
        </w:tc>
      </w:tr>
      <w:tr>
        <w:trPr>
          <w:trHeight w:val="310" w:hRule="exact"/>
        </w:trPr>
        <w:tc>
          <w:tcPr>
            <w:tcW w:w="2635" w:type="dxa"/>
            <w:tcBorders>
              <w:top w:val="nil" w:sz="6" w:space="0" w:color="auto"/>
              <w:left w:val="nil" w:sz="6" w:space="0" w:color="auto"/>
              <w:bottom w:val="nil" w:sz="6" w:space="0" w:color="auto"/>
              <w:right w:val="nil" w:sz="6" w:space="0" w:color="auto"/>
            </w:tcBorders>
          </w:tcPr>
          <w:p>
            <w:pPr>
              <w:pStyle w:val="TableParagraph"/>
              <w:spacing w:line="240" w:lineRule="exact"/>
              <w:ind w:left="723" w:right="0"/>
              <w:jc w:val="left"/>
              <w:rPr>
                <w:rFonts w:ascii="宋体" w:hAnsi="宋体" w:cs="宋体" w:eastAsia="宋体" w:hint="default"/>
                <w:sz w:val="21"/>
                <w:szCs w:val="21"/>
              </w:rPr>
            </w:pPr>
            <w:r>
              <w:rPr>
                <w:rFonts w:ascii="宋体" w:hAnsi="宋体" w:cs="宋体" w:eastAsia="宋体" w:hint="default"/>
                <w:sz w:val="21"/>
                <w:szCs w:val="21"/>
              </w:rPr>
              <w:t>陈振亚</w:t>
            </w:r>
          </w:p>
        </w:tc>
        <w:tc>
          <w:tcPr>
            <w:tcW w:w="405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507" w:right="0"/>
              <w:jc w:val="left"/>
              <w:rPr>
                <w:rFonts w:ascii="Times New Roman" w:hAnsi="Times New Roman" w:cs="Times New Roman" w:eastAsia="Times New Roman" w:hint="default"/>
                <w:sz w:val="21"/>
                <w:szCs w:val="21"/>
              </w:rPr>
            </w:pPr>
            <w:r>
              <w:rPr>
                <w:rFonts w:ascii="Times New Roman"/>
                <w:sz w:val="21"/>
              </w:rPr>
              <w:t>15.00</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11"/>
              <w:jc w:val="center"/>
              <w:rPr>
                <w:rFonts w:ascii="Times New Roman" w:hAnsi="Times New Roman" w:cs="Times New Roman" w:eastAsia="Times New Roman" w:hint="default"/>
                <w:sz w:val="21"/>
                <w:szCs w:val="21"/>
              </w:rPr>
            </w:pPr>
            <w:r>
              <w:rPr>
                <w:rFonts w:ascii="Times New Roman"/>
                <w:sz w:val="21"/>
              </w:rPr>
              <w:t>0.53</w:t>
            </w:r>
          </w:p>
        </w:tc>
      </w:tr>
      <w:tr>
        <w:trPr>
          <w:trHeight w:val="310" w:hRule="exact"/>
        </w:trPr>
        <w:tc>
          <w:tcPr>
            <w:tcW w:w="2635" w:type="dxa"/>
            <w:tcBorders>
              <w:top w:val="nil" w:sz="6" w:space="0" w:color="auto"/>
              <w:left w:val="nil" w:sz="6" w:space="0" w:color="auto"/>
              <w:bottom w:val="nil" w:sz="6" w:space="0" w:color="auto"/>
              <w:right w:val="nil" w:sz="6" w:space="0" w:color="auto"/>
            </w:tcBorders>
          </w:tcPr>
          <w:p>
            <w:pPr>
              <w:pStyle w:val="TableParagraph"/>
              <w:spacing w:line="239" w:lineRule="exact"/>
              <w:ind w:left="723" w:right="0"/>
              <w:jc w:val="left"/>
              <w:rPr>
                <w:rFonts w:ascii="宋体" w:hAnsi="宋体" w:cs="宋体" w:eastAsia="宋体" w:hint="default"/>
                <w:sz w:val="21"/>
                <w:szCs w:val="21"/>
              </w:rPr>
            </w:pPr>
            <w:r>
              <w:rPr>
                <w:rFonts w:ascii="宋体" w:hAnsi="宋体" w:cs="宋体" w:eastAsia="宋体" w:hint="default"/>
                <w:sz w:val="21"/>
                <w:szCs w:val="21"/>
              </w:rPr>
              <w:t>于照永</w:t>
            </w:r>
          </w:p>
        </w:tc>
        <w:tc>
          <w:tcPr>
            <w:tcW w:w="405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507" w:right="0"/>
              <w:jc w:val="left"/>
              <w:rPr>
                <w:rFonts w:ascii="Times New Roman" w:hAnsi="Times New Roman" w:cs="Times New Roman" w:eastAsia="Times New Roman" w:hint="default"/>
                <w:sz w:val="21"/>
                <w:szCs w:val="21"/>
              </w:rPr>
            </w:pPr>
            <w:r>
              <w:rPr>
                <w:rFonts w:ascii="Times New Roman"/>
                <w:sz w:val="21"/>
              </w:rPr>
              <w:t>15.00</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11"/>
              <w:jc w:val="center"/>
              <w:rPr>
                <w:rFonts w:ascii="Times New Roman" w:hAnsi="Times New Roman" w:cs="Times New Roman" w:eastAsia="Times New Roman" w:hint="default"/>
                <w:sz w:val="21"/>
                <w:szCs w:val="21"/>
              </w:rPr>
            </w:pPr>
            <w:r>
              <w:rPr>
                <w:rFonts w:ascii="Times New Roman"/>
                <w:sz w:val="21"/>
              </w:rPr>
              <w:t>0.53</w:t>
            </w:r>
          </w:p>
        </w:tc>
      </w:tr>
      <w:tr>
        <w:trPr>
          <w:trHeight w:val="310" w:hRule="exact"/>
        </w:trPr>
        <w:tc>
          <w:tcPr>
            <w:tcW w:w="2635" w:type="dxa"/>
            <w:tcBorders>
              <w:top w:val="nil" w:sz="6" w:space="0" w:color="auto"/>
              <w:left w:val="nil" w:sz="6" w:space="0" w:color="auto"/>
              <w:bottom w:val="nil" w:sz="6" w:space="0" w:color="auto"/>
              <w:right w:val="nil" w:sz="6" w:space="0" w:color="auto"/>
            </w:tcBorders>
          </w:tcPr>
          <w:p>
            <w:pPr>
              <w:pStyle w:val="TableParagraph"/>
              <w:spacing w:line="239" w:lineRule="exact"/>
              <w:ind w:left="723" w:right="0"/>
              <w:jc w:val="left"/>
              <w:rPr>
                <w:rFonts w:ascii="宋体" w:hAnsi="宋体" w:cs="宋体" w:eastAsia="宋体" w:hint="default"/>
                <w:sz w:val="21"/>
                <w:szCs w:val="21"/>
              </w:rPr>
            </w:pPr>
            <w:r>
              <w:rPr>
                <w:rFonts w:ascii="宋体" w:hAnsi="宋体" w:cs="宋体" w:eastAsia="宋体" w:hint="default"/>
                <w:sz w:val="21"/>
                <w:szCs w:val="21"/>
              </w:rPr>
              <w:t>王卓</w:t>
            </w:r>
          </w:p>
        </w:tc>
        <w:tc>
          <w:tcPr>
            <w:tcW w:w="405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507" w:right="0"/>
              <w:jc w:val="left"/>
              <w:rPr>
                <w:rFonts w:ascii="Times New Roman" w:hAnsi="Times New Roman" w:cs="Times New Roman" w:eastAsia="Times New Roman" w:hint="default"/>
                <w:sz w:val="21"/>
                <w:szCs w:val="21"/>
              </w:rPr>
            </w:pPr>
            <w:r>
              <w:rPr>
                <w:rFonts w:ascii="Times New Roman"/>
                <w:sz w:val="21"/>
              </w:rPr>
              <w:t>15.00</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11"/>
              <w:jc w:val="center"/>
              <w:rPr>
                <w:rFonts w:ascii="Times New Roman" w:hAnsi="Times New Roman" w:cs="Times New Roman" w:eastAsia="Times New Roman" w:hint="default"/>
                <w:sz w:val="21"/>
                <w:szCs w:val="21"/>
              </w:rPr>
            </w:pPr>
            <w:r>
              <w:rPr>
                <w:rFonts w:ascii="Times New Roman"/>
                <w:sz w:val="21"/>
              </w:rPr>
              <w:t>0.53</w:t>
            </w:r>
          </w:p>
        </w:tc>
      </w:tr>
      <w:tr>
        <w:trPr>
          <w:trHeight w:val="310" w:hRule="exact"/>
        </w:trPr>
        <w:tc>
          <w:tcPr>
            <w:tcW w:w="2635" w:type="dxa"/>
            <w:tcBorders>
              <w:top w:val="nil" w:sz="6" w:space="0" w:color="auto"/>
              <w:left w:val="nil" w:sz="6" w:space="0" w:color="auto"/>
              <w:bottom w:val="nil" w:sz="6" w:space="0" w:color="auto"/>
              <w:right w:val="nil" w:sz="6" w:space="0" w:color="auto"/>
            </w:tcBorders>
          </w:tcPr>
          <w:p>
            <w:pPr>
              <w:pStyle w:val="TableParagraph"/>
              <w:spacing w:line="240" w:lineRule="exact"/>
              <w:ind w:left="723" w:right="0"/>
              <w:jc w:val="left"/>
              <w:rPr>
                <w:rFonts w:ascii="宋体" w:hAnsi="宋体" w:cs="宋体" w:eastAsia="宋体" w:hint="default"/>
                <w:sz w:val="21"/>
                <w:szCs w:val="21"/>
              </w:rPr>
            </w:pPr>
            <w:r>
              <w:rPr>
                <w:rFonts w:ascii="宋体" w:hAnsi="宋体" w:cs="宋体" w:eastAsia="宋体" w:hint="default"/>
                <w:sz w:val="21"/>
                <w:szCs w:val="21"/>
              </w:rPr>
              <w:t>杨文寿</w:t>
            </w:r>
          </w:p>
        </w:tc>
        <w:tc>
          <w:tcPr>
            <w:tcW w:w="405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507" w:right="0"/>
              <w:jc w:val="left"/>
              <w:rPr>
                <w:rFonts w:ascii="Times New Roman" w:hAnsi="Times New Roman" w:cs="Times New Roman" w:eastAsia="Times New Roman" w:hint="default"/>
                <w:sz w:val="21"/>
                <w:szCs w:val="21"/>
              </w:rPr>
            </w:pPr>
            <w:r>
              <w:rPr>
                <w:rFonts w:ascii="Times New Roman"/>
                <w:sz w:val="21"/>
              </w:rPr>
              <w:t>15.00</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11"/>
              <w:jc w:val="center"/>
              <w:rPr>
                <w:rFonts w:ascii="Times New Roman" w:hAnsi="Times New Roman" w:cs="Times New Roman" w:eastAsia="Times New Roman" w:hint="default"/>
                <w:sz w:val="21"/>
                <w:szCs w:val="21"/>
              </w:rPr>
            </w:pPr>
            <w:r>
              <w:rPr>
                <w:rFonts w:ascii="Times New Roman"/>
                <w:sz w:val="21"/>
              </w:rPr>
              <w:t>0.53</w:t>
            </w:r>
          </w:p>
        </w:tc>
      </w:tr>
      <w:tr>
        <w:trPr>
          <w:trHeight w:val="310" w:hRule="exact"/>
        </w:trPr>
        <w:tc>
          <w:tcPr>
            <w:tcW w:w="2635" w:type="dxa"/>
            <w:tcBorders>
              <w:top w:val="nil" w:sz="6" w:space="0" w:color="auto"/>
              <w:left w:val="nil" w:sz="6" w:space="0" w:color="auto"/>
              <w:bottom w:val="nil" w:sz="6" w:space="0" w:color="auto"/>
              <w:right w:val="nil" w:sz="6" w:space="0" w:color="auto"/>
            </w:tcBorders>
          </w:tcPr>
          <w:p>
            <w:pPr>
              <w:pStyle w:val="TableParagraph"/>
              <w:spacing w:line="239" w:lineRule="exact"/>
              <w:ind w:left="723" w:right="0"/>
              <w:jc w:val="left"/>
              <w:rPr>
                <w:rFonts w:ascii="宋体" w:hAnsi="宋体" w:cs="宋体" w:eastAsia="宋体" w:hint="default"/>
                <w:sz w:val="21"/>
                <w:szCs w:val="21"/>
              </w:rPr>
            </w:pPr>
            <w:r>
              <w:rPr>
                <w:rFonts w:ascii="宋体" w:hAnsi="宋体" w:cs="宋体" w:eastAsia="宋体" w:hint="default"/>
                <w:sz w:val="21"/>
                <w:szCs w:val="21"/>
              </w:rPr>
              <w:t>邵彦超</w:t>
            </w:r>
          </w:p>
        </w:tc>
        <w:tc>
          <w:tcPr>
            <w:tcW w:w="405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507" w:right="0"/>
              <w:jc w:val="left"/>
              <w:rPr>
                <w:rFonts w:ascii="Times New Roman" w:hAnsi="Times New Roman" w:cs="Times New Roman" w:eastAsia="Times New Roman" w:hint="default"/>
                <w:sz w:val="21"/>
                <w:szCs w:val="21"/>
              </w:rPr>
            </w:pPr>
            <w:r>
              <w:rPr>
                <w:rFonts w:ascii="Times New Roman"/>
                <w:sz w:val="21"/>
              </w:rPr>
              <w:t>15.00</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11"/>
              <w:jc w:val="center"/>
              <w:rPr>
                <w:rFonts w:ascii="Times New Roman" w:hAnsi="Times New Roman" w:cs="Times New Roman" w:eastAsia="Times New Roman" w:hint="default"/>
                <w:sz w:val="21"/>
                <w:szCs w:val="21"/>
              </w:rPr>
            </w:pPr>
            <w:r>
              <w:rPr>
                <w:rFonts w:ascii="Times New Roman"/>
                <w:sz w:val="21"/>
              </w:rPr>
              <w:t>0.53</w:t>
            </w:r>
          </w:p>
        </w:tc>
      </w:tr>
      <w:tr>
        <w:trPr>
          <w:trHeight w:val="310" w:hRule="exact"/>
        </w:trPr>
        <w:tc>
          <w:tcPr>
            <w:tcW w:w="2635" w:type="dxa"/>
            <w:tcBorders>
              <w:top w:val="nil" w:sz="6" w:space="0" w:color="auto"/>
              <w:left w:val="nil" w:sz="6" w:space="0" w:color="auto"/>
              <w:bottom w:val="nil" w:sz="6" w:space="0" w:color="auto"/>
              <w:right w:val="nil" w:sz="6" w:space="0" w:color="auto"/>
            </w:tcBorders>
          </w:tcPr>
          <w:p>
            <w:pPr>
              <w:pStyle w:val="TableParagraph"/>
              <w:spacing w:line="239" w:lineRule="exact"/>
              <w:ind w:left="723" w:right="0"/>
              <w:jc w:val="left"/>
              <w:rPr>
                <w:rFonts w:ascii="宋体" w:hAnsi="宋体" w:cs="宋体" w:eastAsia="宋体" w:hint="default"/>
                <w:sz w:val="21"/>
                <w:szCs w:val="21"/>
              </w:rPr>
            </w:pPr>
            <w:r>
              <w:rPr>
                <w:rFonts w:ascii="宋体" w:hAnsi="宋体" w:cs="宋体" w:eastAsia="宋体" w:hint="default"/>
                <w:sz w:val="21"/>
                <w:szCs w:val="21"/>
              </w:rPr>
              <w:t>李永革</w:t>
            </w:r>
          </w:p>
        </w:tc>
        <w:tc>
          <w:tcPr>
            <w:tcW w:w="405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507" w:right="0"/>
              <w:jc w:val="left"/>
              <w:rPr>
                <w:rFonts w:ascii="Times New Roman" w:hAnsi="Times New Roman" w:cs="Times New Roman" w:eastAsia="Times New Roman" w:hint="default"/>
                <w:sz w:val="21"/>
                <w:szCs w:val="21"/>
              </w:rPr>
            </w:pPr>
            <w:r>
              <w:rPr>
                <w:rFonts w:ascii="Times New Roman"/>
                <w:sz w:val="21"/>
              </w:rPr>
              <w:t>15.00</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11"/>
              <w:jc w:val="center"/>
              <w:rPr>
                <w:rFonts w:ascii="Times New Roman" w:hAnsi="Times New Roman" w:cs="Times New Roman" w:eastAsia="Times New Roman" w:hint="default"/>
                <w:sz w:val="21"/>
                <w:szCs w:val="21"/>
              </w:rPr>
            </w:pPr>
            <w:r>
              <w:rPr>
                <w:rFonts w:ascii="Times New Roman"/>
                <w:sz w:val="21"/>
              </w:rPr>
              <w:t>0.53</w:t>
            </w:r>
          </w:p>
        </w:tc>
      </w:tr>
      <w:tr>
        <w:trPr>
          <w:trHeight w:val="300" w:hRule="exact"/>
        </w:trPr>
        <w:tc>
          <w:tcPr>
            <w:tcW w:w="2635" w:type="dxa"/>
            <w:tcBorders>
              <w:top w:val="nil" w:sz="6" w:space="0" w:color="auto"/>
              <w:left w:val="nil" w:sz="6" w:space="0" w:color="auto"/>
              <w:bottom w:val="single" w:sz="12" w:space="0" w:color="000000"/>
              <w:right w:val="nil" w:sz="6" w:space="0" w:color="auto"/>
            </w:tcBorders>
          </w:tcPr>
          <w:p>
            <w:pPr>
              <w:pStyle w:val="TableParagraph"/>
              <w:spacing w:line="240" w:lineRule="exact"/>
              <w:ind w:left="7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052" w:type="dxa"/>
            <w:tcBorders>
              <w:top w:val="nil" w:sz="6" w:space="0" w:color="auto"/>
              <w:left w:val="nil" w:sz="6" w:space="0" w:color="auto"/>
              <w:bottom w:val="single" w:sz="12" w:space="0" w:color="000000"/>
              <w:right w:val="nil" w:sz="6" w:space="0" w:color="auto"/>
            </w:tcBorders>
          </w:tcPr>
          <w:p>
            <w:pPr>
              <w:pStyle w:val="TableParagraph"/>
              <w:spacing w:line="240" w:lineRule="auto" w:before="14"/>
              <w:ind w:left="2377" w:right="0"/>
              <w:jc w:val="left"/>
              <w:rPr>
                <w:rFonts w:ascii="Times New Roman" w:hAnsi="Times New Roman" w:cs="Times New Roman" w:eastAsia="Times New Roman" w:hint="default"/>
                <w:sz w:val="21"/>
                <w:szCs w:val="21"/>
              </w:rPr>
            </w:pPr>
            <w:r>
              <w:rPr>
                <w:rFonts w:ascii="Times New Roman"/>
                <w:sz w:val="21"/>
              </w:rPr>
              <w:t>2,850.00</w:t>
            </w:r>
          </w:p>
        </w:tc>
        <w:tc>
          <w:tcPr>
            <w:tcW w:w="2281" w:type="dxa"/>
            <w:tcBorders>
              <w:top w:val="nil" w:sz="6" w:space="0" w:color="auto"/>
              <w:left w:val="nil" w:sz="6" w:space="0" w:color="auto"/>
              <w:bottom w:val="single" w:sz="12" w:space="0" w:color="000000"/>
              <w:right w:val="nil" w:sz="6" w:space="0" w:color="auto"/>
            </w:tcBorders>
          </w:tcPr>
          <w:p>
            <w:pPr>
              <w:pStyle w:val="TableParagraph"/>
              <w:spacing w:line="240" w:lineRule="auto" w:before="14"/>
              <w:ind w:right="101"/>
              <w:jc w:val="center"/>
              <w:rPr>
                <w:rFonts w:ascii="Times New Roman" w:hAnsi="Times New Roman" w:cs="Times New Roman" w:eastAsia="Times New Roman" w:hint="default"/>
                <w:sz w:val="21"/>
                <w:szCs w:val="21"/>
              </w:rPr>
            </w:pPr>
            <w:r>
              <w:rPr>
                <w:rFonts w:ascii="Times New Roman"/>
                <w:sz w:val="21"/>
              </w:rPr>
              <w:t>100.00</w:t>
            </w:r>
          </w:p>
        </w:tc>
      </w:tr>
    </w:tbl>
    <w:p>
      <w:pPr>
        <w:pStyle w:val="BodyText"/>
        <w:spacing w:line="240" w:lineRule="auto" w:before="45"/>
        <w:ind w:left="574" w:right="0"/>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年增资及股权转让</w:t>
      </w:r>
    </w:p>
    <w:p>
      <w:pPr>
        <w:pStyle w:val="BodyText"/>
        <w:spacing w:line="240" w:lineRule="auto" w:before="109"/>
        <w:ind w:left="573" w:right="0"/>
        <w:jc w:val="left"/>
      </w:pPr>
      <w:r>
        <w:rPr/>
        <w:t>根据本公司</w:t>
      </w:r>
      <w:r>
        <w:rPr>
          <w:spacing w:val="-4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年第一次临时股东大会决议和修改后的章程规定，本公司按每股</w:t>
      </w:r>
      <w:r>
        <w:rPr>
          <w:spacing w:val="-46"/>
        </w:rPr>
        <w:t> </w:t>
      </w:r>
      <w:r>
        <w:rPr>
          <w:rFonts w:ascii="Times New Roman" w:hAnsi="Times New Roman" w:cs="Times New Roman" w:eastAsia="Times New Roman" w:hint="default"/>
        </w:rPr>
        <w:t>2.20</w:t>
      </w:r>
      <w:r>
        <w:rPr>
          <w:rFonts w:ascii="Times New Roman" w:hAnsi="Times New Roman" w:cs="Times New Roman" w:eastAsia="Times New Roman" w:hint="default"/>
          <w:spacing w:val="7"/>
        </w:rPr>
        <w:t> </w:t>
      </w:r>
      <w:r>
        <w:rPr/>
        <w:t>元的价格向公</w:t>
      </w:r>
    </w:p>
    <w:p>
      <w:pPr>
        <w:spacing w:after="0" w:line="240" w:lineRule="auto"/>
        <w:jc w:val="left"/>
        <w:sectPr>
          <w:pgSz w:w="11910" w:h="16840"/>
          <w:pgMar w:header="877" w:footer="982" w:top="1100" w:bottom="1180" w:left="980" w:right="880"/>
        </w:sectPr>
      </w:pPr>
    </w:p>
    <w:p>
      <w:pPr>
        <w:spacing w:line="240" w:lineRule="auto" w:before="7"/>
        <w:rPr>
          <w:rFonts w:ascii="宋体" w:hAnsi="宋体" w:cs="宋体" w:eastAsia="宋体" w:hint="default"/>
          <w:sz w:val="27"/>
          <w:szCs w:val="27"/>
        </w:rPr>
      </w:pPr>
    </w:p>
    <w:p>
      <w:pPr>
        <w:pStyle w:val="BodyText"/>
        <w:spacing w:line="240" w:lineRule="auto" w:before="35"/>
        <w:ind w:right="0"/>
        <w:jc w:val="left"/>
      </w:pPr>
      <w:r>
        <w:rPr/>
        <w:t>司员工进行定向增资，申请增加注册资本人民币</w:t>
      </w:r>
      <w:r>
        <w:rPr>
          <w:spacing w:val="-40"/>
        </w:rPr>
        <w:t> </w:t>
      </w:r>
      <w:r>
        <w:rPr>
          <w:rFonts w:ascii="Times New Roman" w:hAnsi="Times New Roman" w:cs="Times New Roman" w:eastAsia="Times New Roman" w:hint="default"/>
        </w:rPr>
        <w:t>156.00</w:t>
      </w:r>
      <w:r>
        <w:rPr>
          <w:rFonts w:ascii="Times New Roman" w:hAnsi="Times New Roman" w:cs="Times New Roman" w:eastAsia="Times New Roman" w:hint="default"/>
          <w:spacing w:val="13"/>
        </w:rPr>
        <w:t> </w:t>
      </w:r>
      <w:r>
        <w:rPr/>
        <w:t>万元，每股面值</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元，计增加股本</w:t>
      </w:r>
      <w:r>
        <w:rPr>
          <w:spacing w:val="-40"/>
        </w:rPr>
        <w:t> </w:t>
      </w:r>
      <w:r>
        <w:rPr>
          <w:rFonts w:ascii="Times New Roman" w:hAnsi="Times New Roman" w:cs="Times New Roman" w:eastAsia="Times New Roman" w:hint="default"/>
        </w:rPr>
        <w:t>156.00</w:t>
      </w:r>
      <w:r>
        <w:rPr>
          <w:rFonts w:ascii="Times New Roman" w:hAnsi="Times New Roman" w:cs="Times New Roman" w:eastAsia="Times New Roman" w:hint="default"/>
          <w:spacing w:val="13"/>
        </w:rPr>
        <w:t> </w:t>
      </w:r>
      <w:r>
        <w:rPr/>
        <w:t>万元，</w:t>
      </w:r>
    </w:p>
    <w:p>
      <w:pPr>
        <w:pStyle w:val="BodyText"/>
        <w:spacing w:line="240" w:lineRule="auto" w:before="109"/>
        <w:ind w:left="153" w:right="0"/>
        <w:jc w:val="left"/>
      </w:pPr>
      <w:r>
        <w:rPr/>
        <w:t>变更后注册资本为人民币</w:t>
      </w:r>
      <w:r>
        <w:rPr>
          <w:spacing w:val="-51"/>
        </w:rPr>
        <w:t> </w:t>
      </w:r>
      <w:r>
        <w:rPr>
          <w:rFonts w:ascii="Times New Roman" w:hAnsi="Times New Roman" w:cs="Times New Roman" w:eastAsia="Times New Roman" w:hint="default"/>
        </w:rPr>
        <w:t>3,006.00</w:t>
      </w:r>
      <w:r>
        <w:rPr>
          <w:rFonts w:ascii="Times New Roman" w:hAnsi="Times New Roman" w:cs="Times New Roman" w:eastAsia="Times New Roman" w:hint="default"/>
          <w:spacing w:val="1"/>
        </w:rPr>
        <w:t> </w:t>
      </w:r>
      <w:r>
        <w:rPr>
          <w:spacing w:val="-4"/>
        </w:rPr>
        <w:t>万元，已经河南盛元联合会计师事务所审验，并出具豫盛元验资（</w:t>
      </w:r>
      <w:r>
        <w:rPr>
          <w:rFonts w:ascii="Times New Roman" w:hAnsi="Times New Roman" w:cs="Times New Roman" w:eastAsia="Times New Roman" w:hint="default"/>
          <w:spacing w:val="-4"/>
        </w:rPr>
        <w:t>2010</w:t>
      </w:r>
      <w:r>
        <w:rPr>
          <w:spacing w:val="-4"/>
        </w:rPr>
        <w:t>）</w:t>
      </w:r>
    </w:p>
    <w:p>
      <w:pPr>
        <w:pStyle w:val="BodyText"/>
        <w:spacing w:line="240" w:lineRule="auto" w:before="110"/>
        <w:ind w:left="153" w:right="0"/>
        <w:jc w:val="left"/>
      </w:pPr>
      <w:r>
        <w:rPr/>
        <w:t>第</w:t>
      </w:r>
      <w:r>
        <w:rPr>
          <w:spacing w:val="-55"/>
        </w:rPr>
        <w:t> </w:t>
      </w:r>
      <w:r>
        <w:rPr>
          <w:rFonts w:ascii="Times New Roman" w:hAnsi="Times New Roman" w:cs="Times New Roman" w:eastAsia="Times New Roman" w:hint="default"/>
        </w:rPr>
        <w:t>03002</w:t>
      </w:r>
      <w:r>
        <w:rPr>
          <w:rFonts w:ascii="Times New Roman" w:hAnsi="Times New Roman" w:cs="Times New Roman" w:eastAsia="Times New Roman" w:hint="default"/>
          <w:spacing w:val="-2"/>
        </w:rPr>
        <w:t> </w:t>
      </w:r>
      <w:r>
        <w:rPr/>
        <w:t>号验资报告。</w:t>
      </w:r>
    </w:p>
    <w:p>
      <w:pPr>
        <w:pStyle w:val="BodyText"/>
        <w:spacing w:line="240" w:lineRule="auto" w:before="109"/>
        <w:ind w:left="679"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24</w:t>
      </w:r>
      <w:r>
        <w:rPr>
          <w:rFonts w:ascii="Times New Roman" w:hAnsi="Times New Roman" w:cs="Times New Roman" w:eastAsia="Times New Roman" w:hint="default"/>
          <w:spacing w:val="3"/>
        </w:rPr>
        <w:t> </w:t>
      </w:r>
      <w:r>
        <w:rPr/>
        <w:t>日，根据本公司</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年第二次临时股东大会决议和修改后的章程规定，本公司按每</w:t>
      </w:r>
    </w:p>
    <w:p>
      <w:pPr>
        <w:pStyle w:val="BodyText"/>
        <w:spacing w:line="240" w:lineRule="auto" w:before="109"/>
        <w:ind w:right="0"/>
        <w:jc w:val="left"/>
      </w:pPr>
      <w:r>
        <w:rPr/>
        <w:t>股</w:t>
      </w:r>
      <w:r>
        <w:rPr>
          <w:spacing w:val="-60"/>
        </w:rPr>
        <w:t> </w:t>
      </w:r>
      <w:r>
        <w:rPr>
          <w:rFonts w:ascii="Times New Roman" w:hAnsi="Times New Roman" w:cs="Times New Roman" w:eastAsia="Times New Roman" w:hint="default"/>
        </w:rPr>
        <w:t>5.38</w:t>
      </w:r>
      <w:r>
        <w:rPr>
          <w:rFonts w:ascii="Times New Roman" w:hAnsi="Times New Roman" w:cs="Times New Roman" w:eastAsia="Times New Roman" w:hint="default"/>
          <w:spacing w:val="-8"/>
        </w:rPr>
        <w:t> </w:t>
      </w:r>
      <w:r>
        <w:rPr/>
        <w:t>元的价格向无锡国联卓成创业投资有限公司进行定向增资，申请增加注册资本人民币</w:t>
      </w:r>
      <w:r>
        <w:rPr>
          <w:spacing w:val="-60"/>
        </w:rPr>
        <w:t> </w:t>
      </w:r>
      <w:r>
        <w:rPr>
          <w:rFonts w:ascii="Times New Roman" w:hAnsi="Times New Roman" w:cs="Times New Roman" w:eastAsia="Times New Roman" w:hint="default"/>
        </w:rPr>
        <w:t>334.00</w:t>
      </w:r>
      <w:r>
        <w:rPr>
          <w:rFonts w:ascii="Times New Roman" w:hAnsi="Times New Roman" w:cs="Times New Roman" w:eastAsia="Times New Roman" w:hint="default"/>
          <w:spacing w:val="-8"/>
        </w:rPr>
        <w:t> </w:t>
      </w:r>
      <w:r>
        <w:rPr/>
        <w:t>万元，</w:t>
      </w:r>
    </w:p>
    <w:p>
      <w:pPr>
        <w:pStyle w:val="BodyText"/>
        <w:spacing w:line="240" w:lineRule="auto" w:before="110"/>
        <w:ind w:right="0"/>
        <w:jc w:val="left"/>
      </w:pPr>
      <w:r>
        <w:rPr/>
        <w:t>每股面值</w:t>
      </w:r>
      <w:r>
        <w:rPr>
          <w:spacing w:val="-63"/>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spacing w:val="-4"/>
        </w:rPr>
        <w:t>元，计增加股本</w:t>
      </w:r>
      <w:r>
        <w:rPr>
          <w:spacing w:val="-63"/>
        </w:rPr>
        <w:t> </w:t>
      </w:r>
      <w:r>
        <w:rPr>
          <w:rFonts w:ascii="Times New Roman" w:hAnsi="Times New Roman" w:cs="Times New Roman" w:eastAsia="Times New Roman" w:hint="default"/>
        </w:rPr>
        <w:t>334.00</w:t>
      </w:r>
      <w:r>
        <w:rPr>
          <w:rFonts w:ascii="Times New Roman" w:hAnsi="Times New Roman" w:cs="Times New Roman" w:eastAsia="Times New Roman" w:hint="default"/>
          <w:spacing w:val="-11"/>
        </w:rPr>
        <w:t> </w:t>
      </w:r>
      <w:r>
        <w:rPr/>
        <w:t>万元，实际出资额超过股本的</w:t>
      </w:r>
      <w:r>
        <w:rPr>
          <w:spacing w:val="-63"/>
        </w:rPr>
        <w:t> </w:t>
      </w:r>
      <w:r>
        <w:rPr>
          <w:rFonts w:ascii="Times New Roman" w:hAnsi="Times New Roman" w:cs="Times New Roman" w:eastAsia="Times New Roman" w:hint="default"/>
        </w:rPr>
        <w:t>1,466.60</w:t>
      </w:r>
      <w:r>
        <w:rPr>
          <w:rFonts w:ascii="Times New Roman" w:hAnsi="Times New Roman" w:cs="Times New Roman" w:eastAsia="Times New Roman" w:hint="default"/>
          <w:spacing w:val="-10"/>
        </w:rPr>
        <w:t> </w:t>
      </w:r>
      <w:r>
        <w:rPr/>
        <w:t>万计入资本公积，变更后注册资</w:t>
      </w:r>
    </w:p>
    <w:p>
      <w:pPr>
        <w:pStyle w:val="BodyText"/>
        <w:spacing w:line="328" w:lineRule="auto" w:before="109"/>
        <w:ind w:right="245"/>
        <w:jc w:val="left"/>
      </w:pPr>
      <w:r>
        <w:rPr/>
        <w:t>本为人民币</w:t>
      </w:r>
      <w:r>
        <w:rPr>
          <w:spacing w:val="-44"/>
        </w:rPr>
        <w:t> </w:t>
      </w:r>
      <w:r>
        <w:rPr>
          <w:rFonts w:ascii="Times New Roman" w:hAnsi="Times New Roman" w:cs="Times New Roman" w:eastAsia="Times New Roman" w:hint="default"/>
        </w:rPr>
        <w:t>3,340.00</w:t>
      </w:r>
      <w:r>
        <w:rPr>
          <w:rFonts w:ascii="Times New Roman" w:hAnsi="Times New Roman" w:cs="Times New Roman" w:eastAsia="Times New Roman" w:hint="default"/>
          <w:spacing w:val="9"/>
        </w:rPr>
        <w:t> </w:t>
      </w:r>
      <w:r>
        <w:rPr/>
        <w:t>万元，已经河南盛元联合会计师事务所审验，并出具豫盛元验字</w:t>
      </w:r>
      <w:r>
        <w:rPr>
          <w:rFonts w:ascii="Times New Roman" w:hAnsi="Times New Roman" w:cs="Times New Roman" w:eastAsia="Times New Roman" w:hint="default"/>
        </w:rPr>
        <w:t>(2010)</w:t>
      </w:r>
      <w:r>
        <w:rPr/>
        <w:t>第</w:t>
      </w:r>
      <w:r>
        <w:rPr>
          <w:spacing w:val="-44"/>
        </w:rPr>
        <w:t> </w:t>
      </w:r>
      <w:r>
        <w:rPr>
          <w:rFonts w:ascii="Times New Roman" w:hAnsi="Times New Roman" w:cs="Times New Roman" w:eastAsia="Times New Roman" w:hint="default"/>
        </w:rPr>
        <w:t>03003</w:t>
      </w:r>
      <w:r>
        <w:rPr>
          <w:rFonts w:ascii="Times New Roman" w:hAnsi="Times New Roman" w:cs="Times New Roman" w:eastAsia="Times New Roman" w:hint="default"/>
          <w:spacing w:val="9"/>
        </w:rPr>
        <w:t> </w:t>
      </w:r>
      <w:r>
        <w:rPr/>
        <w:t>号验 资报告。</w:t>
      </w:r>
    </w:p>
    <w:p>
      <w:pPr>
        <w:pStyle w:val="BodyText"/>
        <w:spacing w:line="240" w:lineRule="auto" w:before="48"/>
        <w:ind w:left="555" w:right="235"/>
        <w:jc w:val="center"/>
      </w:pPr>
      <w:r>
        <w:rPr/>
        <w:t>根据本公司 </w:t>
      </w:r>
      <w:r>
        <w:rPr>
          <w:rFonts w:ascii="Times New Roman" w:hAnsi="Times New Roman" w:cs="Times New Roman" w:eastAsia="Times New Roman" w:hint="default"/>
        </w:rPr>
        <w:t>2010</w:t>
      </w:r>
      <w:r>
        <w:rPr>
          <w:rFonts w:ascii="Times New Roman" w:hAnsi="Times New Roman" w:cs="Times New Roman" w:eastAsia="Times New Roman" w:hint="default"/>
          <w:spacing w:val="26"/>
        </w:rPr>
        <w:t> </w:t>
      </w:r>
      <w:r>
        <w:rPr/>
        <w:t>年第二次临时股东大会决议和修改后的章程及股份转让合同规定，股份转让方华梦</w:t>
      </w:r>
    </w:p>
    <w:p>
      <w:pPr>
        <w:pStyle w:val="BodyText"/>
        <w:spacing w:line="328" w:lineRule="auto" w:before="109"/>
        <w:ind w:right="241" w:hanging="1"/>
        <w:jc w:val="left"/>
      </w:pPr>
      <w:r>
        <w:rPr/>
        <w:t>阳、赵利宾、傅常顺、尚卫国、刘恩臣分别将其持有本公司股份共计</w:t>
      </w:r>
      <w:r>
        <w:rPr>
          <w:spacing w:val="-34"/>
        </w:rPr>
        <w:t> </w:t>
      </w:r>
      <w:r>
        <w:rPr>
          <w:rFonts w:ascii="Times New Roman" w:hAnsi="Times New Roman" w:cs="Times New Roman" w:eastAsia="Times New Roman" w:hint="default"/>
        </w:rPr>
        <w:t>147.00</w:t>
      </w:r>
      <w:r>
        <w:rPr>
          <w:rFonts w:ascii="Times New Roman" w:hAnsi="Times New Roman" w:cs="Times New Roman" w:eastAsia="Times New Roman" w:hint="default"/>
          <w:spacing w:val="19"/>
        </w:rPr>
        <w:t> </w:t>
      </w:r>
      <w:r>
        <w:rPr/>
        <w:t>万股以</w:t>
      </w:r>
      <w:r>
        <w:rPr>
          <w:spacing w:val="-34"/>
        </w:rPr>
        <w:t> </w:t>
      </w:r>
      <w:r>
        <w:rPr>
          <w:rFonts w:ascii="Times New Roman" w:hAnsi="Times New Roman" w:cs="Times New Roman" w:eastAsia="Times New Roman" w:hint="default"/>
        </w:rPr>
        <w:t>147.00</w:t>
      </w:r>
      <w:r>
        <w:rPr>
          <w:rFonts w:ascii="Times New Roman" w:hAnsi="Times New Roman" w:cs="Times New Roman" w:eastAsia="Times New Roman" w:hint="default"/>
          <w:spacing w:val="19"/>
        </w:rPr>
        <w:t> </w:t>
      </w:r>
      <w:r>
        <w:rPr/>
        <w:t>万的价格转让 给张振京等 </w:t>
      </w:r>
      <w:r>
        <w:rPr>
          <w:rFonts w:ascii="Times New Roman" w:hAnsi="Times New Roman" w:cs="Times New Roman" w:eastAsia="Times New Roman" w:hint="default"/>
          <w:spacing w:val="-1"/>
        </w:rPr>
        <w:t>43</w:t>
      </w:r>
      <w:r>
        <w:rPr>
          <w:rFonts w:ascii="Times New Roman" w:hAnsi="Times New Roman" w:cs="Times New Roman" w:eastAsia="Times New Roman" w:hint="default"/>
        </w:rPr>
        <w:t> </w:t>
      </w:r>
      <w:r>
        <w:rPr>
          <w:spacing w:val="-1"/>
        </w:rPr>
        <w:t>位公司员工。股权转让已经河南产权交易中心鉴证（豫产交鉴</w:t>
      </w:r>
      <w:r>
        <w:rPr>
          <w:rFonts w:ascii="Times New Roman" w:hAnsi="Times New Roman" w:cs="Times New Roman" w:eastAsia="Times New Roman" w:hint="default"/>
          <w:spacing w:val="-1"/>
        </w:rPr>
        <w:t>[2010]18</w:t>
      </w:r>
      <w:r>
        <w:rPr>
          <w:rFonts w:ascii="Times New Roman" w:hAnsi="Times New Roman" w:cs="Times New Roman" w:eastAsia="Times New Roman" w:hint="default"/>
          <w:spacing w:val="-22"/>
        </w:rPr>
        <w:t> </w:t>
      </w:r>
      <w:r>
        <w:rPr>
          <w:spacing w:val="-35"/>
        </w:rPr>
        <w:t>号）。</w:t>
      </w:r>
    </w:p>
    <w:p>
      <w:pPr>
        <w:pStyle w:val="BodyText"/>
        <w:spacing w:line="240" w:lineRule="auto" w:before="24"/>
        <w:ind w:left="769" w:right="0"/>
        <w:jc w:val="left"/>
      </w:pPr>
      <w:r>
        <w:rPr/>
        <w:pict>
          <v:group style="position:absolute;margin-left:94.199997pt;margin-top:17.929604pt;width:451.3pt;height:455.5pt;mso-position-horizontal-relative:page;mso-position-vertical-relative:paragraph;z-index:-1166728" coordorigin="1884,359" coordsize="9026,9110">
            <v:shape style="position:absolute;left:5889;top:359;width:3108;height:379" type="#_x0000_t75" stroked="false">
              <v:imagedata r:id="rId45" o:title=""/>
            </v:shape>
            <v:shape style="position:absolute;left:1884;top:696;width:9025;height:8772" type="#_x0000_t75" stroked="false">
              <v:imagedata r:id="rId46" o:title=""/>
            </v:shape>
            <w10:wrap type="none"/>
          </v:group>
        </w:pict>
      </w:r>
      <w:r>
        <w:rPr/>
        <w:t>增加注册资本及股份转让后，各股东认缴注册资本额和出资比例为：</w:t>
      </w:r>
    </w:p>
    <w:p>
      <w:pPr>
        <w:spacing w:line="240" w:lineRule="auto" w:before="12"/>
        <w:rPr>
          <w:rFonts w:ascii="宋体" w:hAnsi="宋体" w:cs="宋体" w:eastAsia="宋体" w:hint="default"/>
          <w:sz w:val="4"/>
          <w:szCs w:val="4"/>
        </w:rPr>
      </w:pPr>
    </w:p>
    <w:tbl>
      <w:tblPr>
        <w:tblW w:w="0" w:type="auto"/>
        <w:jc w:val="left"/>
        <w:tblInd w:w="932" w:type="dxa"/>
        <w:tblLayout w:type="fixed"/>
        <w:tblCellMar>
          <w:top w:w="0" w:type="dxa"/>
          <w:left w:w="0" w:type="dxa"/>
          <w:bottom w:w="0" w:type="dxa"/>
          <w:right w:w="0" w:type="dxa"/>
        </w:tblCellMar>
        <w:tblLook w:val="01E0"/>
      </w:tblPr>
      <w:tblGrid>
        <w:gridCol w:w="3578"/>
        <w:gridCol w:w="3215"/>
        <w:gridCol w:w="2174"/>
      </w:tblGrid>
      <w:tr>
        <w:trPr>
          <w:trHeight w:val="393" w:hRule="exact"/>
        </w:trPr>
        <w:tc>
          <w:tcPr>
            <w:tcW w:w="3578" w:type="dxa"/>
            <w:tcBorders>
              <w:top w:val="single" w:sz="12" w:space="0" w:color="000000"/>
              <w:left w:val="nil" w:sz="6" w:space="0" w:color="auto"/>
              <w:bottom w:val="nil" w:sz="6" w:space="0" w:color="auto"/>
              <w:right w:val="nil" w:sz="6" w:space="0" w:color="auto"/>
            </w:tcBorders>
          </w:tcPr>
          <w:p>
            <w:pPr>
              <w:pStyle w:val="TableParagraph"/>
              <w:spacing w:line="240" w:lineRule="auto" w:before="27"/>
              <w:ind w:left="723" w:right="0"/>
              <w:jc w:val="left"/>
              <w:rPr>
                <w:rFonts w:ascii="宋体" w:hAnsi="宋体" w:cs="宋体" w:eastAsia="宋体" w:hint="default"/>
                <w:sz w:val="21"/>
                <w:szCs w:val="21"/>
              </w:rPr>
            </w:pPr>
            <w:r>
              <w:rPr>
                <w:rFonts w:ascii="宋体" w:hAnsi="宋体" w:cs="宋体" w:eastAsia="宋体" w:hint="default"/>
                <w:sz w:val="21"/>
                <w:szCs w:val="21"/>
              </w:rPr>
              <w:t>投资方</w:t>
            </w:r>
          </w:p>
        </w:tc>
        <w:tc>
          <w:tcPr>
            <w:tcW w:w="3215" w:type="dxa"/>
            <w:tcBorders>
              <w:top w:val="single" w:sz="12" w:space="0" w:color="000000"/>
              <w:left w:val="nil" w:sz="6" w:space="0" w:color="auto"/>
              <w:bottom w:val="nil" w:sz="6" w:space="0" w:color="auto"/>
              <w:right w:val="nil" w:sz="6" w:space="0" w:color="auto"/>
            </w:tcBorders>
          </w:tcPr>
          <w:p>
            <w:pPr>
              <w:pStyle w:val="TableParagraph"/>
              <w:spacing w:line="240" w:lineRule="auto" w:before="27"/>
              <w:ind w:left="530" w:right="0"/>
              <w:jc w:val="left"/>
              <w:rPr>
                <w:rFonts w:ascii="宋体" w:hAnsi="宋体" w:cs="宋体" w:eastAsia="宋体" w:hint="default"/>
                <w:sz w:val="21"/>
                <w:szCs w:val="21"/>
              </w:rPr>
            </w:pPr>
            <w:r>
              <w:rPr>
                <w:rFonts w:ascii="宋体" w:hAnsi="宋体" w:cs="宋体" w:eastAsia="宋体" w:hint="default"/>
                <w:sz w:val="21"/>
                <w:szCs w:val="21"/>
              </w:rPr>
              <w:t>认缴注册资本额（万元）</w:t>
            </w:r>
          </w:p>
        </w:tc>
        <w:tc>
          <w:tcPr>
            <w:tcW w:w="2174" w:type="dxa"/>
            <w:tcBorders>
              <w:top w:val="single" w:sz="12" w:space="0" w:color="000000"/>
              <w:left w:val="nil" w:sz="6" w:space="0" w:color="auto"/>
              <w:bottom w:val="nil" w:sz="6" w:space="0" w:color="auto"/>
              <w:right w:val="nil" w:sz="6" w:space="0" w:color="auto"/>
            </w:tcBorders>
          </w:tcPr>
          <w:p>
            <w:pPr>
              <w:pStyle w:val="TableParagraph"/>
              <w:spacing w:line="240" w:lineRule="auto" w:before="27"/>
              <w:ind w:right="362"/>
              <w:jc w:val="right"/>
              <w:rPr>
                <w:rFonts w:ascii="宋体" w:hAnsi="宋体" w:cs="宋体" w:eastAsia="宋体" w:hint="default"/>
                <w:sz w:val="21"/>
                <w:szCs w:val="21"/>
              </w:rPr>
            </w:pPr>
            <w:r>
              <w:rPr>
                <w:rFonts w:ascii="宋体" w:hAnsi="宋体" w:cs="宋体" w:eastAsia="宋体" w:hint="default"/>
                <w:sz w:val="21"/>
                <w:szCs w:val="21"/>
              </w:rPr>
              <w:t>出资比例（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0" w:hRule="exact"/>
        </w:trPr>
        <w:tc>
          <w:tcPr>
            <w:tcW w:w="3578"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杨维国</w:t>
            </w:r>
          </w:p>
        </w:tc>
        <w:tc>
          <w:tcPr>
            <w:tcW w:w="321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891" w:right="0"/>
              <w:jc w:val="left"/>
              <w:rPr>
                <w:rFonts w:ascii="Times New Roman" w:hAnsi="Times New Roman" w:cs="Times New Roman" w:eastAsia="Times New Roman" w:hint="default"/>
                <w:sz w:val="21"/>
                <w:szCs w:val="21"/>
              </w:rPr>
            </w:pPr>
            <w:r>
              <w:rPr>
                <w:rFonts w:ascii="Times New Roman"/>
                <w:sz w:val="21"/>
              </w:rPr>
              <w:t>1,060.00</w:t>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98"/>
              <w:jc w:val="right"/>
              <w:rPr>
                <w:rFonts w:ascii="Times New Roman" w:hAnsi="Times New Roman" w:cs="Times New Roman" w:eastAsia="Times New Roman" w:hint="default"/>
                <w:sz w:val="21"/>
                <w:szCs w:val="21"/>
              </w:rPr>
            </w:pPr>
            <w:r>
              <w:rPr>
                <w:rFonts w:ascii="Times New Roman"/>
                <w:spacing w:val="-1"/>
                <w:sz w:val="21"/>
              </w:rPr>
              <w:t>31.7365</w:t>
            </w:r>
          </w:p>
        </w:tc>
      </w:tr>
      <w:tr>
        <w:trPr>
          <w:trHeight w:val="350" w:hRule="exact"/>
        </w:trPr>
        <w:tc>
          <w:tcPr>
            <w:tcW w:w="3578" w:type="dxa"/>
            <w:tcBorders>
              <w:top w:val="nil" w:sz="6" w:space="0" w:color="auto"/>
              <w:left w:val="nil" w:sz="6" w:space="0" w:color="auto"/>
              <w:bottom w:val="nil" w:sz="6" w:space="0" w:color="auto"/>
              <w:right w:val="nil" w:sz="6" w:space="0" w:color="auto"/>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无锡国联卓成创业投资有限公司</w:t>
            </w:r>
          </w:p>
        </w:tc>
        <w:tc>
          <w:tcPr>
            <w:tcW w:w="321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970" w:right="0"/>
              <w:jc w:val="left"/>
              <w:rPr>
                <w:rFonts w:ascii="Times New Roman" w:hAnsi="Times New Roman" w:cs="Times New Roman" w:eastAsia="Times New Roman" w:hint="default"/>
                <w:sz w:val="21"/>
                <w:szCs w:val="21"/>
              </w:rPr>
            </w:pPr>
            <w:r>
              <w:rPr>
                <w:rFonts w:ascii="Times New Roman"/>
                <w:sz w:val="21"/>
              </w:rPr>
              <w:t>334.00</w:t>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98"/>
              <w:jc w:val="right"/>
              <w:rPr>
                <w:rFonts w:ascii="Times New Roman" w:hAnsi="Times New Roman" w:cs="Times New Roman" w:eastAsia="Times New Roman" w:hint="default"/>
                <w:sz w:val="21"/>
                <w:szCs w:val="21"/>
              </w:rPr>
            </w:pPr>
            <w:r>
              <w:rPr>
                <w:rFonts w:ascii="Times New Roman"/>
                <w:spacing w:val="-1"/>
                <w:sz w:val="21"/>
              </w:rPr>
              <w:t>10.0000</w:t>
            </w:r>
          </w:p>
        </w:tc>
      </w:tr>
      <w:tr>
        <w:trPr>
          <w:trHeight w:val="350" w:hRule="exact"/>
        </w:trPr>
        <w:tc>
          <w:tcPr>
            <w:tcW w:w="3578"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尚卫国</w:t>
            </w:r>
          </w:p>
        </w:tc>
        <w:tc>
          <w:tcPr>
            <w:tcW w:w="321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970" w:right="0"/>
              <w:jc w:val="left"/>
              <w:rPr>
                <w:rFonts w:ascii="Times New Roman" w:hAnsi="Times New Roman" w:cs="Times New Roman" w:eastAsia="Times New Roman" w:hint="default"/>
                <w:sz w:val="21"/>
                <w:szCs w:val="21"/>
              </w:rPr>
            </w:pPr>
            <w:r>
              <w:rPr>
                <w:rFonts w:ascii="Times New Roman"/>
                <w:sz w:val="21"/>
              </w:rPr>
              <w:t>218.55</w:t>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89" w:right="0"/>
              <w:jc w:val="left"/>
              <w:rPr>
                <w:rFonts w:ascii="Times New Roman" w:hAnsi="Times New Roman" w:cs="Times New Roman" w:eastAsia="Times New Roman" w:hint="default"/>
                <w:sz w:val="21"/>
                <w:szCs w:val="21"/>
              </w:rPr>
            </w:pPr>
            <w:r>
              <w:rPr>
                <w:rFonts w:ascii="Times New Roman"/>
                <w:sz w:val="21"/>
              </w:rPr>
              <w:t>6.5434</w:t>
            </w:r>
          </w:p>
        </w:tc>
      </w:tr>
      <w:tr>
        <w:trPr>
          <w:trHeight w:val="350" w:hRule="exact"/>
        </w:trPr>
        <w:tc>
          <w:tcPr>
            <w:tcW w:w="3578"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付秋生</w:t>
            </w:r>
          </w:p>
        </w:tc>
        <w:tc>
          <w:tcPr>
            <w:tcW w:w="321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970" w:right="0"/>
              <w:jc w:val="left"/>
              <w:rPr>
                <w:rFonts w:ascii="Times New Roman" w:hAnsi="Times New Roman" w:cs="Times New Roman" w:eastAsia="Times New Roman" w:hint="default"/>
                <w:sz w:val="21"/>
                <w:szCs w:val="21"/>
              </w:rPr>
            </w:pPr>
            <w:r>
              <w:rPr>
                <w:rFonts w:ascii="Times New Roman"/>
                <w:sz w:val="21"/>
              </w:rPr>
              <w:t>210.45</w:t>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89" w:right="0"/>
              <w:jc w:val="left"/>
              <w:rPr>
                <w:rFonts w:ascii="Times New Roman" w:hAnsi="Times New Roman" w:cs="Times New Roman" w:eastAsia="Times New Roman" w:hint="default"/>
                <w:sz w:val="21"/>
                <w:szCs w:val="21"/>
              </w:rPr>
            </w:pPr>
            <w:r>
              <w:rPr>
                <w:rFonts w:ascii="Times New Roman"/>
                <w:sz w:val="21"/>
              </w:rPr>
              <w:t>6.3009</w:t>
            </w:r>
          </w:p>
        </w:tc>
      </w:tr>
      <w:tr>
        <w:trPr>
          <w:trHeight w:val="350" w:hRule="exact"/>
        </w:trPr>
        <w:tc>
          <w:tcPr>
            <w:tcW w:w="3578"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赵利宾</w:t>
            </w:r>
          </w:p>
        </w:tc>
        <w:tc>
          <w:tcPr>
            <w:tcW w:w="321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970" w:right="0"/>
              <w:jc w:val="left"/>
              <w:rPr>
                <w:rFonts w:ascii="Times New Roman" w:hAnsi="Times New Roman" w:cs="Times New Roman" w:eastAsia="Times New Roman" w:hint="default"/>
                <w:sz w:val="21"/>
                <w:szCs w:val="21"/>
              </w:rPr>
            </w:pPr>
            <w:r>
              <w:rPr>
                <w:rFonts w:ascii="Times New Roman"/>
                <w:sz w:val="21"/>
              </w:rPr>
              <w:t>180.00</w:t>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989" w:right="0"/>
              <w:jc w:val="left"/>
              <w:rPr>
                <w:rFonts w:ascii="Times New Roman" w:hAnsi="Times New Roman" w:cs="Times New Roman" w:eastAsia="Times New Roman" w:hint="default"/>
                <w:sz w:val="21"/>
                <w:szCs w:val="21"/>
              </w:rPr>
            </w:pPr>
            <w:r>
              <w:rPr>
                <w:rFonts w:ascii="Times New Roman"/>
                <w:sz w:val="21"/>
              </w:rPr>
              <w:t>5.3892</w:t>
            </w:r>
          </w:p>
        </w:tc>
      </w:tr>
      <w:tr>
        <w:trPr>
          <w:trHeight w:val="350" w:hRule="exact"/>
        </w:trPr>
        <w:tc>
          <w:tcPr>
            <w:tcW w:w="3578"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华梦阳</w:t>
            </w:r>
          </w:p>
        </w:tc>
        <w:tc>
          <w:tcPr>
            <w:tcW w:w="321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970" w:right="0"/>
              <w:jc w:val="left"/>
              <w:rPr>
                <w:rFonts w:ascii="Times New Roman" w:hAnsi="Times New Roman" w:cs="Times New Roman" w:eastAsia="Times New Roman" w:hint="default"/>
                <w:sz w:val="21"/>
                <w:szCs w:val="21"/>
              </w:rPr>
            </w:pPr>
            <w:r>
              <w:rPr>
                <w:rFonts w:ascii="Times New Roman"/>
                <w:sz w:val="21"/>
              </w:rPr>
              <w:t>180.00</w:t>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89" w:right="0"/>
              <w:jc w:val="left"/>
              <w:rPr>
                <w:rFonts w:ascii="Times New Roman" w:hAnsi="Times New Roman" w:cs="Times New Roman" w:eastAsia="Times New Roman" w:hint="default"/>
                <w:sz w:val="21"/>
                <w:szCs w:val="21"/>
              </w:rPr>
            </w:pPr>
            <w:r>
              <w:rPr>
                <w:rFonts w:ascii="Times New Roman"/>
                <w:sz w:val="21"/>
              </w:rPr>
              <w:t>5.3892</w:t>
            </w:r>
          </w:p>
        </w:tc>
      </w:tr>
      <w:tr>
        <w:trPr>
          <w:trHeight w:val="350" w:hRule="exact"/>
        </w:trPr>
        <w:tc>
          <w:tcPr>
            <w:tcW w:w="3578"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刘恩臣</w:t>
            </w:r>
          </w:p>
        </w:tc>
        <w:tc>
          <w:tcPr>
            <w:tcW w:w="321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970" w:right="0"/>
              <w:jc w:val="left"/>
              <w:rPr>
                <w:rFonts w:ascii="Times New Roman" w:hAnsi="Times New Roman" w:cs="Times New Roman" w:eastAsia="Times New Roman" w:hint="default"/>
                <w:sz w:val="21"/>
                <w:szCs w:val="21"/>
              </w:rPr>
            </w:pPr>
            <w:r>
              <w:rPr>
                <w:rFonts w:ascii="Times New Roman"/>
                <w:sz w:val="21"/>
              </w:rPr>
              <w:t>180.00</w:t>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89" w:right="0"/>
              <w:jc w:val="left"/>
              <w:rPr>
                <w:rFonts w:ascii="Times New Roman" w:hAnsi="Times New Roman" w:cs="Times New Roman" w:eastAsia="Times New Roman" w:hint="default"/>
                <w:sz w:val="21"/>
                <w:szCs w:val="21"/>
              </w:rPr>
            </w:pPr>
            <w:r>
              <w:rPr>
                <w:rFonts w:ascii="Times New Roman"/>
                <w:sz w:val="21"/>
              </w:rPr>
              <w:t>5.3892</w:t>
            </w:r>
          </w:p>
        </w:tc>
      </w:tr>
      <w:tr>
        <w:trPr>
          <w:trHeight w:val="350" w:hRule="exact"/>
        </w:trPr>
        <w:tc>
          <w:tcPr>
            <w:tcW w:w="3578"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傅常顺</w:t>
            </w:r>
          </w:p>
        </w:tc>
        <w:tc>
          <w:tcPr>
            <w:tcW w:w="321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970" w:right="0"/>
              <w:jc w:val="left"/>
              <w:rPr>
                <w:rFonts w:ascii="Times New Roman" w:hAnsi="Times New Roman" w:cs="Times New Roman" w:eastAsia="Times New Roman" w:hint="default"/>
                <w:sz w:val="21"/>
                <w:szCs w:val="21"/>
              </w:rPr>
            </w:pPr>
            <w:r>
              <w:rPr>
                <w:rFonts w:ascii="Times New Roman"/>
                <w:sz w:val="21"/>
              </w:rPr>
              <w:t>180.00</w:t>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989" w:right="0"/>
              <w:jc w:val="left"/>
              <w:rPr>
                <w:rFonts w:ascii="Times New Roman" w:hAnsi="Times New Roman" w:cs="Times New Roman" w:eastAsia="Times New Roman" w:hint="default"/>
                <w:sz w:val="21"/>
                <w:szCs w:val="21"/>
              </w:rPr>
            </w:pPr>
            <w:r>
              <w:rPr>
                <w:rFonts w:ascii="Times New Roman"/>
                <w:sz w:val="21"/>
              </w:rPr>
              <w:t>5.3892</w:t>
            </w:r>
          </w:p>
        </w:tc>
      </w:tr>
      <w:tr>
        <w:trPr>
          <w:trHeight w:val="350" w:hRule="exact"/>
        </w:trPr>
        <w:tc>
          <w:tcPr>
            <w:tcW w:w="3578"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杜建平</w:t>
            </w:r>
          </w:p>
        </w:tc>
        <w:tc>
          <w:tcPr>
            <w:tcW w:w="321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970" w:right="0"/>
              <w:jc w:val="left"/>
              <w:rPr>
                <w:rFonts w:ascii="Times New Roman" w:hAnsi="Times New Roman" w:cs="Times New Roman" w:eastAsia="Times New Roman" w:hint="default"/>
                <w:sz w:val="21"/>
                <w:szCs w:val="21"/>
              </w:rPr>
            </w:pPr>
            <w:r>
              <w:rPr>
                <w:rFonts w:ascii="Times New Roman"/>
                <w:sz w:val="21"/>
              </w:rPr>
              <w:t>180.00</w:t>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89" w:right="0"/>
              <w:jc w:val="left"/>
              <w:rPr>
                <w:rFonts w:ascii="Times New Roman" w:hAnsi="Times New Roman" w:cs="Times New Roman" w:eastAsia="Times New Roman" w:hint="default"/>
                <w:sz w:val="21"/>
                <w:szCs w:val="21"/>
              </w:rPr>
            </w:pPr>
            <w:r>
              <w:rPr>
                <w:rFonts w:ascii="Times New Roman"/>
                <w:sz w:val="21"/>
              </w:rPr>
              <w:t>5.3892</w:t>
            </w:r>
          </w:p>
        </w:tc>
      </w:tr>
      <w:tr>
        <w:trPr>
          <w:trHeight w:val="350" w:hRule="exact"/>
        </w:trPr>
        <w:tc>
          <w:tcPr>
            <w:tcW w:w="3578"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葛晓阁</w:t>
            </w:r>
          </w:p>
        </w:tc>
        <w:tc>
          <w:tcPr>
            <w:tcW w:w="321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970" w:right="0"/>
              <w:jc w:val="left"/>
              <w:rPr>
                <w:rFonts w:ascii="Times New Roman" w:hAnsi="Times New Roman" w:cs="Times New Roman" w:eastAsia="Times New Roman" w:hint="default"/>
                <w:sz w:val="21"/>
                <w:szCs w:val="21"/>
              </w:rPr>
            </w:pPr>
            <w:r>
              <w:rPr>
                <w:rFonts w:ascii="Times New Roman"/>
                <w:sz w:val="21"/>
              </w:rPr>
              <w:t>180.00</w:t>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89" w:right="0"/>
              <w:jc w:val="left"/>
              <w:rPr>
                <w:rFonts w:ascii="Times New Roman" w:hAnsi="Times New Roman" w:cs="Times New Roman" w:eastAsia="Times New Roman" w:hint="default"/>
                <w:sz w:val="21"/>
                <w:szCs w:val="21"/>
              </w:rPr>
            </w:pPr>
            <w:r>
              <w:rPr>
                <w:rFonts w:ascii="Times New Roman"/>
                <w:sz w:val="21"/>
              </w:rPr>
              <w:t>5.3892</w:t>
            </w:r>
          </w:p>
        </w:tc>
      </w:tr>
      <w:tr>
        <w:trPr>
          <w:trHeight w:val="350" w:hRule="exact"/>
        </w:trPr>
        <w:tc>
          <w:tcPr>
            <w:tcW w:w="3578"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郎金文</w:t>
            </w:r>
          </w:p>
        </w:tc>
        <w:tc>
          <w:tcPr>
            <w:tcW w:w="321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970" w:right="0"/>
              <w:jc w:val="left"/>
              <w:rPr>
                <w:rFonts w:ascii="Times New Roman" w:hAnsi="Times New Roman" w:cs="Times New Roman" w:eastAsia="Times New Roman" w:hint="default"/>
                <w:sz w:val="21"/>
                <w:szCs w:val="21"/>
              </w:rPr>
            </w:pPr>
            <w:r>
              <w:rPr>
                <w:rFonts w:ascii="Times New Roman"/>
                <w:sz w:val="21"/>
              </w:rPr>
              <w:t>180.00</w:t>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989" w:right="0"/>
              <w:jc w:val="left"/>
              <w:rPr>
                <w:rFonts w:ascii="Times New Roman" w:hAnsi="Times New Roman" w:cs="Times New Roman" w:eastAsia="Times New Roman" w:hint="default"/>
                <w:sz w:val="21"/>
                <w:szCs w:val="21"/>
              </w:rPr>
            </w:pPr>
            <w:r>
              <w:rPr>
                <w:rFonts w:ascii="Times New Roman"/>
                <w:sz w:val="21"/>
              </w:rPr>
              <w:t>5.3892</w:t>
            </w:r>
          </w:p>
        </w:tc>
      </w:tr>
      <w:tr>
        <w:trPr>
          <w:trHeight w:val="350" w:hRule="exact"/>
        </w:trPr>
        <w:tc>
          <w:tcPr>
            <w:tcW w:w="3578"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吴凤辉</w:t>
            </w:r>
          </w:p>
        </w:tc>
        <w:tc>
          <w:tcPr>
            <w:tcW w:w="321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021" w:right="0"/>
              <w:jc w:val="left"/>
              <w:rPr>
                <w:rFonts w:ascii="Times New Roman" w:hAnsi="Times New Roman" w:cs="Times New Roman" w:eastAsia="Times New Roman" w:hint="default"/>
                <w:sz w:val="21"/>
                <w:szCs w:val="21"/>
              </w:rPr>
            </w:pPr>
            <w:r>
              <w:rPr>
                <w:rFonts w:ascii="Times New Roman"/>
                <w:sz w:val="21"/>
              </w:rPr>
              <w:t>20.00</w:t>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89" w:right="0"/>
              <w:jc w:val="left"/>
              <w:rPr>
                <w:rFonts w:ascii="Times New Roman" w:hAnsi="Times New Roman" w:cs="Times New Roman" w:eastAsia="Times New Roman" w:hint="default"/>
                <w:sz w:val="21"/>
                <w:szCs w:val="21"/>
              </w:rPr>
            </w:pPr>
            <w:r>
              <w:rPr>
                <w:rFonts w:ascii="Times New Roman"/>
                <w:sz w:val="21"/>
              </w:rPr>
              <w:t>0.5988</w:t>
            </w:r>
          </w:p>
        </w:tc>
      </w:tr>
      <w:tr>
        <w:trPr>
          <w:trHeight w:val="350" w:hRule="exact"/>
        </w:trPr>
        <w:tc>
          <w:tcPr>
            <w:tcW w:w="3578"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李永革</w:t>
            </w:r>
          </w:p>
        </w:tc>
        <w:tc>
          <w:tcPr>
            <w:tcW w:w="321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021" w:right="0"/>
              <w:jc w:val="left"/>
              <w:rPr>
                <w:rFonts w:ascii="Times New Roman" w:hAnsi="Times New Roman" w:cs="Times New Roman" w:eastAsia="Times New Roman" w:hint="default"/>
                <w:sz w:val="21"/>
                <w:szCs w:val="21"/>
              </w:rPr>
            </w:pPr>
            <w:r>
              <w:rPr>
                <w:rFonts w:ascii="Times New Roman"/>
                <w:sz w:val="21"/>
              </w:rPr>
              <w:t>15.00</w:t>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89" w:right="0"/>
              <w:jc w:val="left"/>
              <w:rPr>
                <w:rFonts w:ascii="Times New Roman" w:hAnsi="Times New Roman" w:cs="Times New Roman" w:eastAsia="Times New Roman" w:hint="default"/>
                <w:sz w:val="21"/>
                <w:szCs w:val="21"/>
              </w:rPr>
            </w:pPr>
            <w:r>
              <w:rPr>
                <w:rFonts w:ascii="Times New Roman"/>
                <w:sz w:val="21"/>
              </w:rPr>
              <w:t>0.4491</w:t>
            </w:r>
          </w:p>
        </w:tc>
      </w:tr>
      <w:tr>
        <w:trPr>
          <w:trHeight w:val="350" w:hRule="exact"/>
        </w:trPr>
        <w:tc>
          <w:tcPr>
            <w:tcW w:w="3578"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陈振亚</w:t>
            </w:r>
          </w:p>
        </w:tc>
        <w:tc>
          <w:tcPr>
            <w:tcW w:w="321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021" w:right="0"/>
              <w:jc w:val="left"/>
              <w:rPr>
                <w:rFonts w:ascii="Times New Roman" w:hAnsi="Times New Roman" w:cs="Times New Roman" w:eastAsia="Times New Roman" w:hint="default"/>
                <w:sz w:val="21"/>
                <w:szCs w:val="21"/>
              </w:rPr>
            </w:pPr>
            <w:r>
              <w:rPr>
                <w:rFonts w:ascii="Times New Roman"/>
                <w:sz w:val="21"/>
              </w:rPr>
              <w:t>15.00</w:t>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989" w:right="0"/>
              <w:jc w:val="left"/>
              <w:rPr>
                <w:rFonts w:ascii="Times New Roman" w:hAnsi="Times New Roman" w:cs="Times New Roman" w:eastAsia="Times New Roman" w:hint="default"/>
                <w:sz w:val="21"/>
                <w:szCs w:val="21"/>
              </w:rPr>
            </w:pPr>
            <w:r>
              <w:rPr>
                <w:rFonts w:ascii="Times New Roman"/>
                <w:sz w:val="21"/>
              </w:rPr>
              <w:t>0.4491</w:t>
            </w:r>
          </w:p>
        </w:tc>
      </w:tr>
      <w:tr>
        <w:trPr>
          <w:trHeight w:val="350" w:hRule="exact"/>
        </w:trPr>
        <w:tc>
          <w:tcPr>
            <w:tcW w:w="3578"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于照永</w:t>
            </w:r>
          </w:p>
        </w:tc>
        <w:tc>
          <w:tcPr>
            <w:tcW w:w="321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021" w:right="0"/>
              <w:jc w:val="left"/>
              <w:rPr>
                <w:rFonts w:ascii="Times New Roman" w:hAnsi="Times New Roman" w:cs="Times New Roman" w:eastAsia="Times New Roman" w:hint="default"/>
                <w:sz w:val="21"/>
                <w:szCs w:val="21"/>
              </w:rPr>
            </w:pPr>
            <w:r>
              <w:rPr>
                <w:rFonts w:ascii="Times New Roman"/>
                <w:sz w:val="21"/>
              </w:rPr>
              <w:t>15.00</w:t>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89" w:right="0"/>
              <w:jc w:val="left"/>
              <w:rPr>
                <w:rFonts w:ascii="Times New Roman" w:hAnsi="Times New Roman" w:cs="Times New Roman" w:eastAsia="Times New Roman" w:hint="default"/>
                <w:sz w:val="21"/>
                <w:szCs w:val="21"/>
              </w:rPr>
            </w:pPr>
            <w:r>
              <w:rPr>
                <w:rFonts w:ascii="Times New Roman"/>
                <w:sz w:val="21"/>
              </w:rPr>
              <w:t>0.4491</w:t>
            </w:r>
          </w:p>
        </w:tc>
      </w:tr>
      <w:tr>
        <w:trPr>
          <w:trHeight w:val="350" w:hRule="exact"/>
        </w:trPr>
        <w:tc>
          <w:tcPr>
            <w:tcW w:w="3578"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王卓</w:t>
            </w:r>
          </w:p>
        </w:tc>
        <w:tc>
          <w:tcPr>
            <w:tcW w:w="321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021" w:right="0"/>
              <w:jc w:val="left"/>
              <w:rPr>
                <w:rFonts w:ascii="Times New Roman" w:hAnsi="Times New Roman" w:cs="Times New Roman" w:eastAsia="Times New Roman" w:hint="default"/>
                <w:sz w:val="21"/>
                <w:szCs w:val="21"/>
              </w:rPr>
            </w:pPr>
            <w:r>
              <w:rPr>
                <w:rFonts w:ascii="Times New Roman"/>
                <w:sz w:val="21"/>
              </w:rPr>
              <w:t>15.00</w:t>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89" w:right="0"/>
              <w:jc w:val="left"/>
              <w:rPr>
                <w:rFonts w:ascii="Times New Roman" w:hAnsi="Times New Roman" w:cs="Times New Roman" w:eastAsia="Times New Roman" w:hint="default"/>
                <w:sz w:val="21"/>
                <w:szCs w:val="21"/>
              </w:rPr>
            </w:pPr>
            <w:r>
              <w:rPr>
                <w:rFonts w:ascii="Times New Roman"/>
                <w:sz w:val="21"/>
              </w:rPr>
              <w:t>0.4491</w:t>
            </w:r>
          </w:p>
        </w:tc>
      </w:tr>
      <w:tr>
        <w:trPr>
          <w:trHeight w:val="350" w:hRule="exact"/>
        </w:trPr>
        <w:tc>
          <w:tcPr>
            <w:tcW w:w="3578"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杨文寿</w:t>
            </w:r>
          </w:p>
        </w:tc>
        <w:tc>
          <w:tcPr>
            <w:tcW w:w="321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021" w:right="0"/>
              <w:jc w:val="left"/>
              <w:rPr>
                <w:rFonts w:ascii="Times New Roman" w:hAnsi="Times New Roman" w:cs="Times New Roman" w:eastAsia="Times New Roman" w:hint="default"/>
                <w:sz w:val="21"/>
                <w:szCs w:val="21"/>
              </w:rPr>
            </w:pPr>
            <w:r>
              <w:rPr>
                <w:rFonts w:ascii="Times New Roman"/>
                <w:sz w:val="21"/>
              </w:rPr>
              <w:t>15.00</w:t>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989" w:right="0"/>
              <w:jc w:val="left"/>
              <w:rPr>
                <w:rFonts w:ascii="Times New Roman" w:hAnsi="Times New Roman" w:cs="Times New Roman" w:eastAsia="Times New Roman" w:hint="default"/>
                <w:sz w:val="21"/>
                <w:szCs w:val="21"/>
              </w:rPr>
            </w:pPr>
            <w:r>
              <w:rPr>
                <w:rFonts w:ascii="Times New Roman"/>
                <w:sz w:val="21"/>
              </w:rPr>
              <w:t>0.4491</w:t>
            </w:r>
          </w:p>
        </w:tc>
      </w:tr>
      <w:tr>
        <w:trPr>
          <w:trHeight w:val="350" w:hRule="exact"/>
        </w:trPr>
        <w:tc>
          <w:tcPr>
            <w:tcW w:w="3578"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邵彦超</w:t>
            </w:r>
          </w:p>
        </w:tc>
        <w:tc>
          <w:tcPr>
            <w:tcW w:w="321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021" w:right="0"/>
              <w:jc w:val="left"/>
              <w:rPr>
                <w:rFonts w:ascii="Times New Roman" w:hAnsi="Times New Roman" w:cs="Times New Roman" w:eastAsia="Times New Roman" w:hint="default"/>
                <w:sz w:val="21"/>
                <w:szCs w:val="21"/>
              </w:rPr>
            </w:pPr>
            <w:r>
              <w:rPr>
                <w:rFonts w:ascii="Times New Roman"/>
                <w:sz w:val="21"/>
              </w:rPr>
              <w:t>15.00</w:t>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89" w:right="0"/>
              <w:jc w:val="left"/>
              <w:rPr>
                <w:rFonts w:ascii="Times New Roman" w:hAnsi="Times New Roman" w:cs="Times New Roman" w:eastAsia="Times New Roman" w:hint="default"/>
                <w:sz w:val="21"/>
                <w:szCs w:val="21"/>
              </w:rPr>
            </w:pPr>
            <w:r>
              <w:rPr>
                <w:rFonts w:ascii="Times New Roman"/>
                <w:sz w:val="21"/>
              </w:rPr>
              <w:t>0.4491</w:t>
            </w:r>
          </w:p>
        </w:tc>
      </w:tr>
      <w:tr>
        <w:trPr>
          <w:trHeight w:val="350" w:hRule="exact"/>
        </w:trPr>
        <w:tc>
          <w:tcPr>
            <w:tcW w:w="3578"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李文坚</w:t>
            </w:r>
          </w:p>
        </w:tc>
        <w:tc>
          <w:tcPr>
            <w:tcW w:w="321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021" w:right="0"/>
              <w:jc w:val="left"/>
              <w:rPr>
                <w:rFonts w:ascii="Times New Roman" w:hAnsi="Times New Roman" w:cs="Times New Roman" w:eastAsia="Times New Roman" w:hint="default"/>
                <w:sz w:val="21"/>
                <w:szCs w:val="21"/>
              </w:rPr>
            </w:pPr>
            <w:r>
              <w:rPr>
                <w:rFonts w:ascii="Times New Roman"/>
                <w:sz w:val="21"/>
              </w:rPr>
              <w:t>15.00</w:t>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89" w:right="0"/>
              <w:jc w:val="left"/>
              <w:rPr>
                <w:rFonts w:ascii="Times New Roman" w:hAnsi="Times New Roman" w:cs="Times New Roman" w:eastAsia="Times New Roman" w:hint="default"/>
                <w:sz w:val="21"/>
                <w:szCs w:val="21"/>
              </w:rPr>
            </w:pPr>
            <w:r>
              <w:rPr>
                <w:rFonts w:ascii="Times New Roman"/>
                <w:sz w:val="21"/>
              </w:rPr>
              <w:t>0.4491</w:t>
            </w:r>
          </w:p>
        </w:tc>
      </w:tr>
      <w:tr>
        <w:trPr>
          <w:trHeight w:val="350" w:hRule="exact"/>
        </w:trPr>
        <w:tc>
          <w:tcPr>
            <w:tcW w:w="3578"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张振京</w:t>
            </w:r>
          </w:p>
        </w:tc>
        <w:tc>
          <w:tcPr>
            <w:tcW w:w="321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074" w:right="0"/>
              <w:jc w:val="left"/>
              <w:rPr>
                <w:rFonts w:ascii="Times New Roman" w:hAnsi="Times New Roman" w:cs="Times New Roman" w:eastAsia="Times New Roman" w:hint="default"/>
                <w:sz w:val="21"/>
                <w:szCs w:val="21"/>
              </w:rPr>
            </w:pPr>
            <w:r>
              <w:rPr>
                <w:rFonts w:ascii="Times New Roman"/>
                <w:sz w:val="21"/>
              </w:rPr>
              <w:t>5.00</w:t>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989" w:right="0"/>
              <w:jc w:val="left"/>
              <w:rPr>
                <w:rFonts w:ascii="Times New Roman" w:hAnsi="Times New Roman" w:cs="Times New Roman" w:eastAsia="Times New Roman" w:hint="default"/>
                <w:sz w:val="21"/>
                <w:szCs w:val="21"/>
              </w:rPr>
            </w:pPr>
            <w:r>
              <w:rPr>
                <w:rFonts w:ascii="Times New Roman"/>
                <w:sz w:val="21"/>
              </w:rPr>
              <w:t>0.1497</w:t>
            </w:r>
          </w:p>
        </w:tc>
      </w:tr>
      <w:tr>
        <w:trPr>
          <w:trHeight w:val="350" w:hRule="exact"/>
        </w:trPr>
        <w:tc>
          <w:tcPr>
            <w:tcW w:w="3578"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焦征海</w:t>
            </w:r>
          </w:p>
        </w:tc>
        <w:tc>
          <w:tcPr>
            <w:tcW w:w="321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074" w:right="0"/>
              <w:jc w:val="left"/>
              <w:rPr>
                <w:rFonts w:ascii="Times New Roman" w:hAnsi="Times New Roman" w:cs="Times New Roman" w:eastAsia="Times New Roman" w:hint="default"/>
                <w:sz w:val="21"/>
                <w:szCs w:val="21"/>
              </w:rPr>
            </w:pPr>
            <w:r>
              <w:rPr>
                <w:rFonts w:ascii="Times New Roman"/>
                <w:sz w:val="21"/>
              </w:rPr>
              <w:t>5.00</w:t>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89" w:right="0"/>
              <w:jc w:val="left"/>
              <w:rPr>
                <w:rFonts w:ascii="Times New Roman" w:hAnsi="Times New Roman" w:cs="Times New Roman" w:eastAsia="Times New Roman" w:hint="default"/>
                <w:sz w:val="21"/>
                <w:szCs w:val="21"/>
              </w:rPr>
            </w:pPr>
            <w:r>
              <w:rPr>
                <w:rFonts w:ascii="Times New Roman"/>
                <w:sz w:val="21"/>
              </w:rPr>
              <w:t>0.1497</w:t>
            </w:r>
          </w:p>
        </w:tc>
      </w:tr>
      <w:tr>
        <w:trPr>
          <w:trHeight w:val="350" w:hRule="exact"/>
        </w:trPr>
        <w:tc>
          <w:tcPr>
            <w:tcW w:w="3578"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秦天福</w:t>
            </w:r>
          </w:p>
        </w:tc>
        <w:tc>
          <w:tcPr>
            <w:tcW w:w="321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074" w:right="0"/>
              <w:jc w:val="left"/>
              <w:rPr>
                <w:rFonts w:ascii="Times New Roman" w:hAnsi="Times New Roman" w:cs="Times New Roman" w:eastAsia="Times New Roman" w:hint="default"/>
                <w:sz w:val="21"/>
                <w:szCs w:val="21"/>
              </w:rPr>
            </w:pPr>
            <w:r>
              <w:rPr>
                <w:rFonts w:ascii="Times New Roman"/>
                <w:sz w:val="21"/>
              </w:rPr>
              <w:t>5.00</w:t>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89" w:right="0"/>
              <w:jc w:val="left"/>
              <w:rPr>
                <w:rFonts w:ascii="Times New Roman" w:hAnsi="Times New Roman" w:cs="Times New Roman" w:eastAsia="Times New Roman" w:hint="default"/>
                <w:sz w:val="21"/>
                <w:szCs w:val="21"/>
              </w:rPr>
            </w:pPr>
            <w:r>
              <w:rPr>
                <w:rFonts w:ascii="Times New Roman"/>
                <w:sz w:val="21"/>
              </w:rPr>
              <w:t>0.1497</w:t>
            </w:r>
          </w:p>
        </w:tc>
      </w:tr>
      <w:tr>
        <w:trPr>
          <w:trHeight w:val="350" w:hRule="exact"/>
        </w:trPr>
        <w:tc>
          <w:tcPr>
            <w:tcW w:w="3578"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王勇军</w:t>
            </w:r>
          </w:p>
        </w:tc>
        <w:tc>
          <w:tcPr>
            <w:tcW w:w="321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074" w:right="0"/>
              <w:jc w:val="left"/>
              <w:rPr>
                <w:rFonts w:ascii="Times New Roman" w:hAnsi="Times New Roman" w:cs="Times New Roman" w:eastAsia="Times New Roman" w:hint="default"/>
                <w:sz w:val="21"/>
                <w:szCs w:val="21"/>
              </w:rPr>
            </w:pPr>
            <w:r>
              <w:rPr>
                <w:rFonts w:ascii="Times New Roman"/>
                <w:sz w:val="21"/>
              </w:rPr>
              <w:t>5.00</w:t>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989" w:right="0"/>
              <w:jc w:val="left"/>
              <w:rPr>
                <w:rFonts w:ascii="Times New Roman" w:hAnsi="Times New Roman" w:cs="Times New Roman" w:eastAsia="Times New Roman" w:hint="default"/>
                <w:sz w:val="21"/>
                <w:szCs w:val="21"/>
              </w:rPr>
            </w:pPr>
            <w:r>
              <w:rPr>
                <w:rFonts w:ascii="Times New Roman"/>
                <w:sz w:val="21"/>
              </w:rPr>
              <w:t>0.1497</w:t>
            </w:r>
          </w:p>
        </w:tc>
      </w:tr>
      <w:tr>
        <w:trPr>
          <w:trHeight w:val="350" w:hRule="exact"/>
        </w:trPr>
        <w:tc>
          <w:tcPr>
            <w:tcW w:w="3578"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韩雪</w:t>
            </w:r>
          </w:p>
        </w:tc>
        <w:tc>
          <w:tcPr>
            <w:tcW w:w="321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074" w:right="0"/>
              <w:jc w:val="left"/>
              <w:rPr>
                <w:rFonts w:ascii="Times New Roman" w:hAnsi="Times New Roman" w:cs="Times New Roman" w:eastAsia="Times New Roman" w:hint="default"/>
                <w:sz w:val="21"/>
                <w:szCs w:val="21"/>
              </w:rPr>
            </w:pPr>
            <w:r>
              <w:rPr>
                <w:rFonts w:ascii="Times New Roman"/>
                <w:sz w:val="21"/>
              </w:rPr>
              <w:t>5.00</w:t>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89" w:right="0"/>
              <w:jc w:val="left"/>
              <w:rPr>
                <w:rFonts w:ascii="Times New Roman" w:hAnsi="Times New Roman" w:cs="Times New Roman" w:eastAsia="Times New Roman" w:hint="default"/>
                <w:sz w:val="21"/>
                <w:szCs w:val="21"/>
              </w:rPr>
            </w:pPr>
            <w:r>
              <w:rPr>
                <w:rFonts w:ascii="Times New Roman"/>
                <w:sz w:val="21"/>
              </w:rPr>
              <w:t>0.1497</w:t>
            </w:r>
          </w:p>
        </w:tc>
      </w:tr>
      <w:tr>
        <w:trPr>
          <w:trHeight w:val="327" w:hRule="exact"/>
        </w:trPr>
        <w:tc>
          <w:tcPr>
            <w:tcW w:w="3578" w:type="dxa"/>
            <w:tcBorders>
              <w:top w:val="nil" w:sz="6" w:space="0" w:color="auto"/>
              <w:left w:val="nil" w:sz="6" w:space="0" w:color="auto"/>
              <w:bottom w:val="single" w:sz="12" w:space="0" w:color="000000"/>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张建英</w:t>
            </w:r>
          </w:p>
        </w:tc>
        <w:tc>
          <w:tcPr>
            <w:tcW w:w="3215" w:type="dxa"/>
            <w:tcBorders>
              <w:top w:val="nil" w:sz="6" w:space="0" w:color="auto"/>
              <w:left w:val="nil" w:sz="6" w:space="0" w:color="auto"/>
              <w:bottom w:val="single" w:sz="12" w:space="0" w:color="000000"/>
              <w:right w:val="nil" w:sz="6" w:space="0" w:color="auto"/>
            </w:tcBorders>
          </w:tcPr>
          <w:p>
            <w:pPr>
              <w:pStyle w:val="TableParagraph"/>
              <w:spacing w:line="240" w:lineRule="auto" w:before="49"/>
              <w:ind w:left="2074" w:right="0"/>
              <w:jc w:val="left"/>
              <w:rPr>
                <w:rFonts w:ascii="Times New Roman" w:hAnsi="Times New Roman" w:cs="Times New Roman" w:eastAsia="Times New Roman" w:hint="default"/>
                <w:sz w:val="21"/>
                <w:szCs w:val="21"/>
              </w:rPr>
            </w:pPr>
            <w:r>
              <w:rPr>
                <w:rFonts w:ascii="Times New Roman"/>
                <w:sz w:val="21"/>
              </w:rPr>
              <w:t>5.00</w:t>
            </w:r>
          </w:p>
        </w:tc>
        <w:tc>
          <w:tcPr>
            <w:tcW w:w="2174" w:type="dxa"/>
            <w:tcBorders>
              <w:top w:val="nil" w:sz="6" w:space="0" w:color="auto"/>
              <w:left w:val="nil" w:sz="6" w:space="0" w:color="auto"/>
              <w:bottom w:val="single" w:sz="12" w:space="0" w:color="000000"/>
              <w:right w:val="nil" w:sz="6" w:space="0" w:color="auto"/>
            </w:tcBorders>
          </w:tcPr>
          <w:p>
            <w:pPr>
              <w:pStyle w:val="TableParagraph"/>
              <w:spacing w:line="240" w:lineRule="auto" w:before="49"/>
              <w:ind w:left="989" w:right="0"/>
              <w:jc w:val="left"/>
              <w:rPr>
                <w:rFonts w:ascii="Times New Roman" w:hAnsi="Times New Roman" w:cs="Times New Roman" w:eastAsia="Times New Roman" w:hint="default"/>
                <w:sz w:val="21"/>
                <w:szCs w:val="21"/>
              </w:rPr>
            </w:pPr>
            <w:r>
              <w:rPr>
                <w:rFonts w:ascii="Times New Roman"/>
                <w:sz w:val="21"/>
              </w:rPr>
              <w:t>0.1497</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82" w:top="1100" w:bottom="1180" w:left="980" w:right="880"/>
        </w:sectPr>
      </w:pPr>
    </w:p>
    <w:p>
      <w:pPr>
        <w:spacing w:line="240" w:lineRule="auto" w:before="2"/>
        <w:rPr>
          <w:rFonts w:ascii="Times New Roman" w:hAnsi="Times New Roman" w:cs="Times New Roman" w:eastAsia="Times New Roman" w:hint="default"/>
          <w:sz w:val="29"/>
          <w:szCs w:val="29"/>
        </w:rPr>
      </w:pPr>
      <w:r>
        <w:rPr/>
        <w:pict>
          <v:group style="position:absolute;margin-left:94.199997pt;margin-top:72.510002pt;width:451.3pt;height:665.5pt;mso-position-horizontal-relative:page;mso-position-vertical-relative:page;z-index:-1166704" coordorigin="1884,1450" coordsize="9026,13310">
            <v:shape style="position:absolute;left:5889;top:1450;width:3108;height:379" type="#_x0000_t75" stroked="false">
              <v:imagedata r:id="rId47" o:title=""/>
            </v:shape>
            <v:shape style="position:absolute;left:1884;top:1788;width:9025;height:12972" type="#_x0000_t75" stroked="false">
              <v:imagedata r:id="rId48" o:title=""/>
            </v:shape>
            <w10:wrap type="none"/>
          </v:group>
        </w:pict>
      </w:r>
    </w:p>
    <w:tbl>
      <w:tblPr>
        <w:tblW w:w="0" w:type="auto"/>
        <w:jc w:val="left"/>
        <w:tblInd w:w="932" w:type="dxa"/>
        <w:tblLayout w:type="fixed"/>
        <w:tblCellMar>
          <w:top w:w="0" w:type="dxa"/>
          <w:left w:w="0" w:type="dxa"/>
          <w:bottom w:w="0" w:type="dxa"/>
          <w:right w:w="0" w:type="dxa"/>
        </w:tblCellMar>
        <w:tblLook w:val="01E0"/>
      </w:tblPr>
      <w:tblGrid>
        <w:gridCol w:w="2731"/>
        <w:gridCol w:w="4062"/>
        <w:gridCol w:w="2174"/>
      </w:tblGrid>
      <w:tr>
        <w:trPr>
          <w:trHeight w:val="393" w:hRule="exact"/>
        </w:trPr>
        <w:tc>
          <w:tcPr>
            <w:tcW w:w="2731" w:type="dxa"/>
            <w:tcBorders>
              <w:top w:val="single" w:sz="12" w:space="0" w:color="000000"/>
              <w:left w:val="nil" w:sz="6" w:space="0" w:color="auto"/>
              <w:bottom w:val="nil" w:sz="6" w:space="0" w:color="auto"/>
              <w:right w:val="nil" w:sz="6" w:space="0" w:color="auto"/>
            </w:tcBorders>
          </w:tcPr>
          <w:p>
            <w:pPr>
              <w:pStyle w:val="TableParagraph"/>
              <w:spacing w:line="240" w:lineRule="auto" w:before="27"/>
              <w:ind w:left="723" w:right="0"/>
              <w:jc w:val="left"/>
              <w:rPr>
                <w:rFonts w:ascii="宋体" w:hAnsi="宋体" w:cs="宋体" w:eastAsia="宋体" w:hint="default"/>
                <w:sz w:val="21"/>
                <w:szCs w:val="21"/>
              </w:rPr>
            </w:pPr>
            <w:r>
              <w:rPr>
                <w:rFonts w:ascii="宋体" w:hAnsi="宋体" w:cs="宋体" w:eastAsia="宋体" w:hint="default"/>
                <w:sz w:val="21"/>
                <w:szCs w:val="21"/>
              </w:rPr>
              <w:t>投资方</w:t>
            </w:r>
          </w:p>
        </w:tc>
        <w:tc>
          <w:tcPr>
            <w:tcW w:w="4062" w:type="dxa"/>
            <w:tcBorders>
              <w:top w:val="single" w:sz="12" w:space="0" w:color="000000"/>
              <w:left w:val="nil" w:sz="6" w:space="0" w:color="auto"/>
              <w:bottom w:val="nil" w:sz="6" w:space="0" w:color="auto"/>
              <w:right w:val="nil" w:sz="6" w:space="0" w:color="auto"/>
            </w:tcBorders>
          </w:tcPr>
          <w:p>
            <w:pPr>
              <w:pStyle w:val="TableParagraph"/>
              <w:spacing w:line="240" w:lineRule="auto" w:before="27"/>
              <w:ind w:left="1377" w:right="0"/>
              <w:jc w:val="left"/>
              <w:rPr>
                <w:rFonts w:ascii="宋体" w:hAnsi="宋体" w:cs="宋体" w:eastAsia="宋体" w:hint="default"/>
                <w:sz w:val="21"/>
                <w:szCs w:val="21"/>
              </w:rPr>
            </w:pPr>
            <w:r>
              <w:rPr>
                <w:rFonts w:ascii="宋体" w:hAnsi="宋体" w:cs="宋体" w:eastAsia="宋体" w:hint="default"/>
                <w:sz w:val="21"/>
                <w:szCs w:val="21"/>
              </w:rPr>
              <w:t>认缴注册资本额（万元）</w:t>
            </w:r>
          </w:p>
        </w:tc>
        <w:tc>
          <w:tcPr>
            <w:tcW w:w="2174" w:type="dxa"/>
            <w:tcBorders>
              <w:top w:val="single" w:sz="12" w:space="0" w:color="000000"/>
              <w:left w:val="nil" w:sz="6" w:space="0" w:color="auto"/>
              <w:bottom w:val="nil" w:sz="6" w:space="0" w:color="auto"/>
              <w:right w:val="nil" w:sz="6" w:space="0" w:color="auto"/>
            </w:tcBorders>
          </w:tcPr>
          <w:p>
            <w:pPr>
              <w:pStyle w:val="TableParagraph"/>
              <w:spacing w:line="240" w:lineRule="auto" w:before="27"/>
              <w:ind w:left="374" w:right="0"/>
              <w:jc w:val="left"/>
              <w:rPr>
                <w:rFonts w:ascii="宋体" w:hAnsi="宋体" w:cs="宋体" w:eastAsia="宋体" w:hint="default"/>
                <w:sz w:val="21"/>
                <w:szCs w:val="21"/>
              </w:rPr>
            </w:pPr>
            <w:r>
              <w:rPr>
                <w:rFonts w:ascii="宋体" w:hAnsi="宋体" w:cs="宋体" w:eastAsia="宋体" w:hint="default"/>
                <w:sz w:val="21"/>
                <w:szCs w:val="21"/>
              </w:rPr>
              <w:t>出资比例（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0"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郭永旺</w:t>
            </w:r>
          </w:p>
        </w:tc>
        <w:tc>
          <w:tcPr>
            <w:tcW w:w="406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71"/>
              <w:jc w:val="right"/>
              <w:rPr>
                <w:rFonts w:ascii="Times New Roman" w:hAnsi="Times New Roman" w:cs="Times New Roman" w:eastAsia="Times New Roman" w:hint="default"/>
                <w:sz w:val="21"/>
                <w:szCs w:val="21"/>
              </w:rPr>
            </w:pPr>
            <w:r>
              <w:rPr>
                <w:rFonts w:ascii="Times New Roman"/>
                <w:spacing w:val="-1"/>
                <w:sz w:val="21"/>
              </w:rPr>
              <w:t>5.00</w:t>
            </w:r>
            <w:r>
              <w:rPr>
                <w:rFonts w:ascii="Times New Roman"/>
                <w:sz w:val="21"/>
              </w:rPr>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89" w:right="0"/>
              <w:jc w:val="left"/>
              <w:rPr>
                <w:rFonts w:ascii="Times New Roman" w:hAnsi="Times New Roman" w:cs="Times New Roman" w:eastAsia="Times New Roman" w:hint="default"/>
                <w:sz w:val="21"/>
                <w:szCs w:val="21"/>
              </w:rPr>
            </w:pPr>
            <w:r>
              <w:rPr>
                <w:rFonts w:ascii="Times New Roman"/>
                <w:sz w:val="21"/>
              </w:rPr>
              <w:t>0.1497</w:t>
            </w:r>
          </w:p>
        </w:tc>
      </w:tr>
      <w:tr>
        <w:trPr>
          <w:trHeight w:val="350"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苏扬鸣</w:t>
            </w:r>
          </w:p>
        </w:tc>
        <w:tc>
          <w:tcPr>
            <w:tcW w:w="406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71"/>
              <w:jc w:val="right"/>
              <w:rPr>
                <w:rFonts w:ascii="Times New Roman" w:hAnsi="Times New Roman" w:cs="Times New Roman" w:eastAsia="Times New Roman" w:hint="default"/>
                <w:sz w:val="21"/>
                <w:szCs w:val="21"/>
              </w:rPr>
            </w:pPr>
            <w:r>
              <w:rPr>
                <w:rFonts w:ascii="Times New Roman"/>
                <w:spacing w:val="-1"/>
                <w:sz w:val="21"/>
              </w:rPr>
              <w:t>5.00</w:t>
            </w:r>
            <w:r>
              <w:rPr>
                <w:rFonts w:ascii="Times New Roman"/>
                <w:sz w:val="21"/>
              </w:rPr>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989" w:right="0"/>
              <w:jc w:val="left"/>
              <w:rPr>
                <w:rFonts w:ascii="Times New Roman" w:hAnsi="Times New Roman" w:cs="Times New Roman" w:eastAsia="Times New Roman" w:hint="default"/>
                <w:sz w:val="21"/>
                <w:szCs w:val="21"/>
              </w:rPr>
            </w:pPr>
            <w:r>
              <w:rPr>
                <w:rFonts w:ascii="Times New Roman"/>
                <w:sz w:val="21"/>
              </w:rPr>
              <w:t>0.1497</w:t>
            </w:r>
          </w:p>
        </w:tc>
      </w:tr>
      <w:tr>
        <w:trPr>
          <w:trHeight w:val="350"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杨长昆</w:t>
            </w:r>
          </w:p>
        </w:tc>
        <w:tc>
          <w:tcPr>
            <w:tcW w:w="406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71"/>
              <w:jc w:val="right"/>
              <w:rPr>
                <w:rFonts w:ascii="Times New Roman" w:hAnsi="Times New Roman" w:cs="Times New Roman" w:eastAsia="Times New Roman" w:hint="default"/>
                <w:sz w:val="21"/>
                <w:szCs w:val="21"/>
              </w:rPr>
            </w:pPr>
            <w:r>
              <w:rPr>
                <w:rFonts w:ascii="Times New Roman"/>
                <w:spacing w:val="-1"/>
                <w:sz w:val="21"/>
              </w:rPr>
              <w:t>5.00</w:t>
            </w:r>
            <w:r>
              <w:rPr>
                <w:rFonts w:ascii="Times New Roman"/>
                <w:sz w:val="21"/>
              </w:rPr>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89" w:right="0"/>
              <w:jc w:val="left"/>
              <w:rPr>
                <w:rFonts w:ascii="Times New Roman" w:hAnsi="Times New Roman" w:cs="Times New Roman" w:eastAsia="Times New Roman" w:hint="default"/>
                <w:sz w:val="21"/>
                <w:szCs w:val="21"/>
              </w:rPr>
            </w:pPr>
            <w:r>
              <w:rPr>
                <w:rFonts w:ascii="Times New Roman"/>
                <w:sz w:val="21"/>
              </w:rPr>
              <w:t>0.1497</w:t>
            </w:r>
          </w:p>
        </w:tc>
      </w:tr>
      <w:tr>
        <w:trPr>
          <w:trHeight w:val="350"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陈卫国</w:t>
            </w:r>
          </w:p>
        </w:tc>
        <w:tc>
          <w:tcPr>
            <w:tcW w:w="406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71"/>
              <w:jc w:val="right"/>
              <w:rPr>
                <w:rFonts w:ascii="Times New Roman" w:hAnsi="Times New Roman" w:cs="Times New Roman" w:eastAsia="Times New Roman" w:hint="default"/>
                <w:sz w:val="21"/>
                <w:szCs w:val="21"/>
              </w:rPr>
            </w:pPr>
            <w:r>
              <w:rPr>
                <w:rFonts w:ascii="Times New Roman"/>
                <w:spacing w:val="-1"/>
                <w:sz w:val="21"/>
              </w:rPr>
              <w:t>5.00</w:t>
            </w:r>
            <w:r>
              <w:rPr>
                <w:rFonts w:ascii="Times New Roman"/>
                <w:sz w:val="21"/>
              </w:rPr>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89" w:right="0"/>
              <w:jc w:val="left"/>
              <w:rPr>
                <w:rFonts w:ascii="Times New Roman" w:hAnsi="Times New Roman" w:cs="Times New Roman" w:eastAsia="Times New Roman" w:hint="default"/>
                <w:sz w:val="21"/>
                <w:szCs w:val="21"/>
              </w:rPr>
            </w:pPr>
            <w:r>
              <w:rPr>
                <w:rFonts w:ascii="Times New Roman"/>
                <w:sz w:val="21"/>
              </w:rPr>
              <w:t>0.1497</w:t>
            </w:r>
          </w:p>
        </w:tc>
      </w:tr>
      <w:tr>
        <w:trPr>
          <w:trHeight w:val="350"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吴冠军</w:t>
            </w:r>
          </w:p>
        </w:tc>
        <w:tc>
          <w:tcPr>
            <w:tcW w:w="406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71"/>
              <w:jc w:val="right"/>
              <w:rPr>
                <w:rFonts w:ascii="Times New Roman" w:hAnsi="Times New Roman" w:cs="Times New Roman" w:eastAsia="Times New Roman" w:hint="default"/>
                <w:sz w:val="21"/>
                <w:szCs w:val="21"/>
              </w:rPr>
            </w:pPr>
            <w:r>
              <w:rPr>
                <w:rFonts w:ascii="Times New Roman"/>
                <w:spacing w:val="-1"/>
                <w:sz w:val="21"/>
              </w:rPr>
              <w:t>5.00</w:t>
            </w:r>
            <w:r>
              <w:rPr>
                <w:rFonts w:ascii="Times New Roman"/>
                <w:sz w:val="21"/>
              </w:rPr>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989" w:right="0"/>
              <w:jc w:val="left"/>
              <w:rPr>
                <w:rFonts w:ascii="Times New Roman" w:hAnsi="Times New Roman" w:cs="Times New Roman" w:eastAsia="Times New Roman" w:hint="default"/>
                <w:sz w:val="21"/>
                <w:szCs w:val="21"/>
              </w:rPr>
            </w:pPr>
            <w:r>
              <w:rPr>
                <w:rFonts w:ascii="Times New Roman"/>
                <w:sz w:val="21"/>
              </w:rPr>
              <w:t>0.1497</w:t>
            </w:r>
          </w:p>
        </w:tc>
      </w:tr>
      <w:tr>
        <w:trPr>
          <w:trHeight w:val="350"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马东亚</w:t>
            </w:r>
          </w:p>
        </w:tc>
        <w:tc>
          <w:tcPr>
            <w:tcW w:w="406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71"/>
              <w:jc w:val="right"/>
              <w:rPr>
                <w:rFonts w:ascii="Times New Roman" w:hAnsi="Times New Roman" w:cs="Times New Roman" w:eastAsia="Times New Roman" w:hint="default"/>
                <w:sz w:val="21"/>
                <w:szCs w:val="21"/>
              </w:rPr>
            </w:pPr>
            <w:r>
              <w:rPr>
                <w:rFonts w:ascii="Times New Roman"/>
                <w:spacing w:val="-1"/>
                <w:sz w:val="21"/>
              </w:rPr>
              <w:t>5.00</w:t>
            </w:r>
            <w:r>
              <w:rPr>
                <w:rFonts w:ascii="Times New Roman"/>
                <w:sz w:val="21"/>
              </w:rPr>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89" w:right="0"/>
              <w:jc w:val="left"/>
              <w:rPr>
                <w:rFonts w:ascii="Times New Roman" w:hAnsi="Times New Roman" w:cs="Times New Roman" w:eastAsia="Times New Roman" w:hint="default"/>
                <w:sz w:val="21"/>
                <w:szCs w:val="21"/>
              </w:rPr>
            </w:pPr>
            <w:r>
              <w:rPr>
                <w:rFonts w:ascii="Times New Roman"/>
                <w:sz w:val="21"/>
              </w:rPr>
              <w:t>0.1497</w:t>
            </w:r>
          </w:p>
        </w:tc>
      </w:tr>
      <w:tr>
        <w:trPr>
          <w:trHeight w:val="350"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沈延晓</w:t>
            </w:r>
          </w:p>
        </w:tc>
        <w:tc>
          <w:tcPr>
            <w:tcW w:w="406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71"/>
              <w:jc w:val="right"/>
              <w:rPr>
                <w:rFonts w:ascii="Times New Roman" w:hAnsi="Times New Roman" w:cs="Times New Roman" w:eastAsia="Times New Roman" w:hint="default"/>
                <w:sz w:val="21"/>
                <w:szCs w:val="21"/>
              </w:rPr>
            </w:pPr>
            <w:r>
              <w:rPr>
                <w:rFonts w:ascii="Times New Roman"/>
                <w:spacing w:val="-1"/>
                <w:sz w:val="21"/>
              </w:rPr>
              <w:t>5.00</w:t>
            </w:r>
            <w:r>
              <w:rPr>
                <w:rFonts w:ascii="Times New Roman"/>
                <w:sz w:val="21"/>
              </w:rPr>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89" w:right="0"/>
              <w:jc w:val="left"/>
              <w:rPr>
                <w:rFonts w:ascii="Times New Roman" w:hAnsi="Times New Roman" w:cs="Times New Roman" w:eastAsia="Times New Roman" w:hint="default"/>
                <w:sz w:val="21"/>
                <w:szCs w:val="21"/>
              </w:rPr>
            </w:pPr>
            <w:r>
              <w:rPr>
                <w:rFonts w:ascii="Times New Roman"/>
                <w:sz w:val="21"/>
              </w:rPr>
              <w:t>0.1497</w:t>
            </w:r>
          </w:p>
        </w:tc>
      </w:tr>
      <w:tr>
        <w:trPr>
          <w:trHeight w:val="350"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张翀</w:t>
            </w:r>
          </w:p>
        </w:tc>
        <w:tc>
          <w:tcPr>
            <w:tcW w:w="406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71"/>
              <w:jc w:val="right"/>
              <w:rPr>
                <w:rFonts w:ascii="Times New Roman" w:hAnsi="Times New Roman" w:cs="Times New Roman" w:eastAsia="Times New Roman" w:hint="default"/>
                <w:sz w:val="21"/>
                <w:szCs w:val="21"/>
              </w:rPr>
            </w:pPr>
            <w:r>
              <w:rPr>
                <w:rFonts w:ascii="Times New Roman"/>
                <w:spacing w:val="-1"/>
                <w:sz w:val="21"/>
              </w:rPr>
              <w:t>5.00</w:t>
            </w:r>
            <w:r>
              <w:rPr>
                <w:rFonts w:ascii="Times New Roman"/>
                <w:sz w:val="21"/>
              </w:rPr>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989" w:right="0"/>
              <w:jc w:val="left"/>
              <w:rPr>
                <w:rFonts w:ascii="Times New Roman" w:hAnsi="Times New Roman" w:cs="Times New Roman" w:eastAsia="Times New Roman" w:hint="default"/>
                <w:sz w:val="21"/>
                <w:szCs w:val="21"/>
              </w:rPr>
            </w:pPr>
            <w:r>
              <w:rPr>
                <w:rFonts w:ascii="Times New Roman"/>
                <w:sz w:val="21"/>
              </w:rPr>
              <w:t>0.1497</w:t>
            </w:r>
          </w:p>
        </w:tc>
      </w:tr>
      <w:tr>
        <w:trPr>
          <w:trHeight w:val="350"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王葆玲</w:t>
            </w:r>
          </w:p>
        </w:tc>
        <w:tc>
          <w:tcPr>
            <w:tcW w:w="406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71"/>
              <w:jc w:val="right"/>
              <w:rPr>
                <w:rFonts w:ascii="Times New Roman" w:hAnsi="Times New Roman" w:cs="Times New Roman" w:eastAsia="Times New Roman" w:hint="default"/>
                <w:sz w:val="21"/>
                <w:szCs w:val="21"/>
              </w:rPr>
            </w:pPr>
            <w:r>
              <w:rPr>
                <w:rFonts w:ascii="Times New Roman"/>
                <w:spacing w:val="-1"/>
                <w:sz w:val="21"/>
              </w:rPr>
              <w:t>5.00</w:t>
            </w:r>
            <w:r>
              <w:rPr>
                <w:rFonts w:ascii="Times New Roman"/>
                <w:sz w:val="21"/>
              </w:rPr>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89" w:right="0"/>
              <w:jc w:val="left"/>
              <w:rPr>
                <w:rFonts w:ascii="Times New Roman" w:hAnsi="Times New Roman" w:cs="Times New Roman" w:eastAsia="Times New Roman" w:hint="default"/>
                <w:sz w:val="21"/>
                <w:szCs w:val="21"/>
              </w:rPr>
            </w:pPr>
            <w:r>
              <w:rPr>
                <w:rFonts w:ascii="Times New Roman"/>
                <w:sz w:val="21"/>
              </w:rPr>
              <w:t>0.1497</w:t>
            </w:r>
          </w:p>
        </w:tc>
      </w:tr>
      <w:tr>
        <w:trPr>
          <w:trHeight w:val="350"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李军艳</w:t>
            </w:r>
          </w:p>
        </w:tc>
        <w:tc>
          <w:tcPr>
            <w:tcW w:w="406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71"/>
              <w:jc w:val="right"/>
              <w:rPr>
                <w:rFonts w:ascii="Times New Roman" w:hAnsi="Times New Roman" w:cs="Times New Roman" w:eastAsia="Times New Roman" w:hint="default"/>
                <w:sz w:val="21"/>
                <w:szCs w:val="21"/>
              </w:rPr>
            </w:pPr>
            <w:r>
              <w:rPr>
                <w:rFonts w:ascii="Times New Roman"/>
                <w:spacing w:val="-1"/>
                <w:sz w:val="21"/>
              </w:rPr>
              <w:t>5.00</w:t>
            </w:r>
            <w:r>
              <w:rPr>
                <w:rFonts w:ascii="Times New Roman"/>
                <w:sz w:val="21"/>
              </w:rPr>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89" w:right="0"/>
              <w:jc w:val="left"/>
              <w:rPr>
                <w:rFonts w:ascii="Times New Roman" w:hAnsi="Times New Roman" w:cs="Times New Roman" w:eastAsia="Times New Roman" w:hint="default"/>
                <w:sz w:val="21"/>
                <w:szCs w:val="21"/>
              </w:rPr>
            </w:pPr>
            <w:r>
              <w:rPr>
                <w:rFonts w:ascii="Times New Roman"/>
                <w:sz w:val="21"/>
              </w:rPr>
              <w:t>0.1497</w:t>
            </w:r>
          </w:p>
        </w:tc>
      </w:tr>
      <w:tr>
        <w:trPr>
          <w:trHeight w:val="350"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张晋</w:t>
            </w:r>
          </w:p>
        </w:tc>
        <w:tc>
          <w:tcPr>
            <w:tcW w:w="406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71"/>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989" w:right="0"/>
              <w:jc w:val="left"/>
              <w:rPr>
                <w:rFonts w:ascii="Times New Roman" w:hAnsi="Times New Roman" w:cs="Times New Roman" w:eastAsia="Times New Roman" w:hint="default"/>
                <w:sz w:val="21"/>
                <w:szCs w:val="21"/>
              </w:rPr>
            </w:pPr>
            <w:r>
              <w:rPr>
                <w:rFonts w:ascii="Times New Roman"/>
                <w:sz w:val="21"/>
              </w:rPr>
              <w:t>0.0599</w:t>
            </w:r>
          </w:p>
        </w:tc>
      </w:tr>
      <w:tr>
        <w:trPr>
          <w:trHeight w:val="350"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秦玉昆</w:t>
            </w:r>
          </w:p>
        </w:tc>
        <w:tc>
          <w:tcPr>
            <w:tcW w:w="406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71"/>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89" w:right="0"/>
              <w:jc w:val="left"/>
              <w:rPr>
                <w:rFonts w:ascii="Times New Roman" w:hAnsi="Times New Roman" w:cs="Times New Roman" w:eastAsia="Times New Roman" w:hint="default"/>
                <w:sz w:val="21"/>
                <w:szCs w:val="21"/>
              </w:rPr>
            </w:pPr>
            <w:r>
              <w:rPr>
                <w:rFonts w:ascii="Times New Roman"/>
                <w:sz w:val="21"/>
              </w:rPr>
              <w:t>0.0599</w:t>
            </w:r>
          </w:p>
        </w:tc>
      </w:tr>
      <w:tr>
        <w:trPr>
          <w:trHeight w:val="350"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郭伍</w:t>
            </w:r>
          </w:p>
        </w:tc>
        <w:tc>
          <w:tcPr>
            <w:tcW w:w="406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71"/>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89" w:right="0"/>
              <w:jc w:val="left"/>
              <w:rPr>
                <w:rFonts w:ascii="Times New Roman" w:hAnsi="Times New Roman" w:cs="Times New Roman" w:eastAsia="Times New Roman" w:hint="default"/>
                <w:sz w:val="21"/>
                <w:szCs w:val="21"/>
              </w:rPr>
            </w:pPr>
            <w:r>
              <w:rPr>
                <w:rFonts w:ascii="Times New Roman"/>
                <w:sz w:val="21"/>
              </w:rPr>
              <w:t>0.0599</w:t>
            </w:r>
          </w:p>
        </w:tc>
      </w:tr>
      <w:tr>
        <w:trPr>
          <w:trHeight w:val="350"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刘建新</w:t>
            </w:r>
          </w:p>
        </w:tc>
        <w:tc>
          <w:tcPr>
            <w:tcW w:w="406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71"/>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989" w:right="0"/>
              <w:jc w:val="left"/>
              <w:rPr>
                <w:rFonts w:ascii="Times New Roman" w:hAnsi="Times New Roman" w:cs="Times New Roman" w:eastAsia="Times New Roman" w:hint="default"/>
                <w:sz w:val="21"/>
                <w:szCs w:val="21"/>
              </w:rPr>
            </w:pPr>
            <w:r>
              <w:rPr>
                <w:rFonts w:ascii="Times New Roman"/>
                <w:sz w:val="21"/>
              </w:rPr>
              <w:t>0.0599</w:t>
            </w:r>
          </w:p>
        </w:tc>
      </w:tr>
      <w:tr>
        <w:trPr>
          <w:trHeight w:val="350"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崔红松</w:t>
            </w:r>
          </w:p>
        </w:tc>
        <w:tc>
          <w:tcPr>
            <w:tcW w:w="406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71"/>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89" w:right="0"/>
              <w:jc w:val="left"/>
              <w:rPr>
                <w:rFonts w:ascii="Times New Roman" w:hAnsi="Times New Roman" w:cs="Times New Roman" w:eastAsia="Times New Roman" w:hint="default"/>
                <w:sz w:val="21"/>
                <w:szCs w:val="21"/>
              </w:rPr>
            </w:pPr>
            <w:r>
              <w:rPr>
                <w:rFonts w:ascii="Times New Roman"/>
                <w:sz w:val="21"/>
              </w:rPr>
              <w:t>0.0599</w:t>
            </w:r>
          </w:p>
        </w:tc>
      </w:tr>
      <w:tr>
        <w:trPr>
          <w:trHeight w:val="350"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肖难</w:t>
            </w:r>
          </w:p>
        </w:tc>
        <w:tc>
          <w:tcPr>
            <w:tcW w:w="406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71"/>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89" w:right="0"/>
              <w:jc w:val="left"/>
              <w:rPr>
                <w:rFonts w:ascii="Times New Roman" w:hAnsi="Times New Roman" w:cs="Times New Roman" w:eastAsia="Times New Roman" w:hint="default"/>
                <w:sz w:val="21"/>
                <w:szCs w:val="21"/>
              </w:rPr>
            </w:pPr>
            <w:r>
              <w:rPr>
                <w:rFonts w:ascii="Times New Roman"/>
                <w:sz w:val="21"/>
              </w:rPr>
              <w:t>0.0599</w:t>
            </w:r>
          </w:p>
        </w:tc>
      </w:tr>
      <w:tr>
        <w:trPr>
          <w:trHeight w:val="350"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陈传兵</w:t>
            </w:r>
          </w:p>
        </w:tc>
        <w:tc>
          <w:tcPr>
            <w:tcW w:w="406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71"/>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989" w:right="0"/>
              <w:jc w:val="left"/>
              <w:rPr>
                <w:rFonts w:ascii="Times New Roman" w:hAnsi="Times New Roman" w:cs="Times New Roman" w:eastAsia="Times New Roman" w:hint="default"/>
                <w:sz w:val="21"/>
                <w:szCs w:val="21"/>
              </w:rPr>
            </w:pPr>
            <w:r>
              <w:rPr>
                <w:rFonts w:ascii="Times New Roman"/>
                <w:sz w:val="21"/>
              </w:rPr>
              <w:t>0.0599</w:t>
            </w:r>
          </w:p>
        </w:tc>
      </w:tr>
      <w:tr>
        <w:trPr>
          <w:trHeight w:val="350"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高永辉</w:t>
            </w:r>
          </w:p>
        </w:tc>
        <w:tc>
          <w:tcPr>
            <w:tcW w:w="406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71"/>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89" w:right="0"/>
              <w:jc w:val="left"/>
              <w:rPr>
                <w:rFonts w:ascii="Times New Roman" w:hAnsi="Times New Roman" w:cs="Times New Roman" w:eastAsia="Times New Roman" w:hint="default"/>
                <w:sz w:val="21"/>
                <w:szCs w:val="21"/>
              </w:rPr>
            </w:pPr>
            <w:r>
              <w:rPr>
                <w:rFonts w:ascii="Times New Roman"/>
                <w:sz w:val="21"/>
              </w:rPr>
              <w:t>0.0599</w:t>
            </w:r>
          </w:p>
        </w:tc>
      </w:tr>
      <w:tr>
        <w:trPr>
          <w:trHeight w:val="350"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毕强伟</w:t>
            </w:r>
          </w:p>
        </w:tc>
        <w:tc>
          <w:tcPr>
            <w:tcW w:w="406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71"/>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89" w:right="0"/>
              <w:jc w:val="left"/>
              <w:rPr>
                <w:rFonts w:ascii="Times New Roman" w:hAnsi="Times New Roman" w:cs="Times New Roman" w:eastAsia="Times New Roman" w:hint="default"/>
                <w:sz w:val="21"/>
                <w:szCs w:val="21"/>
              </w:rPr>
            </w:pPr>
            <w:r>
              <w:rPr>
                <w:rFonts w:ascii="Times New Roman"/>
                <w:sz w:val="21"/>
              </w:rPr>
              <w:t>0.0599</w:t>
            </w:r>
          </w:p>
        </w:tc>
      </w:tr>
      <w:tr>
        <w:trPr>
          <w:trHeight w:val="350"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关虎</w:t>
            </w:r>
          </w:p>
        </w:tc>
        <w:tc>
          <w:tcPr>
            <w:tcW w:w="406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71"/>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989" w:right="0"/>
              <w:jc w:val="left"/>
              <w:rPr>
                <w:rFonts w:ascii="Times New Roman" w:hAnsi="Times New Roman" w:cs="Times New Roman" w:eastAsia="Times New Roman" w:hint="default"/>
                <w:sz w:val="21"/>
                <w:szCs w:val="21"/>
              </w:rPr>
            </w:pPr>
            <w:r>
              <w:rPr>
                <w:rFonts w:ascii="Times New Roman"/>
                <w:sz w:val="21"/>
              </w:rPr>
              <w:t>0.0599</w:t>
            </w:r>
          </w:p>
        </w:tc>
      </w:tr>
      <w:tr>
        <w:trPr>
          <w:trHeight w:val="350"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冯一新</w:t>
            </w:r>
          </w:p>
        </w:tc>
        <w:tc>
          <w:tcPr>
            <w:tcW w:w="406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71"/>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89" w:right="0"/>
              <w:jc w:val="left"/>
              <w:rPr>
                <w:rFonts w:ascii="Times New Roman" w:hAnsi="Times New Roman" w:cs="Times New Roman" w:eastAsia="Times New Roman" w:hint="default"/>
                <w:sz w:val="21"/>
                <w:szCs w:val="21"/>
              </w:rPr>
            </w:pPr>
            <w:r>
              <w:rPr>
                <w:rFonts w:ascii="Times New Roman"/>
                <w:sz w:val="21"/>
              </w:rPr>
              <w:t>0.0599</w:t>
            </w:r>
          </w:p>
        </w:tc>
      </w:tr>
      <w:tr>
        <w:trPr>
          <w:trHeight w:val="350"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于滨</w:t>
            </w:r>
          </w:p>
        </w:tc>
        <w:tc>
          <w:tcPr>
            <w:tcW w:w="406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71"/>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89" w:right="0"/>
              <w:jc w:val="left"/>
              <w:rPr>
                <w:rFonts w:ascii="Times New Roman" w:hAnsi="Times New Roman" w:cs="Times New Roman" w:eastAsia="Times New Roman" w:hint="default"/>
                <w:sz w:val="21"/>
                <w:szCs w:val="21"/>
              </w:rPr>
            </w:pPr>
            <w:r>
              <w:rPr>
                <w:rFonts w:ascii="Times New Roman"/>
                <w:sz w:val="21"/>
              </w:rPr>
              <w:t>0.0599</w:t>
            </w:r>
          </w:p>
        </w:tc>
      </w:tr>
      <w:tr>
        <w:trPr>
          <w:trHeight w:val="350"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丁广勇</w:t>
            </w:r>
          </w:p>
        </w:tc>
        <w:tc>
          <w:tcPr>
            <w:tcW w:w="406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71"/>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989" w:right="0"/>
              <w:jc w:val="left"/>
              <w:rPr>
                <w:rFonts w:ascii="Times New Roman" w:hAnsi="Times New Roman" w:cs="Times New Roman" w:eastAsia="Times New Roman" w:hint="default"/>
                <w:sz w:val="21"/>
                <w:szCs w:val="21"/>
              </w:rPr>
            </w:pPr>
            <w:r>
              <w:rPr>
                <w:rFonts w:ascii="Times New Roman"/>
                <w:sz w:val="21"/>
              </w:rPr>
              <w:t>0.0599</w:t>
            </w:r>
          </w:p>
        </w:tc>
      </w:tr>
      <w:tr>
        <w:trPr>
          <w:trHeight w:val="350"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阎玉玺</w:t>
            </w:r>
          </w:p>
        </w:tc>
        <w:tc>
          <w:tcPr>
            <w:tcW w:w="406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71"/>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89" w:right="0"/>
              <w:jc w:val="left"/>
              <w:rPr>
                <w:rFonts w:ascii="Times New Roman" w:hAnsi="Times New Roman" w:cs="Times New Roman" w:eastAsia="Times New Roman" w:hint="default"/>
                <w:sz w:val="21"/>
                <w:szCs w:val="21"/>
              </w:rPr>
            </w:pPr>
            <w:r>
              <w:rPr>
                <w:rFonts w:ascii="Times New Roman"/>
                <w:sz w:val="21"/>
              </w:rPr>
              <w:t>0.0599</w:t>
            </w:r>
          </w:p>
        </w:tc>
      </w:tr>
      <w:tr>
        <w:trPr>
          <w:trHeight w:val="350"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曾劲松</w:t>
            </w:r>
          </w:p>
        </w:tc>
        <w:tc>
          <w:tcPr>
            <w:tcW w:w="406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71"/>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89" w:right="0"/>
              <w:jc w:val="left"/>
              <w:rPr>
                <w:rFonts w:ascii="Times New Roman" w:hAnsi="Times New Roman" w:cs="Times New Roman" w:eastAsia="Times New Roman" w:hint="default"/>
                <w:sz w:val="21"/>
                <w:szCs w:val="21"/>
              </w:rPr>
            </w:pPr>
            <w:r>
              <w:rPr>
                <w:rFonts w:ascii="Times New Roman"/>
                <w:sz w:val="21"/>
              </w:rPr>
              <w:t>0.0599</w:t>
            </w:r>
          </w:p>
        </w:tc>
      </w:tr>
      <w:tr>
        <w:trPr>
          <w:trHeight w:val="350"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马超锋</w:t>
            </w:r>
          </w:p>
        </w:tc>
        <w:tc>
          <w:tcPr>
            <w:tcW w:w="406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71"/>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989" w:right="0"/>
              <w:jc w:val="left"/>
              <w:rPr>
                <w:rFonts w:ascii="Times New Roman" w:hAnsi="Times New Roman" w:cs="Times New Roman" w:eastAsia="Times New Roman" w:hint="default"/>
                <w:sz w:val="21"/>
                <w:szCs w:val="21"/>
              </w:rPr>
            </w:pPr>
            <w:r>
              <w:rPr>
                <w:rFonts w:ascii="Times New Roman"/>
                <w:sz w:val="21"/>
              </w:rPr>
              <w:t>0.0599</w:t>
            </w:r>
          </w:p>
        </w:tc>
      </w:tr>
      <w:tr>
        <w:trPr>
          <w:trHeight w:val="350"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徐亚飞</w:t>
            </w:r>
          </w:p>
        </w:tc>
        <w:tc>
          <w:tcPr>
            <w:tcW w:w="406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71"/>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89" w:right="0"/>
              <w:jc w:val="left"/>
              <w:rPr>
                <w:rFonts w:ascii="Times New Roman" w:hAnsi="Times New Roman" w:cs="Times New Roman" w:eastAsia="Times New Roman" w:hint="default"/>
                <w:sz w:val="21"/>
                <w:szCs w:val="21"/>
              </w:rPr>
            </w:pPr>
            <w:r>
              <w:rPr>
                <w:rFonts w:ascii="Times New Roman"/>
                <w:sz w:val="21"/>
              </w:rPr>
              <w:t>0.0599</w:t>
            </w:r>
          </w:p>
        </w:tc>
      </w:tr>
      <w:tr>
        <w:trPr>
          <w:trHeight w:val="350"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彭勇平</w:t>
            </w:r>
          </w:p>
        </w:tc>
        <w:tc>
          <w:tcPr>
            <w:tcW w:w="406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71"/>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89" w:right="0"/>
              <w:jc w:val="left"/>
              <w:rPr>
                <w:rFonts w:ascii="Times New Roman" w:hAnsi="Times New Roman" w:cs="Times New Roman" w:eastAsia="Times New Roman" w:hint="default"/>
                <w:sz w:val="21"/>
                <w:szCs w:val="21"/>
              </w:rPr>
            </w:pPr>
            <w:r>
              <w:rPr>
                <w:rFonts w:ascii="Times New Roman"/>
                <w:sz w:val="21"/>
              </w:rPr>
              <w:t>0.0599</w:t>
            </w:r>
          </w:p>
        </w:tc>
      </w:tr>
      <w:tr>
        <w:trPr>
          <w:trHeight w:val="350"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尚勤强</w:t>
            </w:r>
          </w:p>
        </w:tc>
        <w:tc>
          <w:tcPr>
            <w:tcW w:w="406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71"/>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989" w:right="0"/>
              <w:jc w:val="left"/>
              <w:rPr>
                <w:rFonts w:ascii="Times New Roman" w:hAnsi="Times New Roman" w:cs="Times New Roman" w:eastAsia="Times New Roman" w:hint="default"/>
                <w:sz w:val="21"/>
                <w:szCs w:val="21"/>
              </w:rPr>
            </w:pPr>
            <w:r>
              <w:rPr>
                <w:rFonts w:ascii="Times New Roman"/>
                <w:sz w:val="21"/>
              </w:rPr>
              <w:t>0.0599</w:t>
            </w:r>
          </w:p>
        </w:tc>
      </w:tr>
      <w:tr>
        <w:trPr>
          <w:trHeight w:val="350"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华燚</w:t>
            </w:r>
          </w:p>
        </w:tc>
        <w:tc>
          <w:tcPr>
            <w:tcW w:w="406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71"/>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89" w:right="0"/>
              <w:jc w:val="left"/>
              <w:rPr>
                <w:rFonts w:ascii="Times New Roman" w:hAnsi="Times New Roman" w:cs="Times New Roman" w:eastAsia="Times New Roman" w:hint="default"/>
                <w:sz w:val="21"/>
                <w:szCs w:val="21"/>
              </w:rPr>
            </w:pPr>
            <w:r>
              <w:rPr>
                <w:rFonts w:ascii="Times New Roman"/>
                <w:sz w:val="21"/>
              </w:rPr>
              <w:t>0.0599</w:t>
            </w:r>
          </w:p>
        </w:tc>
      </w:tr>
      <w:tr>
        <w:trPr>
          <w:trHeight w:val="350"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任海伦</w:t>
            </w:r>
          </w:p>
        </w:tc>
        <w:tc>
          <w:tcPr>
            <w:tcW w:w="406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71"/>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89" w:right="0"/>
              <w:jc w:val="left"/>
              <w:rPr>
                <w:rFonts w:ascii="Times New Roman" w:hAnsi="Times New Roman" w:cs="Times New Roman" w:eastAsia="Times New Roman" w:hint="default"/>
                <w:sz w:val="21"/>
                <w:szCs w:val="21"/>
              </w:rPr>
            </w:pPr>
            <w:r>
              <w:rPr>
                <w:rFonts w:ascii="Times New Roman"/>
                <w:sz w:val="21"/>
              </w:rPr>
              <w:t>0.0599</w:t>
            </w:r>
          </w:p>
        </w:tc>
      </w:tr>
      <w:tr>
        <w:trPr>
          <w:trHeight w:val="350"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刘建军</w:t>
            </w:r>
          </w:p>
        </w:tc>
        <w:tc>
          <w:tcPr>
            <w:tcW w:w="406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71"/>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989" w:right="0"/>
              <w:jc w:val="left"/>
              <w:rPr>
                <w:rFonts w:ascii="Times New Roman" w:hAnsi="Times New Roman" w:cs="Times New Roman" w:eastAsia="Times New Roman" w:hint="default"/>
                <w:sz w:val="21"/>
                <w:szCs w:val="21"/>
              </w:rPr>
            </w:pPr>
            <w:r>
              <w:rPr>
                <w:rFonts w:ascii="Times New Roman"/>
                <w:sz w:val="21"/>
              </w:rPr>
              <w:t>0.0599</w:t>
            </w:r>
          </w:p>
        </w:tc>
      </w:tr>
      <w:tr>
        <w:trPr>
          <w:trHeight w:val="350"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李江</w:t>
            </w:r>
          </w:p>
        </w:tc>
        <w:tc>
          <w:tcPr>
            <w:tcW w:w="406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71"/>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89" w:right="0"/>
              <w:jc w:val="left"/>
              <w:rPr>
                <w:rFonts w:ascii="Times New Roman" w:hAnsi="Times New Roman" w:cs="Times New Roman" w:eastAsia="Times New Roman" w:hint="default"/>
                <w:sz w:val="21"/>
                <w:szCs w:val="21"/>
              </w:rPr>
            </w:pPr>
            <w:r>
              <w:rPr>
                <w:rFonts w:ascii="Times New Roman"/>
                <w:sz w:val="21"/>
              </w:rPr>
              <w:t>0.0599</w:t>
            </w:r>
          </w:p>
        </w:tc>
      </w:tr>
      <w:tr>
        <w:trPr>
          <w:trHeight w:val="350"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谢伟</w:t>
            </w:r>
          </w:p>
        </w:tc>
        <w:tc>
          <w:tcPr>
            <w:tcW w:w="406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71"/>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89" w:right="0"/>
              <w:jc w:val="left"/>
              <w:rPr>
                <w:rFonts w:ascii="Times New Roman" w:hAnsi="Times New Roman" w:cs="Times New Roman" w:eastAsia="Times New Roman" w:hint="default"/>
                <w:sz w:val="21"/>
                <w:szCs w:val="21"/>
              </w:rPr>
            </w:pPr>
            <w:r>
              <w:rPr>
                <w:rFonts w:ascii="Times New Roman"/>
                <w:sz w:val="21"/>
              </w:rPr>
              <w:t>0.0599</w:t>
            </w:r>
          </w:p>
        </w:tc>
      </w:tr>
      <w:tr>
        <w:trPr>
          <w:trHeight w:val="350"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袁胜兵</w:t>
            </w:r>
          </w:p>
        </w:tc>
        <w:tc>
          <w:tcPr>
            <w:tcW w:w="406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71"/>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989" w:right="0"/>
              <w:jc w:val="left"/>
              <w:rPr>
                <w:rFonts w:ascii="Times New Roman" w:hAnsi="Times New Roman" w:cs="Times New Roman" w:eastAsia="Times New Roman" w:hint="default"/>
                <w:sz w:val="21"/>
                <w:szCs w:val="21"/>
              </w:rPr>
            </w:pPr>
            <w:r>
              <w:rPr>
                <w:rFonts w:ascii="Times New Roman"/>
                <w:sz w:val="21"/>
              </w:rPr>
              <w:t>0.0599</w:t>
            </w:r>
          </w:p>
        </w:tc>
      </w:tr>
      <w:tr>
        <w:trPr>
          <w:trHeight w:val="350"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赵鑫</w:t>
            </w:r>
          </w:p>
        </w:tc>
        <w:tc>
          <w:tcPr>
            <w:tcW w:w="406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71"/>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89" w:right="0"/>
              <w:jc w:val="left"/>
              <w:rPr>
                <w:rFonts w:ascii="Times New Roman" w:hAnsi="Times New Roman" w:cs="Times New Roman" w:eastAsia="Times New Roman" w:hint="default"/>
                <w:sz w:val="21"/>
                <w:szCs w:val="21"/>
              </w:rPr>
            </w:pPr>
            <w:r>
              <w:rPr>
                <w:rFonts w:ascii="Times New Roman"/>
                <w:sz w:val="21"/>
              </w:rPr>
              <w:t>0.0599</w:t>
            </w:r>
          </w:p>
        </w:tc>
      </w:tr>
      <w:tr>
        <w:trPr>
          <w:trHeight w:val="327" w:hRule="exact"/>
        </w:trPr>
        <w:tc>
          <w:tcPr>
            <w:tcW w:w="2731" w:type="dxa"/>
            <w:tcBorders>
              <w:top w:val="nil" w:sz="6" w:space="0" w:color="auto"/>
              <w:left w:val="nil" w:sz="6" w:space="0" w:color="auto"/>
              <w:bottom w:val="single" w:sz="12" w:space="0" w:color="000000"/>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062" w:type="dxa"/>
            <w:tcBorders>
              <w:top w:val="nil" w:sz="6" w:space="0" w:color="auto"/>
              <w:left w:val="nil" w:sz="6" w:space="0" w:color="auto"/>
              <w:bottom w:val="single" w:sz="12" w:space="0" w:color="000000"/>
              <w:right w:val="nil" w:sz="6" w:space="0" w:color="auto"/>
            </w:tcBorders>
          </w:tcPr>
          <w:p>
            <w:pPr>
              <w:pStyle w:val="TableParagraph"/>
              <w:spacing w:line="240" w:lineRule="auto" w:before="49"/>
              <w:ind w:right="586"/>
              <w:jc w:val="right"/>
              <w:rPr>
                <w:rFonts w:ascii="Times New Roman" w:hAnsi="Times New Roman" w:cs="Times New Roman" w:eastAsia="Times New Roman" w:hint="default"/>
                <w:sz w:val="21"/>
                <w:szCs w:val="21"/>
              </w:rPr>
            </w:pPr>
            <w:r>
              <w:rPr>
                <w:rFonts w:ascii="Times New Roman"/>
                <w:spacing w:val="-1"/>
                <w:sz w:val="21"/>
              </w:rPr>
              <w:t>3,340.00</w:t>
            </w:r>
          </w:p>
        </w:tc>
        <w:tc>
          <w:tcPr>
            <w:tcW w:w="2174" w:type="dxa"/>
            <w:tcBorders>
              <w:top w:val="nil" w:sz="6" w:space="0" w:color="auto"/>
              <w:left w:val="nil" w:sz="6" w:space="0" w:color="auto"/>
              <w:bottom w:val="single" w:sz="12" w:space="0" w:color="000000"/>
              <w:right w:val="nil" w:sz="6" w:space="0" w:color="auto"/>
            </w:tcBorders>
          </w:tcPr>
          <w:p>
            <w:pPr>
              <w:pStyle w:val="TableParagraph"/>
              <w:spacing w:line="240" w:lineRule="auto" w:before="49"/>
              <w:ind w:left="990" w:right="0"/>
              <w:jc w:val="left"/>
              <w:rPr>
                <w:rFonts w:ascii="Times New Roman" w:hAnsi="Times New Roman" w:cs="Times New Roman" w:eastAsia="Times New Roman" w:hint="default"/>
                <w:sz w:val="21"/>
                <w:szCs w:val="21"/>
              </w:rPr>
            </w:pPr>
            <w:r>
              <w:rPr>
                <w:rFonts w:ascii="Times New Roman"/>
                <w:sz w:val="21"/>
              </w:rPr>
              <w:t>100.00</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82" w:top="1100" w:bottom="1180" w:left="980" w:right="88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65"/>
        <w:ind w:left="574" w:right="213"/>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年发行</w:t>
      </w:r>
      <w:r>
        <w:rPr>
          <w:spacing w:val="-57"/>
        </w:rPr>
        <w:t> </w:t>
      </w:r>
      <w:r>
        <w:rPr>
          <w:rFonts w:ascii="Times New Roman" w:hAnsi="Times New Roman" w:cs="Times New Roman" w:eastAsia="Times New Roman" w:hint="default"/>
        </w:rPr>
        <w:t>A</w:t>
      </w:r>
      <w:r>
        <w:rPr>
          <w:rFonts w:ascii="Times New Roman" w:hAnsi="Times New Roman" w:cs="Times New Roman" w:eastAsia="Times New Roman" w:hint="default"/>
          <w:spacing w:val="-5"/>
        </w:rPr>
        <w:t> </w:t>
      </w:r>
      <w:r>
        <w:rPr/>
        <w:t>股</w:t>
      </w:r>
    </w:p>
    <w:p>
      <w:pPr>
        <w:pStyle w:val="BodyText"/>
        <w:spacing w:line="240" w:lineRule="auto" w:before="109"/>
        <w:ind w:left="574" w:right="9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8 </w:t>
      </w:r>
      <w:r>
        <w:rPr/>
        <w:t>日</w:t>
      </w:r>
      <w:r>
        <w:rPr>
          <w:spacing w:val="-23"/>
        </w:rPr>
        <w:t>，</w:t>
      </w:r>
      <w:r>
        <w:rPr/>
        <w:t>根据本公司</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0 </w:t>
      </w:r>
      <w:r>
        <w:rPr/>
        <w:t>年第五次</w:t>
      </w:r>
      <w:r>
        <w:rPr>
          <w:spacing w:val="-2"/>
        </w:rPr>
        <w:t>临</w:t>
      </w:r>
      <w:r>
        <w:rPr/>
        <w:t>时股东大会决议及修改后的公司章</w:t>
      </w:r>
      <w:r>
        <w:rPr>
          <w:spacing w:val="-23"/>
        </w:rPr>
        <w:t>程</w:t>
      </w:r>
      <w:r>
        <w:rPr/>
        <w:t>（草案</w:t>
      </w:r>
      <w:r>
        <w:rPr>
          <w:spacing w:val="-105"/>
        </w:rPr>
        <w:t>）</w:t>
      </w:r>
      <w:r>
        <w:rPr>
          <w:spacing w:val="-23"/>
        </w:rPr>
        <w:t>，</w:t>
      </w:r>
      <w:r>
        <w:rPr/>
        <w:t>本公</w:t>
      </w:r>
    </w:p>
    <w:p>
      <w:pPr>
        <w:pStyle w:val="BodyText"/>
        <w:spacing w:line="328" w:lineRule="auto" w:before="110"/>
        <w:ind w:left="153" w:right="231"/>
        <w:jc w:val="both"/>
      </w:pPr>
      <w:r>
        <w:rPr/>
        <w:t>司申请增加注册资本人民币</w:t>
      </w:r>
      <w:r>
        <w:rPr>
          <w:spacing w:val="-59"/>
        </w:rPr>
        <w:t> </w:t>
      </w:r>
      <w:r>
        <w:rPr>
          <w:rFonts w:ascii="Times New Roman" w:hAnsi="Times New Roman" w:cs="Times New Roman" w:eastAsia="Times New Roman" w:hint="default"/>
        </w:rPr>
        <w:t>1,120.00</w:t>
      </w:r>
      <w:r>
        <w:rPr>
          <w:rFonts w:ascii="Times New Roman" w:hAnsi="Times New Roman" w:cs="Times New Roman" w:eastAsia="Times New Roman" w:hint="default"/>
          <w:spacing w:val="-6"/>
        </w:rPr>
        <w:t> </w:t>
      </w:r>
      <w:r>
        <w:rPr/>
        <w:t>万元，每股面值</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元，计增加股本</w:t>
      </w:r>
      <w:r>
        <w:rPr>
          <w:spacing w:val="-59"/>
        </w:rPr>
        <w:t> </w:t>
      </w:r>
      <w:r>
        <w:rPr>
          <w:rFonts w:ascii="Times New Roman" w:hAnsi="Times New Roman" w:cs="Times New Roman" w:eastAsia="Times New Roman" w:hint="default"/>
        </w:rPr>
        <w:t>1,120.00</w:t>
      </w:r>
      <w:r>
        <w:rPr>
          <w:rFonts w:ascii="Times New Roman" w:hAnsi="Times New Roman" w:cs="Times New Roman" w:eastAsia="Times New Roman" w:hint="default"/>
          <w:spacing w:val="-6"/>
        </w:rPr>
        <w:t> </w:t>
      </w:r>
      <w:r>
        <w:rPr/>
        <w:t>万元。经中国证券监督管 理委员会证监许可</w:t>
      </w:r>
      <w:r>
        <w:rPr>
          <w:rFonts w:ascii="Times New Roman" w:hAnsi="Times New Roman" w:cs="Times New Roman" w:eastAsia="Times New Roman" w:hint="default"/>
        </w:rPr>
        <w:t>[2011]1067</w:t>
      </w:r>
      <w:r>
        <w:rPr>
          <w:rFonts w:ascii="Times New Roman" w:hAnsi="Times New Roman" w:cs="Times New Roman" w:eastAsia="Times New Roman" w:hint="default"/>
          <w:spacing w:val="-8"/>
        </w:rPr>
        <w:t> </w:t>
      </w:r>
      <w:r>
        <w:rPr/>
        <w:t>号《关于核准郑州新开普电子股份有限公司首次公开发行股票并在创业板上 市的批复》批准的发行方案，本公司于</w:t>
      </w:r>
      <w:r>
        <w:rPr>
          <w:spacing w:val="-5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07</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日以公开发售方式发行</w:t>
      </w:r>
      <w:r>
        <w:rPr>
          <w:spacing w:val="-51"/>
        </w:rPr>
        <w:t> </w:t>
      </w:r>
      <w:r>
        <w:rPr>
          <w:rFonts w:ascii="Times New Roman" w:hAnsi="Times New Roman" w:cs="Times New Roman" w:eastAsia="Times New Roman" w:hint="default"/>
        </w:rPr>
        <w:t>A</w:t>
      </w:r>
      <w:r>
        <w:rPr>
          <w:rFonts w:ascii="Times New Roman" w:hAnsi="Times New Roman" w:cs="Times New Roman" w:eastAsia="Times New Roman" w:hint="default"/>
          <w:spacing w:val="2"/>
        </w:rPr>
        <w:t> </w:t>
      </w:r>
      <w:r>
        <w:rPr/>
        <w:t>股</w:t>
      </w:r>
      <w:r>
        <w:rPr>
          <w:spacing w:val="-50"/>
        </w:rPr>
        <w:t> </w:t>
      </w:r>
      <w:r>
        <w:rPr>
          <w:rFonts w:ascii="Times New Roman" w:hAnsi="Times New Roman" w:cs="Times New Roman" w:eastAsia="Times New Roman" w:hint="default"/>
        </w:rPr>
        <w:t>1,120.00</w:t>
      </w:r>
      <w:r>
        <w:rPr>
          <w:rFonts w:ascii="Times New Roman" w:hAnsi="Times New Roman" w:cs="Times New Roman" w:eastAsia="Times New Roman" w:hint="default"/>
          <w:spacing w:val="2"/>
        </w:rPr>
        <w:t> </w:t>
      </w:r>
      <w:r>
        <w:rPr/>
        <w:t>万股，每股</w:t>
      </w:r>
    </w:p>
    <w:p>
      <w:pPr>
        <w:pStyle w:val="BodyText"/>
        <w:spacing w:line="240" w:lineRule="auto" w:before="24"/>
        <w:ind w:left="153" w:right="0"/>
        <w:jc w:val="both"/>
      </w:pPr>
      <w:r>
        <w:rPr/>
        <w:t>发行价格人民币 </w:t>
      </w:r>
      <w:r>
        <w:rPr>
          <w:rFonts w:ascii="Times New Roman" w:hAnsi="Times New Roman" w:cs="Times New Roman" w:eastAsia="Times New Roman" w:hint="default"/>
        </w:rPr>
        <w:t>30.00  </w:t>
      </w:r>
      <w:r>
        <w:rPr/>
        <w:t>元，募集资金总额 </w:t>
      </w:r>
      <w:r>
        <w:rPr>
          <w:rFonts w:ascii="Times New Roman" w:hAnsi="Times New Roman" w:cs="Times New Roman" w:eastAsia="Times New Roman" w:hint="default"/>
        </w:rPr>
        <w:t>33,600.00  </w:t>
      </w:r>
      <w:r>
        <w:rPr/>
        <w:t>万，扣除发行费用 </w:t>
      </w:r>
      <w:r>
        <w:rPr>
          <w:rFonts w:ascii="Times New Roman" w:hAnsi="Times New Roman" w:cs="Times New Roman" w:eastAsia="Times New Roman" w:hint="default"/>
        </w:rPr>
        <w:t>3,697.34 </w:t>
      </w:r>
      <w:r>
        <w:rPr>
          <w:rFonts w:ascii="Times New Roman" w:hAnsi="Times New Roman" w:cs="Times New Roman" w:eastAsia="Times New Roman" w:hint="default"/>
          <w:spacing w:val="13"/>
        </w:rPr>
        <w:t> </w:t>
      </w:r>
      <w:r>
        <w:rPr/>
        <w:t>万后实际募集资金净额</w:t>
      </w:r>
    </w:p>
    <w:p>
      <w:pPr>
        <w:pStyle w:val="BodyText"/>
        <w:spacing w:line="240" w:lineRule="auto" w:before="109"/>
        <w:ind w:left="153" w:right="0"/>
        <w:jc w:val="both"/>
      </w:pPr>
      <w:r>
        <w:rPr>
          <w:rFonts w:ascii="Times New Roman" w:hAnsi="Times New Roman" w:cs="Times New Roman" w:eastAsia="Times New Roman" w:hint="default"/>
        </w:rPr>
        <w:t>29,902.66</w:t>
      </w:r>
      <w:r>
        <w:rPr>
          <w:rFonts w:ascii="Times New Roman" w:hAnsi="Times New Roman" w:cs="Times New Roman" w:eastAsia="Times New Roman" w:hint="default"/>
          <w:spacing w:val="6"/>
        </w:rPr>
        <w:t> </w:t>
      </w:r>
      <w:r>
        <w:rPr/>
        <w:t>万，实际募集资金与注册资本差额</w:t>
      </w:r>
      <w:r>
        <w:rPr>
          <w:spacing w:val="-47"/>
        </w:rPr>
        <w:t> </w:t>
      </w:r>
      <w:r>
        <w:rPr>
          <w:rFonts w:ascii="Times New Roman" w:hAnsi="Times New Roman" w:cs="Times New Roman" w:eastAsia="Times New Roman" w:hint="default"/>
        </w:rPr>
        <w:t>28,782.66</w:t>
      </w:r>
      <w:r>
        <w:rPr>
          <w:rFonts w:ascii="Times New Roman" w:hAnsi="Times New Roman" w:cs="Times New Roman" w:eastAsia="Times New Roman" w:hint="default"/>
          <w:spacing w:val="6"/>
        </w:rPr>
        <w:t> </w:t>
      </w:r>
      <w:r>
        <w:rPr/>
        <w:t>万元计入资本公积。公开发售结束后本公司股份为</w:t>
      </w:r>
    </w:p>
    <w:p>
      <w:pPr>
        <w:pStyle w:val="BodyText"/>
        <w:spacing w:line="240" w:lineRule="auto" w:before="109"/>
        <w:ind w:left="153" w:right="0"/>
        <w:jc w:val="both"/>
      </w:pPr>
      <w:r>
        <w:rPr>
          <w:rFonts w:ascii="Times New Roman" w:hAnsi="Times New Roman" w:cs="Times New Roman" w:eastAsia="Times New Roman" w:hint="default"/>
        </w:rPr>
        <w:t>4,460.00 </w:t>
      </w:r>
      <w:r>
        <w:rPr/>
        <w:t>万股，变更后的注册资本为 </w:t>
      </w:r>
      <w:r>
        <w:rPr>
          <w:rFonts w:ascii="Times New Roman" w:hAnsi="Times New Roman" w:cs="Times New Roman" w:eastAsia="Times New Roman" w:hint="default"/>
        </w:rPr>
        <w:t>4,460.00</w:t>
      </w:r>
      <w:r>
        <w:rPr>
          <w:rFonts w:ascii="Times New Roman" w:hAnsi="Times New Roman" w:cs="Times New Roman" w:eastAsia="Times New Roman" w:hint="default"/>
          <w:spacing w:val="-32"/>
        </w:rPr>
        <w:t> </w:t>
      </w:r>
      <w:r>
        <w:rPr/>
        <w:t>万元，已经利安达会计师事务所有限责任公司审验，并出具</w:t>
      </w:r>
    </w:p>
    <w:p>
      <w:pPr>
        <w:pStyle w:val="BodyText"/>
        <w:spacing w:line="328" w:lineRule="auto" w:before="110"/>
        <w:ind w:left="573" w:right="4181" w:hanging="420"/>
        <w:jc w:val="left"/>
      </w:pPr>
      <w:r>
        <w:rPr/>
        <w:pict>
          <v:group style="position:absolute;margin-left:94.68pt;margin-top:42.120827pt;width:450.3pt;height:490.65pt;mso-position-horizontal-relative:page;mso-position-vertical-relative:paragraph;z-index:-1166680" coordorigin="1894,842" coordsize="9006,9813">
            <v:shape style="position:absolute;left:5616;top:842;width:3078;height:384" type="#_x0000_t75" stroked="false">
              <v:imagedata r:id="rId49" o:title=""/>
            </v:shape>
            <v:shape style="position:absolute;left:1894;top:1186;width:9006;height:9469" type="#_x0000_t75" stroked="false">
              <v:imagedata r:id="rId50" o:title=""/>
            </v:shape>
            <w10:wrap type="none"/>
          </v:group>
        </w:pict>
      </w:r>
      <w:r>
        <w:rPr/>
        <w:t>利安达验字［</w:t>
      </w:r>
      <w:r>
        <w:rPr>
          <w:rFonts w:ascii="Times New Roman" w:hAnsi="Times New Roman" w:cs="Times New Roman" w:eastAsia="Times New Roman" w:hint="default"/>
        </w:rPr>
        <w:t>2011</w:t>
      </w:r>
      <w:r>
        <w:rPr/>
        <w:t>］第</w:t>
      </w:r>
      <w:r>
        <w:rPr>
          <w:spacing w:val="-54"/>
        </w:rPr>
        <w:t> </w:t>
      </w:r>
      <w:r>
        <w:rPr>
          <w:rFonts w:ascii="Times New Roman" w:hAnsi="Times New Roman" w:cs="Times New Roman" w:eastAsia="Times New Roman" w:hint="default"/>
        </w:rPr>
        <w:t>1067</w:t>
      </w:r>
      <w:r>
        <w:rPr>
          <w:rFonts w:ascii="Times New Roman" w:hAnsi="Times New Roman" w:cs="Times New Roman" w:eastAsia="Times New Roman" w:hint="default"/>
          <w:spacing w:val="-1"/>
        </w:rPr>
        <w:t> </w:t>
      </w:r>
      <w:r>
        <w:rPr/>
        <w:t>号验资报告。 增加注册资本后，各股东认缴注册资本额和出资比例为：</w:t>
      </w:r>
    </w:p>
    <w:tbl>
      <w:tblPr>
        <w:tblW w:w="0" w:type="auto"/>
        <w:jc w:val="left"/>
        <w:tblInd w:w="932" w:type="dxa"/>
        <w:tblLayout w:type="fixed"/>
        <w:tblCellMar>
          <w:top w:w="0" w:type="dxa"/>
          <w:left w:w="0" w:type="dxa"/>
          <w:bottom w:w="0" w:type="dxa"/>
          <w:right w:w="0" w:type="dxa"/>
        </w:tblCellMar>
        <w:tblLook w:val="01E0"/>
      </w:tblPr>
      <w:tblGrid>
        <w:gridCol w:w="3443"/>
        <w:gridCol w:w="3272"/>
        <w:gridCol w:w="2253"/>
      </w:tblGrid>
      <w:tr>
        <w:trPr>
          <w:trHeight w:val="393" w:hRule="exact"/>
        </w:trPr>
        <w:tc>
          <w:tcPr>
            <w:tcW w:w="3443" w:type="dxa"/>
            <w:tcBorders>
              <w:top w:val="single" w:sz="12" w:space="0" w:color="000000"/>
              <w:left w:val="nil" w:sz="6" w:space="0" w:color="auto"/>
              <w:bottom w:val="nil" w:sz="6" w:space="0" w:color="auto"/>
              <w:right w:val="nil" w:sz="6" w:space="0" w:color="auto"/>
            </w:tcBorders>
          </w:tcPr>
          <w:p>
            <w:pPr>
              <w:pStyle w:val="TableParagraph"/>
              <w:spacing w:line="240" w:lineRule="auto" w:before="14"/>
              <w:ind w:left="723" w:right="0"/>
              <w:jc w:val="left"/>
              <w:rPr>
                <w:rFonts w:ascii="宋体" w:hAnsi="宋体" w:cs="宋体" w:eastAsia="宋体" w:hint="default"/>
                <w:sz w:val="21"/>
                <w:szCs w:val="21"/>
              </w:rPr>
            </w:pPr>
            <w:r>
              <w:rPr>
                <w:rFonts w:ascii="宋体" w:hAnsi="宋体" w:cs="宋体" w:eastAsia="宋体" w:hint="default"/>
                <w:sz w:val="21"/>
                <w:szCs w:val="21"/>
              </w:rPr>
              <w:t>投资方</w:t>
            </w:r>
          </w:p>
        </w:tc>
        <w:tc>
          <w:tcPr>
            <w:tcW w:w="3272" w:type="dxa"/>
            <w:tcBorders>
              <w:top w:val="single" w:sz="12" w:space="0" w:color="000000"/>
              <w:left w:val="nil" w:sz="6" w:space="0" w:color="auto"/>
              <w:bottom w:val="nil" w:sz="6" w:space="0" w:color="auto"/>
              <w:right w:val="nil" w:sz="6" w:space="0" w:color="auto"/>
            </w:tcBorders>
          </w:tcPr>
          <w:p>
            <w:pPr>
              <w:pStyle w:val="TableParagraph"/>
              <w:spacing w:line="240" w:lineRule="auto" w:before="14"/>
              <w:ind w:left="394" w:right="0"/>
              <w:jc w:val="left"/>
              <w:rPr>
                <w:rFonts w:ascii="宋体" w:hAnsi="宋体" w:cs="宋体" w:eastAsia="宋体" w:hint="default"/>
                <w:sz w:val="21"/>
                <w:szCs w:val="21"/>
              </w:rPr>
            </w:pPr>
            <w:r>
              <w:rPr>
                <w:rFonts w:ascii="宋体" w:hAnsi="宋体" w:cs="宋体" w:eastAsia="宋体" w:hint="default"/>
                <w:sz w:val="21"/>
                <w:szCs w:val="21"/>
              </w:rPr>
              <w:t>认缴注册资本额（万元）</w:t>
            </w:r>
          </w:p>
        </w:tc>
        <w:tc>
          <w:tcPr>
            <w:tcW w:w="2253" w:type="dxa"/>
            <w:tcBorders>
              <w:top w:val="single" w:sz="12" w:space="0" w:color="000000"/>
              <w:left w:val="nil" w:sz="6" w:space="0" w:color="auto"/>
              <w:bottom w:val="nil" w:sz="6" w:space="0" w:color="auto"/>
              <w:right w:val="nil" w:sz="6" w:space="0" w:color="auto"/>
            </w:tcBorders>
          </w:tcPr>
          <w:p>
            <w:pPr>
              <w:pStyle w:val="TableParagraph"/>
              <w:spacing w:line="240" w:lineRule="auto" w:before="14"/>
              <w:ind w:left="566" w:right="0"/>
              <w:jc w:val="left"/>
              <w:rPr>
                <w:rFonts w:ascii="宋体" w:hAnsi="宋体" w:cs="宋体" w:eastAsia="宋体" w:hint="default"/>
                <w:sz w:val="21"/>
                <w:szCs w:val="21"/>
              </w:rPr>
            </w:pPr>
            <w:r>
              <w:rPr>
                <w:rFonts w:ascii="宋体" w:hAnsi="宋体" w:cs="宋体" w:eastAsia="宋体" w:hint="default"/>
                <w:sz w:val="21"/>
                <w:szCs w:val="21"/>
              </w:rPr>
              <w:t>出资比例（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0" w:hRule="exact"/>
        </w:trPr>
        <w:tc>
          <w:tcPr>
            <w:tcW w:w="3443" w:type="dxa"/>
            <w:tcBorders>
              <w:top w:val="nil" w:sz="6" w:space="0" w:color="auto"/>
              <w:left w:val="nil" w:sz="6" w:space="0" w:color="auto"/>
              <w:bottom w:val="nil" w:sz="6" w:space="0" w:color="auto"/>
              <w:right w:val="nil" w:sz="6" w:space="0" w:color="auto"/>
            </w:tcBorders>
          </w:tcPr>
          <w:p>
            <w:pPr>
              <w:pStyle w:val="TableParagraph"/>
              <w:spacing w:line="261" w:lineRule="exact"/>
              <w:ind w:left="723" w:right="0"/>
              <w:jc w:val="left"/>
              <w:rPr>
                <w:rFonts w:ascii="宋体" w:hAnsi="宋体" w:cs="宋体" w:eastAsia="宋体" w:hint="default"/>
                <w:sz w:val="21"/>
                <w:szCs w:val="21"/>
              </w:rPr>
            </w:pPr>
            <w:r>
              <w:rPr>
                <w:rFonts w:ascii="宋体" w:hAnsi="宋体" w:cs="宋体" w:eastAsia="宋体" w:hint="default"/>
                <w:sz w:val="21"/>
                <w:szCs w:val="21"/>
              </w:rPr>
              <w:t>杨维国</w:t>
            </w:r>
          </w:p>
        </w:tc>
        <w:tc>
          <w:tcPr>
            <w:tcW w:w="327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740" w:right="0"/>
              <w:jc w:val="left"/>
              <w:rPr>
                <w:rFonts w:ascii="Times New Roman" w:hAnsi="Times New Roman" w:cs="Times New Roman" w:eastAsia="Times New Roman" w:hint="default"/>
                <w:sz w:val="21"/>
                <w:szCs w:val="21"/>
              </w:rPr>
            </w:pPr>
            <w:r>
              <w:rPr>
                <w:rFonts w:ascii="Times New Roman"/>
                <w:sz w:val="21"/>
              </w:rPr>
              <w:t>1,060.00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1"/>
              <w:jc w:val="center"/>
              <w:rPr>
                <w:rFonts w:ascii="Times New Roman" w:hAnsi="Times New Roman" w:cs="Times New Roman" w:eastAsia="Times New Roman" w:hint="default"/>
                <w:sz w:val="21"/>
                <w:szCs w:val="21"/>
              </w:rPr>
            </w:pPr>
            <w:r>
              <w:rPr>
                <w:rFonts w:ascii="Times New Roman"/>
                <w:sz w:val="21"/>
              </w:rPr>
              <w:t>23.7669</w:t>
            </w:r>
          </w:p>
        </w:tc>
      </w:tr>
      <w:tr>
        <w:trPr>
          <w:trHeight w:val="350" w:hRule="exact"/>
        </w:trPr>
        <w:tc>
          <w:tcPr>
            <w:tcW w:w="3443" w:type="dxa"/>
            <w:tcBorders>
              <w:top w:val="nil" w:sz="6" w:space="0" w:color="auto"/>
              <w:left w:val="nil" w:sz="6" w:space="0" w:color="auto"/>
              <w:bottom w:val="nil" w:sz="6" w:space="0" w:color="auto"/>
              <w:right w:val="nil" w:sz="6" w:space="0" w:color="auto"/>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无锡国联卓成创业投资有限公司</w:t>
            </w:r>
          </w:p>
        </w:tc>
        <w:tc>
          <w:tcPr>
            <w:tcW w:w="327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818" w:right="0"/>
              <w:jc w:val="left"/>
              <w:rPr>
                <w:rFonts w:ascii="Times New Roman" w:hAnsi="Times New Roman" w:cs="Times New Roman" w:eastAsia="Times New Roman" w:hint="default"/>
                <w:sz w:val="21"/>
                <w:szCs w:val="21"/>
              </w:rPr>
            </w:pPr>
            <w:r>
              <w:rPr>
                <w:rFonts w:ascii="Times New Roman"/>
                <w:sz w:val="21"/>
              </w:rPr>
              <w:t>334.00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49"/>
              <w:jc w:val="center"/>
              <w:rPr>
                <w:rFonts w:ascii="Times New Roman" w:hAnsi="Times New Roman" w:cs="Times New Roman" w:eastAsia="Times New Roman" w:hint="default"/>
                <w:sz w:val="21"/>
                <w:szCs w:val="21"/>
              </w:rPr>
            </w:pPr>
            <w:r>
              <w:rPr>
                <w:rFonts w:ascii="Times New Roman"/>
                <w:sz w:val="21"/>
              </w:rPr>
              <w:t>7.4888</w:t>
            </w:r>
          </w:p>
        </w:tc>
      </w:tr>
      <w:tr>
        <w:trPr>
          <w:trHeight w:val="350" w:hRule="exact"/>
        </w:trPr>
        <w:tc>
          <w:tcPr>
            <w:tcW w:w="3443" w:type="dxa"/>
            <w:tcBorders>
              <w:top w:val="nil" w:sz="6" w:space="0" w:color="auto"/>
              <w:left w:val="nil" w:sz="6" w:space="0" w:color="auto"/>
              <w:bottom w:val="nil" w:sz="6" w:space="0" w:color="auto"/>
              <w:right w:val="nil" w:sz="6" w:space="0" w:color="auto"/>
            </w:tcBorders>
          </w:tcPr>
          <w:p>
            <w:pPr>
              <w:pStyle w:val="TableParagraph"/>
              <w:spacing w:line="261" w:lineRule="exact"/>
              <w:ind w:left="723" w:right="0"/>
              <w:jc w:val="left"/>
              <w:rPr>
                <w:rFonts w:ascii="宋体" w:hAnsi="宋体" w:cs="宋体" w:eastAsia="宋体" w:hint="default"/>
                <w:sz w:val="21"/>
                <w:szCs w:val="21"/>
              </w:rPr>
            </w:pPr>
            <w:r>
              <w:rPr>
                <w:rFonts w:ascii="宋体" w:hAnsi="宋体" w:cs="宋体" w:eastAsia="宋体" w:hint="default"/>
                <w:sz w:val="21"/>
                <w:szCs w:val="21"/>
              </w:rPr>
              <w:t>尚卫国</w:t>
            </w:r>
          </w:p>
        </w:tc>
        <w:tc>
          <w:tcPr>
            <w:tcW w:w="327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818" w:right="0"/>
              <w:jc w:val="left"/>
              <w:rPr>
                <w:rFonts w:ascii="Times New Roman" w:hAnsi="Times New Roman" w:cs="Times New Roman" w:eastAsia="Times New Roman" w:hint="default"/>
                <w:sz w:val="21"/>
                <w:szCs w:val="21"/>
              </w:rPr>
            </w:pPr>
            <w:r>
              <w:rPr>
                <w:rFonts w:ascii="Times New Roman"/>
                <w:sz w:val="21"/>
              </w:rPr>
              <w:t>218.55</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49"/>
              <w:jc w:val="center"/>
              <w:rPr>
                <w:rFonts w:ascii="Times New Roman" w:hAnsi="Times New Roman" w:cs="Times New Roman" w:eastAsia="Times New Roman" w:hint="default"/>
                <w:sz w:val="21"/>
                <w:szCs w:val="21"/>
              </w:rPr>
            </w:pPr>
            <w:r>
              <w:rPr>
                <w:rFonts w:ascii="Times New Roman"/>
                <w:sz w:val="21"/>
              </w:rPr>
              <w:t>4.9003</w:t>
            </w:r>
          </w:p>
        </w:tc>
      </w:tr>
      <w:tr>
        <w:trPr>
          <w:trHeight w:val="350" w:hRule="exact"/>
        </w:trPr>
        <w:tc>
          <w:tcPr>
            <w:tcW w:w="3443" w:type="dxa"/>
            <w:tcBorders>
              <w:top w:val="nil" w:sz="6" w:space="0" w:color="auto"/>
              <w:left w:val="nil" w:sz="6" w:space="0" w:color="auto"/>
              <w:bottom w:val="nil" w:sz="6" w:space="0" w:color="auto"/>
              <w:right w:val="nil" w:sz="6" w:space="0" w:color="auto"/>
            </w:tcBorders>
          </w:tcPr>
          <w:p>
            <w:pPr>
              <w:pStyle w:val="TableParagraph"/>
              <w:spacing w:line="261" w:lineRule="exact"/>
              <w:ind w:left="723" w:right="0"/>
              <w:jc w:val="left"/>
              <w:rPr>
                <w:rFonts w:ascii="宋体" w:hAnsi="宋体" w:cs="宋体" w:eastAsia="宋体" w:hint="default"/>
                <w:sz w:val="21"/>
                <w:szCs w:val="21"/>
              </w:rPr>
            </w:pPr>
            <w:r>
              <w:rPr>
                <w:rFonts w:ascii="宋体" w:hAnsi="宋体" w:cs="宋体" w:eastAsia="宋体" w:hint="default"/>
                <w:sz w:val="21"/>
                <w:szCs w:val="21"/>
              </w:rPr>
              <w:t>付秋生</w:t>
            </w:r>
          </w:p>
        </w:tc>
        <w:tc>
          <w:tcPr>
            <w:tcW w:w="327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818" w:right="0"/>
              <w:jc w:val="left"/>
              <w:rPr>
                <w:rFonts w:ascii="Times New Roman" w:hAnsi="Times New Roman" w:cs="Times New Roman" w:eastAsia="Times New Roman" w:hint="default"/>
                <w:sz w:val="21"/>
                <w:szCs w:val="21"/>
              </w:rPr>
            </w:pPr>
            <w:r>
              <w:rPr>
                <w:rFonts w:ascii="Times New Roman"/>
                <w:sz w:val="21"/>
              </w:rPr>
              <w:t>210.45</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49"/>
              <w:jc w:val="center"/>
              <w:rPr>
                <w:rFonts w:ascii="Times New Roman" w:hAnsi="Times New Roman" w:cs="Times New Roman" w:eastAsia="Times New Roman" w:hint="default"/>
                <w:sz w:val="21"/>
                <w:szCs w:val="21"/>
              </w:rPr>
            </w:pPr>
            <w:r>
              <w:rPr>
                <w:rFonts w:ascii="Times New Roman"/>
                <w:sz w:val="21"/>
              </w:rPr>
              <w:t>4.7187</w:t>
            </w:r>
          </w:p>
        </w:tc>
      </w:tr>
      <w:tr>
        <w:trPr>
          <w:trHeight w:val="350" w:hRule="exact"/>
        </w:trPr>
        <w:tc>
          <w:tcPr>
            <w:tcW w:w="3443" w:type="dxa"/>
            <w:tcBorders>
              <w:top w:val="nil" w:sz="6" w:space="0" w:color="auto"/>
              <w:left w:val="nil" w:sz="6" w:space="0" w:color="auto"/>
              <w:bottom w:val="nil" w:sz="6" w:space="0" w:color="auto"/>
              <w:right w:val="nil" w:sz="6" w:space="0" w:color="auto"/>
            </w:tcBorders>
          </w:tcPr>
          <w:p>
            <w:pPr>
              <w:pStyle w:val="TableParagraph"/>
              <w:spacing w:line="261" w:lineRule="exact"/>
              <w:ind w:left="723" w:right="0"/>
              <w:jc w:val="left"/>
              <w:rPr>
                <w:rFonts w:ascii="宋体" w:hAnsi="宋体" w:cs="宋体" w:eastAsia="宋体" w:hint="default"/>
                <w:sz w:val="21"/>
                <w:szCs w:val="21"/>
              </w:rPr>
            </w:pPr>
            <w:r>
              <w:rPr>
                <w:rFonts w:ascii="宋体" w:hAnsi="宋体" w:cs="宋体" w:eastAsia="宋体" w:hint="default"/>
                <w:sz w:val="21"/>
                <w:szCs w:val="21"/>
              </w:rPr>
              <w:t>赵利宾</w:t>
            </w:r>
          </w:p>
        </w:tc>
        <w:tc>
          <w:tcPr>
            <w:tcW w:w="327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818" w:right="0"/>
              <w:jc w:val="left"/>
              <w:rPr>
                <w:rFonts w:ascii="Times New Roman" w:hAnsi="Times New Roman" w:cs="Times New Roman" w:eastAsia="Times New Roman" w:hint="default"/>
                <w:sz w:val="21"/>
                <w:szCs w:val="21"/>
              </w:rPr>
            </w:pPr>
            <w:r>
              <w:rPr>
                <w:rFonts w:ascii="Times New Roman"/>
                <w:sz w:val="21"/>
              </w:rPr>
              <w:t>180.00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49"/>
              <w:jc w:val="center"/>
              <w:rPr>
                <w:rFonts w:ascii="Times New Roman" w:hAnsi="Times New Roman" w:cs="Times New Roman" w:eastAsia="Times New Roman" w:hint="default"/>
                <w:sz w:val="21"/>
                <w:szCs w:val="21"/>
              </w:rPr>
            </w:pPr>
            <w:r>
              <w:rPr>
                <w:rFonts w:ascii="Times New Roman"/>
                <w:sz w:val="21"/>
              </w:rPr>
              <w:t>4.0359</w:t>
            </w:r>
          </w:p>
        </w:tc>
      </w:tr>
      <w:tr>
        <w:trPr>
          <w:trHeight w:val="350" w:hRule="exact"/>
        </w:trPr>
        <w:tc>
          <w:tcPr>
            <w:tcW w:w="3443" w:type="dxa"/>
            <w:tcBorders>
              <w:top w:val="nil" w:sz="6" w:space="0" w:color="auto"/>
              <w:left w:val="nil" w:sz="6" w:space="0" w:color="auto"/>
              <w:bottom w:val="nil" w:sz="6" w:space="0" w:color="auto"/>
              <w:right w:val="nil" w:sz="6" w:space="0" w:color="auto"/>
            </w:tcBorders>
          </w:tcPr>
          <w:p>
            <w:pPr>
              <w:pStyle w:val="TableParagraph"/>
              <w:spacing w:line="261" w:lineRule="exact"/>
              <w:ind w:left="723" w:right="0"/>
              <w:jc w:val="left"/>
              <w:rPr>
                <w:rFonts w:ascii="宋体" w:hAnsi="宋体" w:cs="宋体" w:eastAsia="宋体" w:hint="default"/>
                <w:sz w:val="21"/>
                <w:szCs w:val="21"/>
              </w:rPr>
            </w:pPr>
            <w:r>
              <w:rPr>
                <w:rFonts w:ascii="宋体" w:hAnsi="宋体" w:cs="宋体" w:eastAsia="宋体" w:hint="default"/>
                <w:sz w:val="21"/>
                <w:szCs w:val="21"/>
              </w:rPr>
              <w:t>华梦阳</w:t>
            </w:r>
          </w:p>
        </w:tc>
        <w:tc>
          <w:tcPr>
            <w:tcW w:w="327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818" w:right="0"/>
              <w:jc w:val="left"/>
              <w:rPr>
                <w:rFonts w:ascii="Times New Roman" w:hAnsi="Times New Roman" w:cs="Times New Roman" w:eastAsia="Times New Roman" w:hint="default"/>
                <w:sz w:val="21"/>
                <w:szCs w:val="21"/>
              </w:rPr>
            </w:pPr>
            <w:r>
              <w:rPr>
                <w:rFonts w:ascii="Times New Roman"/>
                <w:sz w:val="21"/>
              </w:rPr>
              <w:t>180.00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49"/>
              <w:jc w:val="center"/>
              <w:rPr>
                <w:rFonts w:ascii="Times New Roman" w:hAnsi="Times New Roman" w:cs="Times New Roman" w:eastAsia="Times New Roman" w:hint="default"/>
                <w:sz w:val="21"/>
                <w:szCs w:val="21"/>
              </w:rPr>
            </w:pPr>
            <w:r>
              <w:rPr>
                <w:rFonts w:ascii="Times New Roman"/>
                <w:sz w:val="21"/>
              </w:rPr>
              <w:t>4.0359</w:t>
            </w:r>
          </w:p>
        </w:tc>
      </w:tr>
      <w:tr>
        <w:trPr>
          <w:trHeight w:val="350" w:hRule="exact"/>
        </w:trPr>
        <w:tc>
          <w:tcPr>
            <w:tcW w:w="3443" w:type="dxa"/>
            <w:tcBorders>
              <w:top w:val="nil" w:sz="6" w:space="0" w:color="auto"/>
              <w:left w:val="nil" w:sz="6" w:space="0" w:color="auto"/>
              <w:bottom w:val="nil" w:sz="6" w:space="0" w:color="auto"/>
              <w:right w:val="nil" w:sz="6" w:space="0" w:color="auto"/>
            </w:tcBorders>
          </w:tcPr>
          <w:p>
            <w:pPr>
              <w:pStyle w:val="TableParagraph"/>
              <w:spacing w:line="261" w:lineRule="exact"/>
              <w:ind w:left="723" w:right="0"/>
              <w:jc w:val="left"/>
              <w:rPr>
                <w:rFonts w:ascii="宋体" w:hAnsi="宋体" w:cs="宋体" w:eastAsia="宋体" w:hint="default"/>
                <w:sz w:val="21"/>
                <w:szCs w:val="21"/>
              </w:rPr>
            </w:pPr>
            <w:r>
              <w:rPr>
                <w:rFonts w:ascii="宋体" w:hAnsi="宋体" w:cs="宋体" w:eastAsia="宋体" w:hint="default"/>
                <w:sz w:val="21"/>
                <w:szCs w:val="21"/>
              </w:rPr>
              <w:t>刘恩臣</w:t>
            </w:r>
          </w:p>
        </w:tc>
        <w:tc>
          <w:tcPr>
            <w:tcW w:w="327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818" w:right="0"/>
              <w:jc w:val="left"/>
              <w:rPr>
                <w:rFonts w:ascii="Times New Roman" w:hAnsi="Times New Roman" w:cs="Times New Roman" w:eastAsia="Times New Roman" w:hint="default"/>
                <w:sz w:val="21"/>
                <w:szCs w:val="21"/>
              </w:rPr>
            </w:pPr>
            <w:r>
              <w:rPr>
                <w:rFonts w:ascii="Times New Roman"/>
                <w:sz w:val="21"/>
              </w:rPr>
              <w:t>180.00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49"/>
              <w:jc w:val="center"/>
              <w:rPr>
                <w:rFonts w:ascii="Times New Roman" w:hAnsi="Times New Roman" w:cs="Times New Roman" w:eastAsia="Times New Roman" w:hint="default"/>
                <w:sz w:val="21"/>
                <w:szCs w:val="21"/>
              </w:rPr>
            </w:pPr>
            <w:r>
              <w:rPr>
                <w:rFonts w:ascii="Times New Roman"/>
                <w:sz w:val="21"/>
              </w:rPr>
              <w:t>4.0359</w:t>
            </w:r>
          </w:p>
        </w:tc>
      </w:tr>
      <w:tr>
        <w:trPr>
          <w:trHeight w:val="350" w:hRule="exact"/>
        </w:trPr>
        <w:tc>
          <w:tcPr>
            <w:tcW w:w="3443" w:type="dxa"/>
            <w:tcBorders>
              <w:top w:val="nil" w:sz="6" w:space="0" w:color="auto"/>
              <w:left w:val="nil" w:sz="6" w:space="0" w:color="auto"/>
              <w:bottom w:val="nil" w:sz="6" w:space="0" w:color="auto"/>
              <w:right w:val="nil" w:sz="6" w:space="0" w:color="auto"/>
            </w:tcBorders>
          </w:tcPr>
          <w:p>
            <w:pPr>
              <w:pStyle w:val="TableParagraph"/>
              <w:spacing w:line="261" w:lineRule="exact"/>
              <w:ind w:left="723" w:right="0"/>
              <w:jc w:val="left"/>
              <w:rPr>
                <w:rFonts w:ascii="宋体" w:hAnsi="宋体" w:cs="宋体" w:eastAsia="宋体" w:hint="default"/>
                <w:sz w:val="21"/>
                <w:szCs w:val="21"/>
              </w:rPr>
            </w:pPr>
            <w:r>
              <w:rPr>
                <w:rFonts w:ascii="宋体" w:hAnsi="宋体" w:cs="宋体" w:eastAsia="宋体" w:hint="default"/>
                <w:sz w:val="21"/>
                <w:szCs w:val="21"/>
              </w:rPr>
              <w:t>傅常顺</w:t>
            </w:r>
          </w:p>
        </w:tc>
        <w:tc>
          <w:tcPr>
            <w:tcW w:w="327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818" w:right="0"/>
              <w:jc w:val="left"/>
              <w:rPr>
                <w:rFonts w:ascii="Times New Roman" w:hAnsi="Times New Roman" w:cs="Times New Roman" w:eastAsia="Times New Roman" w:hint="default"/>
                <w:sz w:val="21"/>
                <w:szCs w:val="21"/>
              </w:rPr>
            </w:pPr>
            <w:r>
              <w:rPr>
                <w:rFonts w:ascii="Times New Roman"/>
                <w:sz w:val="21"/>
              </w:rPr>
              <w:t>180.00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49"/>
              <w:jc w:val="center"/>
              <w:rPr>
                <w:rFonts w:ascii="Times New Roman" w:hAnsi="Times New Roman" w:cs="Times New Roman" w:eastAsia="Times New Roman" w:hint="default"/>
                <w:sz w:val="21"/>
                <w:szCs w:val="21"/>
              </w:rPr>
            </w:pPr>
            <w:r>
              <w:rPr>
                <w:rFonts w:ascii="Times New Roman"/>
                <w:sz w:val="21"/>
              </w:rPr>
              <w:t>4.0359</w:t>
            </w:r>
          </w:p>
        </w:tc>
      </w:tr>
      <w:tr>
        <w:trPr>
          <w:trHeight w:val="350" w:hRule="exact"/>
        </w:trPr>
        <w:tc>
          <w:tcPr>
            <w:tcW w:w="3443" w:type="dxa"/>
            <w:tcBorders>
              <w:top w:val="nil" w:sz="6" w:space="0" w:color="auto"/>
              <w:left w:val="nil" w:sz="6" w:space="0" w:color="auto"/>
              <w:bottom w:val="nil" w:sz="6" w:space="0" w:color="auto"/>
              <w:right w:val="nil" w:sz="6" w:space="0" w:color="auto"/>
            </w:tcBorders>
          </w:tcPr>
          <w:p>
            <w:pPr>
              <w:pStyle w:val="TableParagraph"/>
              <w:spacing w:line="261" w:lineRule="exact"/>
              <w:ind w:left="723" w:right="0"/>
              <w:jc w:val="left"/>
              <w:rPr>
                <w:rFonts w:ascii="宋体" w:hAnsi="宋体" w:cs="宋体" w:eastAsia="宋体" w:hint="default"/>
                <w:sz w:val="21"/>
                <w:szCs w:val="21"/>
              </w:rPr>
            </w:pPr>
            <w:r>
              <w:rPr>
                <w:rFonts w:ascii="宋体" w:hAnsi="宋体" w:cs="宋体" w:eastAsia="宋体" w:hint="default"/>
                <w:sz w:val="21"/>
                <w:szCs w:val="21"/>
              </w:rPr>
              <w:t>杜建平</w:t>
            </w:r>
          </w:p>
        </w:tc>
        <w:tc>
          <w:tcPr>
            <w:tcW w:w="327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818" w:right="0"/>
              <w:jc w:val="left"/>
              <w:rPr>
                <w:rFonts w:ascii="Times New Roman" w:hAnsi="Times New Roman" w:cs="Times New Roman" w:eastAsia="Times New Roman" w:hint="default"/>
                <w:sz w:val="21"/>
                <w:szCs w:val="21"/>
              </w:rPr>
            </w:pPr>
            <w:r>
              <w:rPr>
                <w:rFonts w:ascii="Times New Roman"/>
                <w:sz w:val="21"/>
              </w:rPr>
              <w:t>180.00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49"/>
              <w:jc w:val="center"/>
              <w:rPr>
                <w:rFonts w:ascii="Times New Roman" w:hAnsi="Times New Roman" w:cs="Times New Roman" w:eastAsia="Times New Roman" w:hint="default"/>
                <w:sz w:val="21"/>
                <w:szCs w:val="21"/>
              </w:rPr>
            </w:pPr>
            <w:r>
              <w:rPr>
                <w:rFonts w:ascii="Times New Roman"/>
                <w:sz w:val="21"/>
              </w:rPr>
              <w:t>4.0359</w:t>
            </w:r>
          </w:p>
        </w:tc>
      </w:tr>
      <w:tr>
        <w:trPr>
          <w:trHeight w:val="350" w:hRule="exact"/>
        </w:trPr>
        <w:tc>
          <w:tcPr>
            <w:tcW w:w="3443" w:type="dxa"/>
            <w:tcBorders>
              <w:top w:val="nil" w:sz="6" w:space="0" w:color="auto"/>
              <w:left w:val="nil" w:sz="6" w:space="0" w:color="auto"/>
              <w:bottom w:val="nil" w:sz="6" w:space="0" w:color="auto"/>
              <w:right w:val="nil" w:sz="6" w:space="0" w:color="auto"/>
            </w:tcBorders>
          </w:tcPr>
          <w:p>
            <w:pPr>
              <w:pStyle w:val="TableParagraph"/>
              <w:spacing w:line="261" w:lineRule="exact"/>
              <w:ind w:left="723" w:right="0"/>
              <w:jc w:val="left"/>
              <w:rPr>
                <w:rFonts w:ascii="宋体" w:hAnsi="宋体" w:cs="宋体" w:eastAsia="宋体" w:hint="default"/>
                <w:sz w:val="21"/>
                <w:szCs w:val="21"/>
              </w:rPr>
            </w:pPr>
            <w:r>
              <w:rPr>
                <w:rFonts w:ascii="宋体" w:hAnsi="宋体" w:cs="宋体" w:eastAsia="宋体" w:hint="default"/>
                <w:sz w:val="21"/>
                <w:szCs w:val="21"/>
              </w:rPr>
              <w:t>葛晓阁</w:t>
            </w:r>
          </w:p>
        </w:tc>
        <w:tc>
          <w:tcPr>
            <w:tcW w:w="327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818" w:right="0"/>
              <w:jc w:val="left"/>
              <w:rPr>
                <w:rFonts w:ascii="Times New Roman" w:hAnsi="Times New Roman" w:cs="Times New Roman" w:eastAsia="Times New Roman" w:hint="default"/>
                <w:sz w:val="21"/>
                <w:szCs w:val="21"/>
              </w:rPr>
            </w:pPr>
            <w:r>
              <w:rPr>
                <w:rFonts w:ascii="Times New Roman"/>
                <w:sz w:val="21"/>
              </w:rPr>
              <w:t>180.00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49"/>
              <w:jc w:val="center"/>
              <w:rPr>
                <w:rFonts w:ascii="Times New Roman" w:hAnsi="Times New Roman" w:cs="Times New Roman" w:eastAsia="Times New Roman" w:hint="default"/>
                <w:sz w:val="21"/>
                <w:szCs w:val="21"/>
              </w:rPr>
            </w:pPr>
            <w:r>
              <w:rPr>
                <w:rFonts w:ascii="Times New Roman"/>
                <w:sz w:val="21"/>
              </w:rPr>
              <w:t>4.0359</w:t>
            </w:r>
          </w:p>
        </w:tc>
      </w:tr>
      <w:tr>
        <w:trPr>
          <w:trHeight w:val="350" w:hRule="exact"/>
        </w:trPr>
        <w:tc>
          <w:tcPr>
            <w:tcW w:w="3443" w:type="dxa"/>
            <w:tcBorders>
              <w:top w:val="nil" w:sz="6" w:space="0" w:color="auto"/>
              <w:left w:val="nil" w:sz="6" w:space="0" w:color="auto"/>
              <w:bottom w:val="nil" w:sz="6" w:space="0" w:color="auto"/>
              <w:right w:val="nil" w:sz="6" w:space="0" w:color="auto"/>
            </w:tcBorders>
          </w:tcPr>
          <w:p>
            <w:pPr>
              <w:pStyle w:val="TableParagraph"/>
              <w:spacing w:line="261" w:lineRule="exact"/>
              <w:ind w:left="723" w:right="0"/>
              <w:jc w:val="left"/>
              <w:rPr>
                <w:rFonts w:ascii="宋体" w:hAnsi="宋体" w:cs="宋体" w:eastAsia="宋体" w:hint="default"/>
                <w:sz w:val="21"/>
                <w:szCs w:val="21"/>
              </w:rPr>
            </w:pPr>
            <w:r>
              <w:rPr>
                <w:rFonts w:ascii="宋体" w:hAnsi="宋体" w:cs="宋体" w:eastAsia="宋体" w:hint="default"/>
                <w:sz w:val="21"/>
                <w:szCs w:val="21"/>
              </w:rPr>
              <w:t>郎金文</w:t>
            </w:r>
          </w:p>
        </w:tc>
        <w:tc>
          <w:tcPr>
            <w:tcW w:w="327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818" w:right="0"/>
              <w:jc w:val="left"/>
              <w:rPr>
                <w:rFonts w:ascii="Times New Roman" w:hAnsi="Times New Roman" w:cs="Times New Roman" w:eastAsia="Times New Roman" w:hint="default"/>
                <w:sz w:val="21"/>
                <w:szCs w:val="21"/>
              </w:rPr>
            </w:pPr>
            <w:r>
              <w:rPr>
                <w:rFonts w:ascii="Times New Roman"/>
                <w:sz w:val="21"/>
              </w:rPr>
              <w:t>180.00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49"/>
              <w:jc w:val="center"/>
              <w:rPr>
                <w:rFonts w:ascii="Times New Roman" w:hAnsi="Times New Roman" w:cs="Times New Roman" w:eastAsia="Times New Roman" w:hint="default"/>
                <w:sz w:val="21"/>
                <w:szCs w:val="21"/>
              </w:rPr>
            </w:pPr>
            <w:r>
              <w:rPr>
                <w:rFonts w:ascii="Times New Roman"/>
                <w:sz w:val="21"/>
              </w:rPr>
              <w:t>4.0359</w:t>
            </w:r>
          </w:p>
        </w:tc>
      </w:tr>
      <w:tr>
        <w:trPr>
          <w:trHeight w:val="350" w:hRule="exact"/>
        </w:trPr>
        <w:tc>
          <w:tcPr>
            <w:tcW w:w="3443" w:type="dxa"/>
            <w:tcBorders>
              <w:top w:val="nil" w:sz="6" w:space="0" w:color="auto"/>
              <w:left w:val="nil" w:sz="6" w:space="0" w:color="auto"/>
              <w:bottom w:val="nil" w:sz="6" w:space="0" w:color="auto"/>
              <w:right w:val="nil" w:sz="6" w:space="0" w:color="auto"/>
            </w:tcBorders>
          </w:tcPr>
          <w:p>
            <w:pPr>
              <w:pStyle w:val="TableParagraph"/>
              <w:spacing w:line="261" w:lineRule="exact"/>
              <w:ind w:left="723" w:right="0"/>
              <w:jc w:val="left"/>
              <w:rPr>
                <w:rFonts w:ascii="宋体" w:hAnsi="宋体" w:cs="宋体" w:eastAsia="宋体" w:hint="default"/>
                <w:sz w:val="21"/>
                <w:szCs w:val="21"/>
              </w:rPr>
            </w:pPr>
            <w:r>
              <w:rPr>
                <w:rFonts w:ascii="宋体" w:hAnsi="宋体" w:cs="宋体" w:eastAsia="宋体" w:hint="default"/>
                <w:sz w:val="21"/>
                <w:szCs w:val="21"/>
              </w:rPr>
              <w:t>吴凤辉</w:t>
            </w:r>
          </w:p>
        </w:tc>
        <w:tc>
          <w:tcPr>
            <w:tcW w:w="327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870" w:right="0"/>
              <w:jc w:val="left"/>
              <w:rPr>
                <w:rFonts w:ascii="Times New Roman" w:hAnsi="Times New Roman" w:cs="Times New Roman" w:eastAsia="Times New Roman" w:hint="default"/>
                <w:sz w:val="21"/>
                <w:szCs w:val="21"/>
              </w:rPr>
            </w:pPr>
            <w:r>
              <w:rPr>
                <w:rFonts w:ascii="Times New Roman"/>
                <w:sz w:val="21"/>
              </w:rPr>
              <w:t>20.00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48"/>
              <w:jc w:val="center"/>
              <w:rPr>
                <w:rFonts w:ascii="Times New Roman" w:hAnsi="Times New Roman" w:cs="Times New Roman" w:eastAsia="Times New Roman" w:hint="default"/>
                <w:sz w:val="21"/>
                <w:szCs w:val="21"/>
              </w:rPr>
            </w:pPr>
            <w:r>
              <w:rPr>
                <w:rFonts w:ascii="Times New Roman"/>
                <w:sz w:val="21"/>
              </w:rPr>
              <w:t>0.4486</w:t>
            </w:r>
          </w:p>
        </w:tc>
      </w:tr>
      <w:tr>
        <w:trPr>
          <w:trHeight w:val="350" w:hRule="exact"/>
        </w:trPr>
        <w:tc>
          <w:tcPr>
            <w:tcW w:w="3443" w:type="dxa"/>
            <w:tcBorders>
              <w:top w:val="nil" w:sz="6" w:space="0" w:color="auto"/>
              <w:left w:val="nil" w:sz="6" w:space="0" w:color="auto"/>
              <w:bottom w:val="nil" w:sz="6" w:space="0" w:color="auto"/>
              <w:right w:val="nil" w:sz="6" w:space="0" w:color="auto"/>
            </w:tcBorders>
          </w:tcPr>
          <w:p>
            <w:pPr>
              <w:pStyle w:val="TableParagraph"/>
              <w:spacing w:line="261" w:lineRule="exact"/>
              <w:ind w:left="723" w:right="0"/>
              <w:jc w:val="left"/>
              <w:rPr>
                <w:rFonts w:ascii="宋体" w:hAnsi="宋体" w:cs="宋体" w:eastAsia="宋体" w:hint="default"/>
                <w:sz w:val="21"/>
                <w:szCs w:val="21"/>
              </w:rPr>
            </w:pPr>
            <w:r>
              <w:rPr>
                <w:rFonts w:ascii="宋体" w:hAnsi="宋体" w:cs="宋体" w:eastAsia="宋体" w:hint="default"/>
                <w:sz w:val="21"/>
                <w:szCs w:val="21"/>
              </w:rPr>
              <w:t>李永革</w:t>
            </w:r>
          </w:p>
        </w:tc>
        <w:tc>
          <w:tcPr>
            <w:tcW w:w="327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870" w:right="0"/>
              <w:jc w:val="left"/>
              <w:rPr>
                <w:rFonts w:ascii="Times New Roman" w:hAnsi="Times New Roman" w:cs="Times New Roman" w:eastAsia="Times New Roman" w:hint="default"/>
                <w:sz w:val="21"/>
                <w:szCs w:val="21"/>
              </w:rPr>
            </w:pPr>
            <w:r>
              <w:rPr>
                <w:rFonts w:ascii="Times New Roman"/>
                <w:sz w:val="21"/>
              </w:rPr>
              <w:t>15.00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48"/>
              <w:jc w:val="center"/>
              <w:rPr>
                <w:rFonts w:ascii="Times New Roman" w:hAnsi="Times New Roman" w:cs="Times New Roman" w:eastAsia="Times New Roman" w:hint="default"/>
                <w:sz w:val="21"/>
                <w:szCs w:val="21"/>
              </w:rPr>
            </w:pPr>
            <w:r>
              <w:rPr>
                <w:rFonts w:ascii="Times New Roman"/>
                <w:sz w:val="21"/>
              </w:rPr>
              <w:t>0.3364</w:t>
            </w:r>
          </w:p>
        </w:tc>
      </w:tr>
      <w:tr>
        <w:trPr>
          <w:trHeight w:val="350" w:hRule="exact"/>
        </w:trPr>
        <w:tc>
          <w:tcPr>
            <w:tcW w:w="3443" w:type="dxa"/>
            <w:tcBorders>
              <w:top w:val="nil" w:sz="6" w:space="0" w:color="auto"/>
              <w:left w:val="nil" w:sz="6" w:space="0" w:color="auto"/>
              <w:bottom w:val="nil" w:sz="6" w:space="0" w:color="auto"/>
              <w:right w:val="nil" w:sz="6" w:space="0" w:color="auto"/>
            </w:tcBorders>
          </w:tcPr>
          <w:p>
            <w:pPr>
              <w:pStyle w:val="TableParagraph"/>
              <w:spacing w:line="261" w:lineRule="exact"/>
              <w:ind w:left="723" w:right="0"/>
              <w:jc w:val="left"/>
              <w:rPr>
                <w:rFonts w:ascii="宋体" w:hAnsi="宋体" w:cs="宋体" w:eastAsia="宋体" w:hint="default"/>
                <w:sz w:val="21"/>
                <w:szCs w:val="21"/>
              </w:rPr>
            </w:pPr>
            <w:r>
              <w:rPr>
                <w:rFonts w:ascii="宋体" w:hAnsi="宋体" w:cs="宋体" w:eastAsia="宋体" w:hint="default"/>
                <w:sz w:val="21"/>
                <w:szCs w:val="21"/>
              </w:rPr>
              <w:t>陈振亚</w:t>
            </w:r>
          </w:p>
        </w:tc>
        <w:tc>
          <w:tcPr>
            <w:tcW w:w="327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870" w:right="0"/>
              <w:jc w:val="left"/>
              <w:rPr>
                <w:rFonts w:ascii="Times New Roman" w:hAnsi="Times New Roman" w:cs="Times New Roman" w:eastAsia="Times New Roman" w:hint="default"/>
                <w:sz w:val="21"/>
                <w:szCs w:val="21"/>
              </w:rPr>
            </w:pPr>
            <w:r>
              <w:rPr>
                <w:rFonts w:ascii="Times New Roman"/>
                <w:sz w:val="21"/>
              </w:rPr>
              <w:t>15.00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48"/>
              <w:jc w:val="center"/>
              <w:rPr>
                <w:rFonts w:ascii="Times New Roman" w:hAnsi="Times New Roman" w:cs="Times New Roman" w:eastAsia="Times New Roman" w:hint="default"/>
                <w:sz w:val="21"/>
                <w:szCs w:val="21"/>
              </w:rPr>
            </w:pPr>
            <w:r>
              <w:rPr>
                <w:rFonts w:ascii="Times New Roman"/>
                <w:sz w:val="21"/>
              </w:rPr>
              <w:t>0.3364</w:t>
            </w:r>
          </w:p>
        </w:tc>
      </w:tr>
      <w:tr>
        <w:trPr>
          <w:trHeight w:val="350" w:hRule="exact"/>
        </w:trPr>
        <w:tc>
          <w:tcPr>
            <w:tcW w:w="3443" w:type="dxa"/>
            <w:tcBorders>
              <w:top w:val="nil" w:sz="6" w:space="0" w:color="auto"/>
              <w:left w:val="nil" w:sz="6" w:space="0" w:color="auto"/>
              <w:bottom w:val="nil" w:sz="6" w:space="0" w:color="auto"/>
              <w:right w:val="nil" w:sz="6" w:space="0" w:color="auto"/>
            </w:tcBorders>
          </w:tcPr>
          <w:p>
            <w:pPr>
              <w:pStyle w:val="TableParagraph"/>
              <w:spacing w:line="261" w:lineRule="exact"/>
              <w:ind w:left="723" w:right="0"/>
              <w:jc w:val="left"/>
              <w:rPr>
                <w:rFonts w:ascii="宋体" w:hAnsi="宋体" w:cs="宋体" w:eastAsia="宋体" w:hint="default"/>
                <w:sz w:val="21"/>
                <w:szCs w:val="21"/>
              </w:rPr>
            </w:pPr>
            <w:r>
              <w:rPr>
                <w:rFonts w:ascii="宋体" w:hAnsi="宋体" w:cs="宋体" w:eastAsia="宋体" w:hint="default"/>
                <w:sz w:val="21"/>
                <w:szCs w:val="21"/>
              </w:rPr>
              <w:t>于照永</w:t>
            </w:r>
          </w:p>
        </w:tc>
        <w:tc>
          <w:tcPr>
            <w:tcW w:w="327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870" w:right="0"/>
              <w:jc w:val="left"/>
              <w:rPr>
                <w:rFonts w:ascii="Times New Roman" w:hAnsi="Times New Roman" w:cs="Times New Roman" w:eastAsia="Times New Roman" w:hint="default"/>
                <w:sz w:val="21"/>
                <w:szCs w:val="21"/>
              </w:rPr>
            </w:pPr>
            <w:r>
              <w:rPr>
                <w:rFonts w:ascii="Times New Roman"/>
                <w:sz w:val="21"/>
              </w:rPr>
              <w:t>15.00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48"/>
              <w:jc w:val="center"/>
              <w:rPr>
                <w:rFonts w:ascii="Times New Roman" w:hAnsi="Times New Roman" w:cs="Times New Roman" w:eastAsia="Times New Roman" w:hint="default"/>
                <w:sz w:val="21"/>
                <w:szCs w:val="21"/>
              </w:rPr>
            </w:pPr>
            <w:r>
              <w:rPr>
                <w:rFonts w:ascii="Times New Roman"/>
                <w:sz w:val="21"/>
              </w:rPr>
              <w:t>0.3364</w:t>
            </w:r>
          </w:p>
        </w:tc>
      </w:tr>
      <w:tr>
        <w:trPr>
          <w:trHeight w:val="350" w:hRule="exact"/>
        </w:trPr>
        <w:tc>
          <w:tcPr>
            <w:tcW w:w="3443" w:type="dxa"/>
            <w:tcBorders>
              <w:top w:val="nil" w:sz="6" w:space="0" w:color="auto"/>
              <w:left w:val="nil" w:sz="6" w:space="0" w:color="auto"/>
              <w:bottom w:val="nil" w:sz="6" w:space="0" w:color="auto"/>
              <w:right w:val="nil" w:sz="6" w:space="0" w:color="auto"/>
            </w:tcBorders>
          </w:tcPr>
          <w:p>
            <w:pPr>
              <w:pStyle w:val="TableParagraph"/>
              <w:spacing w:line="261" w:lineRule="exact"/>
              <w:ind w:left="723" w:right="0"/>
              <w:jc w:val="left"/>
              <w:rPr>
                <w:rFonts w:ascii="宋体" w:hAnsi="宋体" w:cs="宋体" w:eastAsia="宋体" w:hint="default"/>
                <w:sz w:val="21"/>
                <w:szCs w:val="21"/>
              </w:rPr>
            </w:pPr>
            <w:r>
              <w:rPr>
                <w:rFonts w:ascii="宋体" w:hAnsi="宋体" w:cs="宋体" w:eastAsia="宋体" w:hint="default"/>
                <w:sz w:val="21"/>
                <w:szCs w:val="21"/>
              </w:rPr>
              <w:t>王卓</w:t>
            </w:r>
          </w:p>
        </w:tc>
        <w:tc>
          <w:tcPr>
            <w:tcW w:w="327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870" w:right="0"/>
              <w:jc w:val="left"/>
              <w:rPr>
                <w:rFonts w:ascii="Times New Roman" w:hAnsi="Times New Roman" w:cs="Times New Roman" w:eastAsia="Times New Roman" w:hint="default"/>
                <w:sz w:val="21"/>
                <w:szCs w:val="21"/>
              </w:rPr>
            </w:pPr>
            <w:r>
              <w:rPr>
                <w:rFonts w:ascii="Times New Roman"/>
                <w:sz w:val="21"/>
              </w:rPr>
              <w:t>15.00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48"/>
              <w:jc w:val="center"/>
              <w:rPr>
                <w:rFonts w:ascii="Times New Roman" w:hAnsi="Times New Roman" w:cs="Times New Roman" w:eastAsia="Times New Roman" w:hint="default"/>
                <w:sz w:val="21"/>
                <w:szCs w:val="21"/>
              </w:rPr>
            </w:pPr>
            <w:r>
              <w:rPr>
                <w:rFonts w:ascii="Times New Roman"/>
                <w:sz w:val="21"/>
              </w:rPr>
              <w:t>0.3364</w:t>
            </w:r>
          </w:p>
        </w:tc>
      </w:tr>
      <w:tr>
        <w:trPr>
          <w:trHeight w:val="350" w:hRule="exact"/>
        </w:trPr>
        <w:tc>
          <w:tcPr>
            <w:tcW w:w="3443" w:type="dxa"/>
            <w:tcBorders>
              <w:top w:val="nil" w:sz="6" w:space="0" w:color="auto"/>
              <w:left w:val="nil" w:sz="6" w:space="0" w:color="auto"/>
              <w:bottom w:val="nil" w:sz="6" w:space="0" w:color="auto"/>
              <w:right w:val="nil" w:sz="6" w:space="0" w:color="auto"/>
            </w:tcBorders>
          </w:tcPr>
          <w:p>
            <w:pPr>
              <w:pStyle w:val="TableParagraph"/>
              <w:spacing w:line="261" w:lineRule="exact"/>
              <w:ind w:left="723" w:right="0"/>
              <w:jc w:val="left"/>
              <w:rPr>
                <w:rFonts w:ascii="宋体" w:hAnsi="宋体" w:cs="宋体" w:eastAsia="宋体" w:hint="default"/>
                <w:sz w:val="21"/>
                <w:szCs w:val="21"/>
              </w:rPr>
            </w:pPr>
            <w:r>
              <w:rPr>
                <w:rFonts w:ascii="宋体" w:hAnsi="宋体" w:cs="宋体" w:eastAsia="宋体" w:hint="default"/>
                <w:sz w:val="21"/>
                <w:szCs w:val="21"/>
              </w:rPr>
              <w:t>杨文寿</w:t>
            </w:r>
          </w:p>
        </w:tc>
        <w:tc>
          <w:tcPr>
            <w:tcW w:w="327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870" w:right="0"/>
              <w:jc w:val="left"/>
              <w:rPr>
                <w:rFonts w:ascii="Times New Roman" w:hAnsi="Times New Roman" w:cs="Times New Roman" w:eastAsia="Times New Roman" w:hint="default"/>
                <w:sz w:val="21"/>
                <w:szCs w:val="21"/>
              </w:rPr>
            </w:pPr>
            <w:r>
              <w:rPr>
                <w:rFonts w:ascii="Times New Roman"/>
                <w:sz w:val="21"/>
              </w:rPr>
              <w:t>15.00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48"/>
              <w:jc w:val="center"/>
              <w:rPr>
                <w:rFonts w:ascii="Times New Roman" w:hAnsi="Times New Roman" w:cs="Times New Roman" w:eastAsia="Times New Roman" w:hint="default"/>
                <w:sz w:val="21"/>
                <w:szCs w:val="21"/>
              </w:rPr>
            </w:pPr>
            <w:r>
              <w:rPr>
                <w:rFonts w:ascii="Times New Roman"/>
                <w:sz w:val="21"/>
              </w:rPr>
              <w:t>0.3364</w:t>
            </w:r>
          </w:p>
        </w:tc>
      </w:tr>
      <w:tr>
        <w:trPr>
          <w:trHeight w:val="350" w:hRule="exact"/>
        </w:trPr>
        <w:tc>
          <w:tcPr>
            <w:tcW w:w="3443" w:type="dxa"/>
            <w:tcBorders>
              <w:top w:val="nil" w:sz="6" w:space="0" w:color="auto"/>
              <w:left w:val="nil" w:sz="6" w:space="0" w:color="auto"/>
              <w:bottom w:val="nil" w:sz="6" w:space="0" w:color="auto"/>
              <w:right w:val="nil" w:sz="6" w:space="0" w:color="auto"/>
            </w:tcBorders>
          </w:tcPr>
          <w:p>
            <w:pPr>
              <w:pStyle w:val="TableParagraph"/>
              <w:spacing w:line="261" w:lineRule="exact"/>
              <w:ind w:left="723" w:right="0"/>
              <w:jc w:val="left"/>
              <w:rPr>
                <w:rFonts w:ascii="宋体" w:hAnsi="宋体" w:cs="宋体" w:eastAsia="宋体" w:hint="default"/>
                <w:sz w:val="21"/>
                <w:szCs w:val="21"/>
              </w:rPr>
            </w:pPr>
            <w:r>
              <w:rPr>
                <w:rFonts w:ascii="宋体" w:hAnsi="宋体" w:cs="宋体" w:eastAsia="宋体" w:hint="default"/>
                <w:sz w:val="21"/>
                <w:szCs w:val="21"/>
              </w:rPr>
              <w:t>邵彦超</w:t>
            </w:r>
          </w:p>
        </w:tc>
        <w:tc>
          <w:tcPr>
            <w:tcW w:w="327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870" w:right="0"/>
              <w:jc w:val="left"/>
              <w:rPr>
                <w:rFonts w:ascii="Times New Roman" w:hAnsi="Times New Roman" w:cs="Times New Roman" w:eastAsia="Times New Roman" w:hint="default"/>
                <w:sz w:val="21"/>
                <w:szCs w:val="21"/>
              </w:rPr>
            </w:pPr>
            <w:r>
              <w:rPr>
                <w:rFonts w:ascii="Times New Roman"/>
                <w:sz w:val="21"/>
              </w:rPr>
              <w:t>15.00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48"/>
              <w:jc w:val="center"/>
              <w:rPr>
                <w:rFonts w:ascii="Times New Roman" w:hAnsi="Times New Roman" w:cs="Times New Roman" w:eastAsia="Times New Roman" w:hint="default"/>
                <w:sz w:val="21"/>
                <w:szCs w:val="21"/>
              </w:rPr>
            </w:pPr>
            <w:r>
              <w:rPr>
                <w:rFonts w:ascii="Times New Roman"/>
                <w:sz w:val="21"/>
              </w:rPr>
              <w:t>0.3364</w:t>
            </w:r>
          </w:p>
        </w:tc>
      </w:tr>
      <w:tr>
        <w:trPr>
          <w:trHeight w:val="350" w:hRule="exact"/>
        </w:trPr>
        <w:tc>
          <w:tcPr>
            <w:tcW w:w="3443" w:type="dxa"/>
            <w:tcBorders>
              <w:top w:val="nil" w:sz="6" w:space="0" w:color="auto"/>
              <w:left w:val="nil" w:sz="6" w:space="0" w:color="auto"/>
              <w:bottom w:val="nil" w:sz="6" w:space="0" w:color="auto"/>
              <w:right w:val="nil" w:sz="6" w:space="0" w:color="auto"/>
            </w:tcBorders>
          </w:tcPr>
          <w:p>
            <w:pPr>
              <w:pStyle w:val="TableParagraph"/>
              <w:spacing w:line="261" w:lineRule="exact"/>
              <w:ind w:left="723" w:right="0"/>
              <w:jc w:val="left"/>
              <w:rPr>
                <w:rFonts w:ascii="宋体" w:hAnsi="宋体" w:cs="宋体" w:eastAsia="宋体" w:hint="default"/>
                <w:sz w:val="21"/>
                <w:szCs w:val="21"/>
              </w:rPr>
            </w:pPr>
            <w:r>
              <w:rPr>
                <w:rFonts w:ascii="宋体" w:hAnsi="宋体" w:cs="宋体" w:eastAsia="宋体" w:hint="default"/>
                <w:sz w:val="21"/>
                <w:szCs w:val="21"/>
              </w:rPr>
              <w:t>李文坚</w:t>
            </w:r>
          </w:p>
        </w:tc>
        <w:tc>
          <w:tcPr>
            <w:tcW w:w="327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870" w:right="0"/>
              <w:jc w:val="left"/>
              <w:rPr>
                <w:rFonts w:ascii="Times New Roman" w:hAnsi="Times New Roman" w:cs="Times New Roman" w:eastAsia="Times New Roman" w:hint="default"/>
                <w:sz w:val="21"/>
                <w:szCs w:val="21"/>
              </w:rPr>
            </w:pPr>
            <w:r>
              <w:rPr>
                <w:rFonts w:ascii="Times New Roman"/>
                <w:sz w:val="21"/>
              </w:rPr>
              <w:t>15.00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48"/>
              <w:jc w:val="center"/>
              <w:rPr>
                <w:rFonts w:ascii="Times New Roman" w:hAnsi="Times New Roman" w:cs="Times New Roman" w:eastAsia="Times New Roman" w:hint="default"/>
                <w:sz w:val="21"/>
                <w:szCs w:val="21"/>
              </w:rPr>
            </w:pPr>
            <w:r>
              <w:rPr>
                <w:rFonts w:ascii="Times New Roman"/>
                <w:sz w:val="21"/>
              </w:rPr>
              <w:t>0.3364</w:t>
            </w:r>
          </w:p>
        </w:tc>
      </w:tr>
      <w:tr>
        <w:trPr>
          <w:trHeight w:val="350" w:hRule="exact"/>
        </w:trPr>
        <w:tc>
          <w:tcPr>
            <w:tcW w:w="3443" w:type="dxa"/>
            <w:tcBorders>
              <w:top w:val="nil" w:sz="6" w:space="0" w:color="auto"/>
              <w:left w:val="nil" w:sz="6" w:space="0" w:color="auto"/>
              <w:bottom w:val="nil" w:sz="6" w:space="0" w:color="auto"/>
              <w:right w:val="nil" w:sz="6" w:space="0" w:color="auto"/>
            </w:tcBorders>
          </w:tcPr>
          <w:p>
            <w:pPr>
              <w:pStyle w:val="TableParagraph"/>
              <w:spacing w:line="261" w:lineRule="exact"/>
              <w:ind w:left="723" w:right="0"/>
              <w:jc w:val="left"/>
              <w:rPr>
                <w:rFonts w:ascii="宋体" w:hAnsi="宋体" w:cs="宋体" w:eastAsia="宋体" w:hint="default"/>
                <w:sz w:val="21"/>
                <w:szCs w:val="21"/>
              </w:rPr>
            </w:pPr>
            <w:r>
              <w:rPr>
                <w:rFonts w:ascii="宋体" w:hAnsi="宋体" w:cs="宋体" w:eastAsia="宋体" w:hint="default"/>
                <w:sz w:val="21"/>
                <w:szCs w:val="21"/>
              </w:rPr>
              <w:t>张振京</w:t>
            </w:r>
          </w:p>
        </w:tc>
        <w:tc>
          <w:tcPr>
            <w:tcW w:w="327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923" w:right="0"/>
              <w:jc w:val="left"/>
              <w:rPr>
                <w:rFonts w:ascii="Times New Roman" w:hAnsi="Times New Roman" w:cs="Times New Roman" w:eastAsia="Times New Roman" w:hint="default"/>
                <w:sz w:val="21"/>
                <w:szCs w:val="21"/>
              </w:rPr>
            </w:pPr>
            <w:r>
              <w:rPr>
                <w:rFonts w:ascii="Times New Roman"/>
                <w:sz w:val="21"/>
              </w:rPr>
              <w:t>5.00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54"/>
              <w:jc w:val="center"/>
              <w:rPr>
                <w:rFonts w:ascii="Times New Roman" w:hAnsi="Times New Roman" w:cs="Times New Roman" w:eastAsia="Times New Roman" w:hint="default"/>
                <w:sz w:val="21"/>
                <w:szCs w:val="21"/>
              </w:rPr>
            </w:pPr>
            <w:r>
              <w:rPr>
                <w:rFonts w:ascii="Times New Roman"/>
                <w:sz w:val="21"/>
              </w:rPr>
              <w:t>0.1121</w:t>
            </w:r>
          </w:p>
        </w:tc>
      </w:tr>
      <w:tr>
        <w:trPr>
          <w:trHeight w:val="350" w:hRule="exact"/>
        </w:trPr>
        <w:tc>
          <w:tcPr>
            <w:tcW w:w="3443" w:type="dxa"/>
            <w:tcBorders>
              <w:top w:val="nil" w:sz="6" w:space="0" w:color="auto"/>
              <w:left w:val="nil" w:sz="6" w:space="0" w:color="auto"/>
              <w:bottom w:val="nil" w:sz="6" w:space="0" w:color="auto"/>
              <w:right w:val="nil" w:sz="6" w:space="0" w:color="auto"/>
            </w:tcBorders>
          </w:tcPr>
          <w:p>
            <w:pPr>
              <w:pStyle w:val="TableParagraph"/>
              <w:spacing w:line="261" w:lineRule="exact"/>
              <w:ind w:left="723" w:right="0"/>
              <w:jc w:val="left"/>
              <w:rPr>
                <w:rFonts w:ascii="宋体" w:hAnsi="宋体" w:cs="宋体" w:eastAsia="宋体" w:hint="default"/>
                <w:sz w:val="21"/>
                <w:szCs w:val="21"/>
              </w:rPr>
            </w:pPr>
            <w:r>
              <w:rPr>
                <w:rFonts w:ascii="宋体" w:hAnsi="宋体" w:cs="宋体" w:eastAsia="宋体" w:hint="default"/>
                <w:sz w:val="21"/>
                <w:szCs w:val="21"/>
              </w:rPr>
              <w:t>焦征海</w:t>
            </w:r>
          </w:p>
        </w:tc>
        <w:tc>
          <w:tcPr>
            <w:tcW w:w="327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923" w:right="0"/>
              <w:jc w:val="left"/>
              <w:rPr>
                <w:rFonts w:ascii="Times New Roman" w:hAnsi="Times New Roman" w:cs="Times New Roman" w:eastAsia="Times New Roman" w:hint="default"/>
                <w:sz w:val="21"/>
                <w:szCs w:val="21"/>
              </w:rPr>
            </w:pPr>
            <w:r>
              <w:rPr>
                <w:rFonts w:ascii="Times New Roman"/>
                <w:sz w:val="21"/>
              </w:rPr>
              <w:t>5.00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54"/>
              <w:jc w:val="center"/>
              <w:rPr>
                <w:rFonts w:ascii="Times New Roman" w:hAnsi="Times New Roman" w:cs="Times New Roman" w:eastAsia="Times New Roman" w:hint="default"/>
                <w:sz w:val="21"/>
                <w:szCs w:val="21"/>
              </w:rPr>
            </w:pPr>
            <w:r>
              <w:rPr>
                <w:rFonts w:ascii="Times New Roman"/>
                <w:sz w:val="21"/>
              </w:rPr>
              <w:t>0.1121</w:t>
            </w:r>
          </w:p>
        </w:tc>
      </w:tr>
      <w:tr>
        <w:trPr>
          <w:trHeight w:val="350" w:hRule="exact"/>
        </w:trPr>
        <w:tc>
          <w:tcPr>
            <w:tcW w:w="3443" w:type="dxa"/>
            <w:tcBorders>
              <w:top w:val="nil" w:sz="6" w:space="0" w:color="auto"/>
              <w:left w:val="nil" w:sz="6" w:space="0" w:color="auto"/>
              <w:bottom w:val="nil" w:sz="6" w:space="0" w:color="auto"/>
              <w:right w:val="nil" w:sz="6" w:space="0" w:color="auto"/>
            </w:tcBorders>
          </w:tcPr>
          <w:p>
            <w:pPr>
              <w:pStyle w:val="TableParagraph"/>
              <w:spacing w:line="261" w:lineRule="exact"/>
              <w:ind w:left="723" w:right="0"/>
              <w:jc w:val="left"/>
              <w:rPr>
                <w:rFonts w:ascii="宋体" w:hAnsi="宋体" w:cs="宋体" w:eastAsia="宋体" w:hint="default"/>
                <w:sz w:val="21"/>
                <w:szCs w:val="21"/>
              </w:rPr>
            </w:pPr>
            <w:r>
              <w:rPr>
                <w:rFonts w:ascii="宋体" w:hAnsi="宋体" w:cs="宋体" w:eastAsia="宋体" w:hint="default"/>
                <w:sz w:val="21"/>
                <w:szCs w:val="21"/>
              </w:rPr>
              <w:t>秦天福</w:t>
            </w:r>
          </w:p>
        </w:tc>
        <w:tc>
          <w:tcPr>
            <w:tcW w:w="327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923" w:right="0"/>
              <w:jc w:val="left"/>
              <w:rPr>
                <w:rFonts w:ascii="Times New Roman" w:hAnsi="Times New Roman" w:cs="Times New Roman" w:eastAsia="Times New Roman" w:hint="default"/>
                <w:sz w:val="21"/>
                <w:szCs w:val="21"/>
              </w:rPr>
            </w:pPr>
            <w:r>
              <w:rPr>
                <w:rFonts w:ascii="Times New Roman"/>
                <w:sz w:val="21"/>
              </w:rPr>
              <w:t>5.00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54"/>
              <w:jc w:val="center"/>
              <w:rPr>
                <w:rFonts w:ascii="Times New Roman" w:hAnsi="Times New Roman" w:cs="Times New Roman" w:eastAsia="Times New Roman" w:hint="default"/>
                <w:sz w:val="21"/>
                <w:szCs w:val="21"/>
              </w:rPr>
            </w:pPr>
            <w:r>
              <w:rPr>
                <w:rFonts w:ascii="Times New Roman"/>
                <w:sz w:val="21"/>
              </w:rPr>
              <w:t>0.1121</w:t>
            </w:r>
          </w:p>
        </w:tc>
      </w:tr>
      <w:tr>
        <w:trPr>
          <w:trHeight w:val="350" w:hRule="exact"/>
        </w:trPr>
        <w:tc>
          <w:tcPr>
            <w:tcW w:w="3443" w:type="dxa"/>
            <w:tcBorders>
              <w:top w:val="nil" w:sz="6" w:space="0" w:color="auto"/>
              <w:left w:val="nil" w:sz="6" w:space="0" w:color="auto"/>
              <w:bottom w:val="nil" w:sz="6" w:space="0" w:color="auto"/>
              <w:right w:val="nil" w:sz="6" w:space="0" w:color="auto"/>
            </w:tcBorders>
          </w:tcPr>
          <w:p>
            <w:pPr>
              <w:pStyle w:val="TableParagraph"/>
              <w:spacing w:line="261" w:lineRule="exact"/>
              <w:ind w:left="723" w:right="0"/>
              <w:jc w:val="left"/>
              <w:rPr>
                <w:rFonts w:ascii="宋体" w:hAnsi="宋体" w:cs="宋体" w:eastAsia="宋体" w:hint="default"/>
                <w:sz w:val="21"/>
                <w:szCs w:val="21"/>
              </w:rPr>
            </w:pPr>
            <w:r>
              <w:rPr>
                <w:rFonts w:ascii="宋体" w:hAnsi="宋体" w:cs="宋体" w:eastAsia="宋体" w:hint="default"/>
                <w:sz w:val="21"/>
                <w:szCs w:val="21"/>
              </w:rPr>
              <w:t>王勇军</w:t>
            </w:r>
          </w:p>
        </w:tc>
        <w:tc>
          <w:tcPr>
            <w:tcW w:w="327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923" w:right="0"/>
              <w:jc w:val="left"/>
              <w:rPr>
                <w:rFonts w:ascii="Times New Roman" w:hAnsi="Times New Roman" w:cs="Times New Roman" w:eastAsia="Times New Roman" w:hint="default"/>
                <w:sz w:val="21"/>
                <w:szCs w:val="21"/>
              </w:rPr>
            </w:pPr>
            <w:r>
              <w:rPr>
                <w:rFonts w:ascii="Times New Roman"/>
                <w:sz w:val="21"/>
              </w:rPr>
              <w:t>5.00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54"/>
              <w:jc w:val="center"/>
              <w:rPr>
                <w:rFonts w:ascii="Times New Roman" w:hAnsi="Times New Roman" w:cs="Times New Roman" w:eastAsia="Times New Roman" w:hint="default"/>
                <w:sz w:val="21"/>
                <w:szCs w:val="21"/>
              </w:rPr>
            </w:pPr>
            <w:r>
              <w:rPr>
                <w:rFonts w:ascii="Times New Roman"/>
                <w:sz w:val="21"/>
              </w:rPr>
              <w:t>0.1121</w:t>
            </w:r>
          </w:p>
        </w:tc>
      </w:tr>
      <w:tr>
        <w:trPr>
          <w:trHeight w:val="350" w:hRule="exact"/>
        </w:trPr>
        <w:tc>
          <w:tcPr>
            <w:tcW w:w="3443" w:type="dxa"/>
            <w:tcBorders>
              <w:top w:val="nil" w:sz="6" w:space="0" w:color="auto"/>
              <w:left w:val="nil" w:sz="6" w:space="0" w:color="auto"/>
              <w:bottom w:val="nil" w:sz="6" w:space="0" w:color="auto"/>
              <w:right w:val="nil" w:sz="6" w:space="0" w:color="auto"/>
            </w:tcBorders>
          </w:tcPr>
          <w:p>
            <w:pPr>
              <w:pStyle w:val="TableParagraph"/>
              <w:spacing w:line="261" w:lineRule="exact"/>
              <w:ind w:left="723" w:right="0"/>
              <w:jc w:val="left"/>
              <w:rPr>
                <w:rFonts w:ascii="宋体" w:hAnsi="宋体" w:cs="宋体" w:eastAsia="宋体" w:hint="default"/>
                <w:sz w:val="21"/>
                <w:szCs w:val="21"/>
              </w:rPr>
            </w:pPr>
            <w:r>
              <w:rPr>
                <w:rFonts w:ascii="宋体" w:hAnsi="宋体" w:cs="宋体" w:eastAsia="宋体" w:hint="default"/>
                <w:sz w:val="21"/>
                <w:szCs w:val="21"/>
              </w:rPr>
              <w:t>韩雪</w:t>
            </w:r>
          </w:p>
        </w:tc>
        <w:tc>
          <w:tcPr>
            <w:tcW w:w="327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923" w:right="0"/>
              <w:jc w:val="left"/>
              <w:rPr>
                <w:rFonts w:ascii="Times New Roman" w:hAnsi="Times New Roman" w:cs="Times New Roman" w:eastAsia="Times New Roman" w:hint="default"/>
                <w:sz w:val="21"/>
                <w:szCs w:val="21"/>
              </w:rPr>
            </w:pPr>
            <w:r>
              <w:rPr>
                <w:rFonts w:ascii="Times New Roman"/>
                <w:sz w:val="21"/>
              </w:rPr>
              <w:t>5.00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54"/>
              <w:jc w:val="center"/>
              <w:rPr>
                <w:rFonts w:ascii="Times New Roman" w:hAnsi="Times New Roman" w:cs="Times New Roman" w:eastAsia="Times New Roman" w:hint="default"/>
                <w:sz w:val="21"/>
                <w:szCs w:val="21"/>
              </w:rPr>
            </w:pPr>
            <w:r>
              <w:rPr>
                <w:rFonts w:ascii="Times New Roman"/>
                <w:sz w:val="21"/>
              </w:rPr>
              <w:t>0.1121</w:t>
            </w:r>
          </w:p>
        </w:tc>
      </w:tr>
      <w:tr>
        <w:trPr>
          <w:trHeight w:val="350" w:hRule="exact"/>
        </w:trPr>
        <w:tc>
          <w:tcPr>
            <w:tcW w:w="3443" w:type="dxa"/>
            <w:tcBorders>
              <w:top w:val="nil" w:sz="6" w:space="0" w:color="auto"/>
              <w:left w:val="nil" w:sz="6" w:space="0" w:color="auto"/>
              <w:bottom w:val="nil" w:sz="6" w:space="0" w:color="auto"/>
              <w:right w:val="nil" w:sz="6" w:space="0" w:color="auto"/>
            </w:tcBorders>
          </w:tcPr>
          <w:p>
            <w:pPr>
              <w:pStyle w:val="TableParagraph"/>
              <w:spacing w:line="261" w:lineRule="exact"/>
              <w:ind w:left="723" w:right="0"/>
              <w:jc w:val="left"/>
              <w:rPr>
                <w:rFonts w:ascii="宋体" w:hAnsi="宋体" w:cs="宋体" w:eastAsia="宋体" w:hint="default"/>
                <w:sz w:val="21"/>
                <w:szCs w:val="21"/>
              </w:rPr>
            </w:pPr>
            <w:r>
              <w:rPr>
                <w:rFonts w:ascii="宋体" w:hAnsi="宋体" w:cs="宋体" w:eastAsia="宋体" w:hint="default"/>
                <w:sz w:val="21"/>
                <w:szCs w:val="21"/>
              </w:rPr>
              <w:t>张建英</w:t>
            </w:r>
          </w:p>
        </w:tc>
        <w:tc>
          <w:tcPr>
            <w:tcW w:w="327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923" w:right="0"/>
              <w:jc w:val="left"/>
              <w:rPr>
                <w:rFonts w:ascii="Times New Roman" w:hAnsi="Times New Roman" w:cs="Times New Roman" w:eastAsia="Times New Roman" w:hint="default"/>
                <w:sz w:val="21"/>
                <w:szCs w:val="21"/>
              </w:rPr>
            </w:pPr>
            <w:r>
              <w:rPr>
                <w:rFonts w:ascii="Times New Roman"/>
                <w:sz w:val="21"/>
              </w:rPr>
              <w:t>5.00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54"/>
              <w:jc w:val="center"/>
              <w:rPr>
                <w:rFonts w:ascii="Times New Roman" w:hAnsi="Times New Roman" w:cs="Times New Roman" w:eastAsia="Times New Roman" w:hint="default"/>
                <w:sz w:val="21"/>
                <w:szCs w:val="21"/>
              </w:rPr>
            </w:pPr>
            <w:r>
              <w:rPr>
                <w:rFonts w:ascii="Times New Roman"/>
                <w:sz w:val="21"/>
              </w:rPr>
              <w:t>0.1121</w:t>
            </w:r>
          </w:p>
        </w:tc>
      </w:tr>
      <w:tr>
        <w:trPr>
          <w:trHeight w:val="350" w:hRule="exact"/>
        </w:trPr>
        <w:tc>
          <w:tcPr>
            <w:tcW w:w="3443" w:type="dxa"/>
            <w:tcBorders>
              <w:top w:val="nil" w:sz="6" w:space="0" w:color="auto"/>
              <w:left w:val="nil" w:sz="6" w:space="0" w:color="auto"/>
              <w:bottom w:val="nil" w:sz="6" w:space="0" w:color="auto"/>
              <w:right w:val="nil" w:sz="6" w:space="0" w:color="auto"/>
            </w:tcBorders>
          </w:tcPr>
          <w:p>
            <w:pPr>
              <w:pStyle w:val="TableParagraph"/>
              <w:spacing w:line="261" w:lineRule="exact"/>
              <w:ind w:left="723" w:right="0"/>
              <w:jc w:val="left"/>
              <w:rPr>
                <w:rFonts w:ascii="宋体" w:hAnsi="宋体" w:cs="宋体" w:eastAsia="宋体" w:hint="default"/>
                <w:sz w:val="21"/>
                <w:szCs w:val="21"/>
              </w:rPr>
            </w:pPr>
            <w:r>
              <w:rPr>
                <w:rFonts w:ascii="宋体" w:hAnsi="宋体" w:cs="宋体" w:eastAsia="宋体" w:hint="default"/>
                <w:sz w:val="21"/>
                <w:szCs w:val="21"/>
              </w:rPr>
              <w:t>郭永旺</w:t>
            </w:r>
          </w:p>
        </w:tc>
        <w:tc>
          <w:tcPr>
            <w:tcW w:w="327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923" w:right="0"/>
              <w:jc w:val="left"/>
              <w:rPr>
                <w:rFonts w:ascii="Times New Roman" w:hAnsi="Times New Roman" w:cs="Times New Roman" w:eastAsia="Times New Roman" w:hint="default"/>
                <w:sz w:val="21"/>
                <w:szCs w:val="21"/>
              </w:rPr>
            </w:pPr>
            <w:r>
              <w:rPr>
                <w:rFonts w:ascii="Times New Roman"/>
                <w:sz w:val="21"/>
              </w:rPr>
              <w:t>5.00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54"/>
              <w:jc w:val="center"/>
              <w:rPr>
                <w:rFonts w:ascii="Times New Roman" w:hAnsi="Times New Roman" w:cs="Times New Roman" w:eastAsia="Times New Roman" w:hint="default"/>
                <w:sz w:val="21"/>
                <w:szCs w:val="21"/>
              </w:rPr>
            </w:pPr>
            <w:r>
              <w:rPr>
                <w:rFonts w:ascii="Times New Roman"/>
                <w:sz w:val="21"/>
              </w:rPr>
              <w:t>0.1121</w:t>
            </w:r>
          </w:p>
        </w:tc>
      </w:tr>
      <w:tr>
        <w:trPr>
          <w:trHeight w:val="328" w:hRule="exact"/>
        </w:trPr>
        <w:tc>
          <w:tcPr>
            <w:tcW w:w="3443" w:type="dxa"/>
            <w:tcBorders>
              <w:top w:val="nil" w:sz="6" w:space="0" w:color="auto"/>
              <w:left w:val="nil" w:sz="6" w:space="0" w:color="auto"/>
              <w:bottom w:val="single" w:sz="12" w:space="0" w:color="000000"/>
              <w:right w:val="nil" w:sz="6" w:space="0" w:color="auto"/>
            </w:tcBorders>
          </w:tcPr>
          <w:p>
            <w:pPr>
              <w:pStyle w:val="TableParagraph"/>
              <w:spacing w:line="261" w:lineRule="exact"/>
              <w:ind w:left="723" w:right="0"/>
              <w:jc w:val="left"/>
              <w:rPr>
                <w:rFonts w:ascii="宋体" w:hAnsi="宋体" w:cs="宋体" w:eastAsia="宋体" w:hint="default"/>
                <w:sz w:val="21"/>
                <w:szCs w:val="21"/>
              </w:rPr>
            </w:pPr>
            <w:r>
              <w:rPr>
                <w:rFonts w:ascii="宋体" w:hAnsi="宋体" w:cs="宋体" w:eastAsia="宋体" w:hint="default"/>
                <w:sz w:val="21"/>
                <w:szCs w:val="21"/>
              </w:rPr>
              <w:t>苏扬鸣</w:t>
            </w:r>
          </w:p>
        </w:tc>
        <w:tc>
          <w:tcPr>
            <w:tcW w:w="3272"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left="1923" w:right="0"/>
              <w:jc w:val="left"/>
              <w:rPr>
                <w:rFonts w:ascii="Times New Roman" w:hAnsi="Times New Roman" w:cs="Times New Roman" w:eastAsia="Times New Roman" w:hint="default"/>
                <w:sz w:val="21"/>
                <w:szCs w:val="21"/>
              </w:rPr>
            </w:pPr>
            <w:r>
              <w:rPr>
                <w:rFonts w:ascii="Times New Roman"/>
                <w:sz w:val="21"/>
              </w:rPr>
              <w:t>5.00</w:t>
            </w:r>
          </w:p>
        </w:tc>
        <w:tc>
          <w:tcPr>
            <w:tcW w:w="2253"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right="154"/>
              <w:jc w:val="center"/>
              <w:rPr>
                <w:rFonts w:ascii="Times New Roman" w:hAnsi="Times New Roman" w:cs="Times New Roman" w:eastAsia="Times New Roman" w:hint="default"/>
                <w:sz w:val="21"/>
                <w:szCs w:val="21"/>
              </w:rPr>
            </w:pPr>
            <w:r>
              <w:rPr>
                <w:rFonts w:ascii="Times New Roman"/>
                <w:sz w:val="21"/>
              </w:rPr>
              <w:t>0.1121</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982" w:top="1100" w:bottom="1180" w:left="980" w:right="900"/>
        </w:sectPr>
      </w:pPr>
    </w:p>
    <w:p>
      <w:pPr>
        <w:spacing w:line="240" w:lineRule="auto" w:before="8"/>
        <w:rPr>
          <w:rFonts w:ascii="宋体" w:hAnsi="宋体" w:cs="宋体" w:eastAsia="宋体" w:hint="default"/>
          <w:sz w:val="25"/>
          <w:szCs w:val="25"/>
        </w:rPr>
      </w:pPr>
      <w:r>
        <w:rPr/>
        <w:pict>
          <v:group style="position:absolute;margin-left:94.68pt;margin-top:72.510002pt;width:450.3pt;height:648pt;mso-position-horizontal-relative:page;mso-position-vertical-relative:page;z-index:-1166656" coordorigin="1894,1450" coordsize="9006,12960">
            <v:shape style="position:absolute;left:5618;top:1450;width:3074;height:379" type="#_x0000_t75" stroked="false">
              <v:imagedata r:id="rId51" o:title=""/>
            </v:shape>
            <v:shape style="position:absolute;left:1894;top:1790;width:9006;height:12619" type="#_x0000_t75" stroked="false">
              <v:imagedata r:id="rId52" o:title=""/>
            </v:shape>
            <w10:wrap type="none"/>
          </v:group>
        </w:pict>
      </w:r>
    </w:p>
    <w:tbl>
      <w:tblPr>
        <w:tblW w:w="0" w:type="auto"/>
        <w:jc w:val="left"/>
        <w:tblInd w:w="932" w:type="dxa"/>
        <w:tblLayout w:type="fixed"/>
        <w:tblCellMar>
          <w:top w:w="0" w:type="dxa"/>
          <w:left w:w="0" w:type="dxa"/>
          <w:bottom w:w="0" w:type="dxa"/>
          <w:right w:w="0" w:type="dxa"/>
        </w:tblCellMar>
        <w:tblLook w:val="01E0"/>
      </w:tblPr>
      <w:tblGrid>
        <w:gridCol w:w="3144"/>
        <w:gridCol w:w="3571"/>
        <w:gridCol w:w="2253"/>
      </w:tblGrid>
      <w:tr>
        <w:trPr>
          <w:trHeight w:val="393" w:hRule="exact"/>
        </w:trPr>
        <w:tc>
          <w:tcPr>
            <w:tcW w:w="3144" w:type="dxa"/>
            <w:tcBorders>
              <w:top w:val="single" w:sz="12" w:space="0" w:color="000000"/>
              <w:left w:val="nil" w:sz="6" w:space="0" w:color="auto"/>
              <w:bottom w:val="nil" w:sz="6" w:space="0" w:color="auto"/>
              <w:right w:val="nil" w:sz="6" w:space="0" w:color="auto"/>
            </w:tcBorders>
          </w:tcPr>
          <w:p>
            <w:pPr>
              <w:pStyle w:val="TableParagraph"/>
              <w:spacing w:line="240" w:lineRule="auto" w:before="27"/>
              <w:ind w:left="723" w:right="0"/>
              <w:jc w:val="left"/>
              <w:rPr>
                <w:rFonts w:ascii="宋体" w:hAnsi="宋体" w:cs="宋体" w:eastAsia="宋体" w:hint="default"/>
                <w:sz w:val="21"/>
                <w:szCs w:val="21"/>
              </w:rPr>
            </w:pPr>
            <w:r>
              <w:rPr>
                <w:rFonts w:ascii="宋体" w:hAnsi="宋体" w:cs="宋体" w:eastAsia="宋体" w:hint="default"/>
                <w:sz w:val="21"/>
                <w:szCs w:val="21"/>
              </w:rPr>
              <w:t>投资方</w:t>
            </w:r>
          </w:p>
        </w:tc>
        <w:tc>
          <w:tcPr>
            <w:tcW w:w="3571" w:type="dxa"/>
            <w:tcBorders>
              <w:top w:val="single" w:sz="12" w:space="0" w:color="000000"/>
              <w:left w:val="nil" w:sz="6" w:space="0" w:color="auto"/>
              <w:bottom w:val="nil" w:sz="6" w:space="0" w:color="auto"/>
              <w:right w:val="nil" w:sz="6" w:space="0" w:color="auto"/>
            </w:tcBorders>
          </w:tcPr>
          <w:p>
            <w:pPr>
              <w:pStyle w:val="TableParagraph"/>
              <w:spacing w:line="240" w:lineRule="auto" w:before="27"/>
              <w:ind w:left="693" w:right="0"/>
              <w:jc w:val="left"/>
              <w:rPr>
                <w:rFonts w:ascii="宋体" w:hAnsi="宋体" w:cs="宋体" w:eastAsia="宋体" w:hint="default"/>
                <w:sz w:val="21"/>
                <w:szCs w:val="21"/>
              </w:rPr>
            </w:pPr>
            <w:r>
              <w:rPr>
                <w:rFonts w:ascii="宋体" w:hAnsi="宋体" w:cs="宋体" w:eastAsia="宋体" w:hint="default"/>
                <w:sz w:val="21"/>
                <w:szCs w:val="21"/>
              </w:rPr>
              <w:t>认缴注册资本额（万元）</w:t>
            </w:r>
          </w:p>
        </w:tc>
        <w:tc>
          <w:tcPr>
            <w:tcW w:w="2253" w:type="dxa"/>
            <w:tcBorders>
              <w:top w:val="single" w:sz="12" w:space="0" w:color="000000"/>
              <w:left w:val="nil" w:sz="6" w:space="0" w:color="auto"/>
              <w:bottom w:val="nil" w:sz="6" w:space="0" w:color="auto"/>
              <w:right w:val="nil" w:sz="6" w:space="0" w:color="auto"/>
            </w:tcBorders>
          </w:tcPr>
          <w:p>
            <w:pPr>
              <w:pStyle w:val="TableParagraph"/>
              <w:spacing w:line="240" w:lineRule="auto" w:before="27"/>
              <w:ind w:left="566" w:right="0"/>
              <w:jc w:val="left"/>
              <w:rPr>
                <w:rFonts w:ascii="宋体" w:hAnsi="宋体" w:cs="宋体" w:eastAsia="宋体" w:hint="default"/>
                <w:sz w:val="21"/>
                <w:szCs w:val="21"/>
              </w:rPr>
            </w:pPr>
            <w:r>
              <w:rPr>
                <w:rFonts w:ascii="宋体" w:hAnsi="宋体" w:cs="宋体" w:eastAsia="宋体" w:hint="default"/>
                <w:sz w:val="21"/>
                <w:szCs w:val="21"/>
              </w:rPr>
              <w:t>出资比例（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0"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杨长昆</w:t>
            </w:r>
          </w:p>
        </w:tc>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222" w:right="0"/>
              <w:jc w:val="left"/>
              <w:rPr>
                <w:rFonts w:ascii="Times New Roman" w:hAnsi="Times New Roman" w:cs="Times New Roman" w:eastAsia="Times New Roman" w:hint="default"/>
                <w:sz w:val="21"/>
                <w:szCs w:val="21"/>
              </w:rPr>
            </w:pPr>
            <w:r>
              <w:rPr>
                <w:rFonts w:ascii="Times New Roman"/>
                <w:sz w:val="21"/>
              </w:rPr>
              <w:t>5.00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54"/>
              <w:jc w:val="center"/>
              <w:rPr>
                <w:rFonts w:ascii="Times New Roman" w:hAnsi="Times New Roman" w:cs="Times New Roman" w:eastAsia="Times New Roman" w:hint="default"/>
                <w:sz w:val="21"/>
                <w:szCs w:val="21"/>
              </w:rPr>
            </w:pPr>
            <w:r>
              <w:rPr>
                <w:rFonts w:ascii="Times New Roman"/>
                <w:sz w:val="21"/>
              </w:rPr>
              <w:t>0.1121</w:t>
            </w:r>
          </w:p>
        </w:tc>
      </w:tr>
      <w:tr>
        <w:trPr>
          <w:trHeight w:val="350"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陈卫国</w:t>
            </w:r>
          </w:p>
        </w:tc>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222" w:right="0"/>
              <w:jc w:val="left"/>
              <w:rPr>
                <w:rFonts w:ascii="Times New Roman" w:hAnsi="Times New Roman" w:cs="Times New Roman" w:eastAsia="Times New Roman" w:hint="default"/>
                <w:sz w:val="21"/>
                <w:szCs w:val="21"/>
              </w:rPr>
            </w:pPr>
            <w:r>
              <w:rPr>
                <w:rFonts w:ascii="Times New Roman"/>
                <w:sz w:val="21"/>
              </w:rPr>
              <w:t>5.00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54"/>
              <w:jc w:val="center"/>
              <w:rPr>
                <w:rFonts w:ascii="Times New Roman" w:hAnsi="Times New Roman" w:cs="Times New Roman" w:eastAsia="Times New Roman" w:hint="default"/>
                <w:sz w:val="21"/>
                <w:szCs w:val="21"/>
              </w:rPr>
            </w:pPr>
            <w:r>
              <w:rPr>
                <w:rFonts w:ascii="Times New Roman"/>
                <w:sz w:val="21"/>
              </w:rPr>
              <w:t>0.1121</w:t>
            </w:r>
          </w:p>
        </w:tc>
      </w:tr>
      <w:tr>
        <w:trPr>
          <w:trHeight w:val="350"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吴冠军</w:t>
            </w:r>
          </w:p>
        </w:tc>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222" w:right="0"/>
              <w:jc w:val="left"/>
              <w:rPr>
                <w:rFonts w:ascii="Times New Roman" w:hAnsi="Times New Roman" w:cs="Times New Roman" w:eastAsia="Times New Roman" w:hint="default"/>
                <w:sz w:val="21"/>
                <w:szCs w:val="21"/>
              </w:rPr>
            </w:pPr>
            <w:r>
              <w:rPr>
                <w:rFonts w:ascii="Times New Roman"/>
                <w:sz w:val="21"/>
              </w:rPr>
              <w:t>5.00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54"/>
              <w:jc w:val="center"/>
              <w:rPr>
                <w:rFonts w:ascii="Times New Roman" w:hAnsi="Times New Roman" w:cs="Times New Roman" w:eastAsia="Times New Roman" w:hint="default"/>
                <w:sz w:val="21"/>
                <w:szCs w:val="21"/>
              </w:rPr>
            </w:pPr>
            <w:r>
              <w:rPr>
                <w:rFonts w:ascii="Times New Roman"/>
                <w:sz w:val="21"/>
              </w:rPr>
              <w:t>0.1121</w:t>
            </w:r>
          </w:p>
        </w:tc>
      </w:tr>
      <w:tr>
        <w:trPr>
          <w:trHeight w:val="350"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马东亚</w:t>
            </w:r>
          </w:p>
        </w:tc>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222" w:right="0"/>
              <w:jc w:val="left"/>
              <w:rPr>
                <w:rFonts w:ascii="Times New Roman" w:hAnsi="Times New Roman" w:cs="Times New Roman" w:eastAsia="Times New Roman" w:hint="default"/>
                <w:sz w:val="21"/>
                <w:szCs w:val="21"/>
              </w:rPr>
            </w:pPr>
            <w:r>
              <w:rPr>
                <w:rFonts w:ascii="Times New Roman"/>
                <w:sz w:val="21"/>
              </w:rPr>
              <w:t>5.00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54"/>
              <w:jc w:val="center"/>
              <w:rPr>
                <w:rFonts w:ascii="Times New Roman" w:hAnsi="Times New Roman" w:cs="Times New Roman" w:eastAsia="Times New Roman" w:hint="default"/>
                <w:sz w:val="21"/>
                <w:szCs w:val="21"/>
              </w:rPr>
            </w:pPr>
            <w:r>
              <w:rPr>
                <w:rFonts w:ascii="Times New Roman"/>
                <w:sz w:val="21"/>
              </w:rPr>
              <w:t>0.1121</w:t>
            </w:r>
          </w:p>
        </w:tc>
      </w:tr>
      <w:tr>
        <w:trPr>
          <w:trHeight w:val="350"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沈延晓</w:t>
            </w:r>
          </w:p>
        </w:tc>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222" w:right="0"/>
              <w:jc w:val="left"/>
              <w:rPr>
                <w:rFonts w:ascii="Times New Roman" w:hAnsi="Times New Roman" w:cs="Times New Roman" w:eastAsia="Times New Roman" w:hint="default"/>
                <w:sz w:val="21"/>
                <w:szCs w:val="21"/>
              </w:rPr>
            </w:pPr>
            <w:r>
              <w:rPr>
                <w:rFonts w:ascii="Times New Roman"/>
                <w:sz w:val="21"/>
              </w:rPr>
              <w:t>5.00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54"/>
              <w:jc w:val="center"/>
              <w:rPr>
                <w:rFonts w:ascii="Times New Roman" w:hAnsi="Times New Roman" w:cs="Times New Roman" w:eastAsia="Times New Roman" w:hint="default"/>
                <w:sz w:val="21"/>
                <w:szCs w:val="21"/>
              </w:rPr>
            </w:pPr>
            <w:r>
              <w:rPr>
                <w:rFonts w:ascii="Times New Roman"/>
                <w:sz w:val="21"/>
              </w:rPr>
              <w:t>0.1121</w:t>
            </w:r>
          </w:p>
        </w:tc>
      </w:tr>
      <w:tr>
        <w:trPr>
          <w:trHeight w:val="350"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张翀</w:t>
            </w:r>
          </w:p>
        </w:tc>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222" w:right="0"/>
              <w:jc w:val="left"/>
              <w:rPr>
                <w:rFonts w:ascii="Times New Roman" w:hAnsi="Times New Roman" w:cs="Times New Roman" w:eastAsia="Times New Roman" w:hint="default"/>
                <w:sz w:val="21"/>
                <w:szCs w:val="21"/>
              </w:rPr>
            </w:pPr>
            <w:r>
              <w:rPr>
                <w:rFonts w:ascii="Times New Roman"/>
                <w:sz w:val="21"/>
              </w:rPr>
              <w:t>5.00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54"/>
              <w:jc w:val="center"/>
              <w:rPr>
                <w:rFonts w:ascii="Times New Roman" w:hAnsi="Times New Roman" w:cs="Times New Roman" w:eastAsia="Times New Roman" w:hint="default"/>
                <w:sz w:val="21"/>
                <w:szCs w:val="21"/>
              </w:rPr>
            </w:pPr>
            <w:r>
              <w:rPr>
                <w:rFonts w:ascii="Times New Roman"/>
                <w:sz w:val="21"/>
              </w:rPr>
              <w:t>0.1121</w:t>
            </w:r>
          </w:p>
        </w:tc>
      </w:tr>
      <w:tr>
        <w:trPr>
          <w:trHeight w:val="350"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王葆玲</w:t>
            </w:r>
          </w:p>
        </w:tc>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222" w:right="0"/>
              <w:jc w:val="left"/>
              <w:rPr>
                <w:rFonts w:ascii="Times New Roman" w:hAnsi="Times New Roman" w:cs="Times New Roman" w:eastAsia="Times New Roman" w:hint="default"/>
                <w:sz w:val="21"/>
                <w:szCs w:val="21"/>
              </w:rPr>
            </w:pPr>
            <w:r>
              <w:rPr>
                <w:rFonts w:ascii="Times New Roman"/>
                <w:sz w:val="21"/>
              </w:rPr>
              <w:t>5.00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54"/>
              <w:jc w:val="center"/>
              <w:rPr>
                <w:rFonts w:ascii="Times New Roman" w:hAnsi="Times New Roman" w:cs="Times New Roman" w:eastAsia="Times New Roman" w:hint="default"/>
                <w:sz w:val="21"/>
                <w:szCs w:val="21"/>
              </w:rPr>
            </w:pPr>
            <w:r>
              <w:rPr>
                <w:rFonts w:ascii="Times New Roman"/>
                <w:sz w:val="21"/>
              </w:rPr>
              <w:t>0.1121</w:t>
            </w:r>
          </w:p>
        </w:tc>
      </w:tr>
      <w:tr>
        <w:trPr>
          <w:trHeight w:val="350"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李军艳</w:t>
            </w:r>
          </w:p>
        </w:tc>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222" w:right="0"/>
              <w:jc w:val="left"/>
              <w:rPr>
                <w:rFonts w:ascii="Times New Roman" w:hAnsi="Times New Roman" w:cs="Times New Roman" w:eastAsia="Times New Roman" w:hint="default"/>
                <w:sz w:val="21"/>
                <w:szCs w:val="21"/>
              </w:rPr>
            </w:pPr>
            <w:r>
              <w:rPr>
                <w:rFonts w:ascii="Times New Roman"/>
                <w:sz w:val="21"/>
              </w:rPr>
              <w:t>5.00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54"/>
              <w:jc w:val="center"/>
              <w:rPr>
                <w:rFonts w:ascii="Times New Roman" w:hAnsi="Times New Roman" w:cs="Times New Roman" w:eastAsia="Times New Roman" w:hint="default"/>
                <w:sz w:val="21"/>
                <w:szCs w:val="21"/>
              </w:rPr>
            </w:pPr>
            <w:r>
              <w:rPr>
                <w:rFonts w:ascii="Times New Roman"/>
                <w:sz w:val="21"/>
              </w:rPr>
              <w:t>0.1121</w:t>
            </w:r>
          </w:p>
        </w:tc>
      </w:tr>
      <w:tr>
        <w:trPr>
          <w:trHeight w:val="350"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张晋</w:t>
            </w:r>
          </w:p>
        </w:tc>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222" w:right="0"/>
              <w:jc w:val="left"/>
              <w:rPr>
                <w:rFonts w:ascii="Times New Roman" w:hAnsi="Times New Roman" w:cs="Times New Roman" w:eastAsia="Times New Roman" w:hint="default"/>
                <w:sz w:val="21"/>
                <w:szCs w:val="21"/>
              </w:rPr>
            </w:pPr>
            <w:r>
              <w:rPr>
                <w:rFonts w:ascii="Times New Roman"/>
                <w:sz w:val="21"/>
              </w:rPr>
              <w:t>2.00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49"/>
              <w:jc w:val="center"/>
              <w:rPr>
                <w:rFonts w:ascii="Times New Roman" w:hAnsi="Times New Roman" w:cs="Times New Roman" w:eastAsia="Times New Roman" w:hint="default"/>
                <w:sz w:val="21"/>
                <w:szCs w:val="21"/>
              </w:rPr>
            </w:pPr>
            <w:r>
              <w:rPr>
                <w:rFonts w:ascii="Times New Roman"/>
                <w:sz w:val="21"/>
              </w:rPr>
              <w:t>0.0448</w:t>
            </w:r>
          </w:p>
        </w:tc>
      </w:tr>
      <w:tr>
        <w:trPr>
          <w:trHeight w:val="350"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秦玉昆</w:t>
            </w:r>
          </w:p>
        </w:tc>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222" w:right="0"/>
              <w:jc w:val="left"/>
              <w:rPr>
                <w:rFonts w:ascii="Times New Roman" w:hAnsi="Times New Roman" w:cs="Times New Roman" w:eastAsia="Times New Roman" w:hint="default"/>
                <w:sz w:val="21"/>
                <w:szCs w:val="21"/>
              </w:rPr>
            </w:pPr>
            <w:r>
              <w:rPr>
                <w:rFonts w:ascii="Times New Roman"/>
                <w:sz w:val="21"/>
              </w:rPr>
              <w:t>2.00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49"/>
              <w:jc w:val="center"/>
              <w:rPr>
                <w:rFonts w:ascii="Times New Roman" w:hAnsi="Times New Roman" w:cs="Times New Roman" w:eastAsia="Times New Roman" w:hint="default"/>
                <w:sz w:val="21"/>
                <w:szCs w:val="21"/>
              </w:rPr>
            </w:pPr>
            <w:r>
              <w:rPr>
                <w:rFonts w:ascii="Times New Roman"/>
                <w:sz w:val="21"/>
              </w:rPr>
              <w:t>0.0448</w:t>
            </w:r>
          </w:p>
        </w:tc>
      </w:tr>
      <w:tr>
        <w:trPr>
          <w:trHeight w:val="350"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郭伍</w:t>
            </w:r>
          </w:p>
        </w:tc>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222" w:right="0"/>
              <w:jc w:val="left"/>
              <w:rPr>
                <w:rFonts w:ascii="Times New Roman" w:hAnsi="Times New Roman" w:cs="Times New Roman" w:eastAsia="Times New Roman" w:hint="default"/>
                <w:sz w:val="21"/>
                <w:szCs w:val="21"/>
              </w:rPr>
            </w:pPr>
            <w:r>
              <w:rPr>
                <w:rFonts w:ascii="Times New Roman"/>
                <w:sz w:val="21"/>
              </w:rPr>
              <w:t>2.00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49"/>
              <w:jc w:val="center"/>
              <w:rPr>
                <w:rFonts w:ascii="Times New Roman" w:hAnsi="Times New Roman" w:cs="Times New Roman" w:eastAsia="Times New Roman" w:hint="default"/>
                <w:sz w:val="21"/>
                <w:szCs w:val="21"/>
              </w:rPr>
            </w:pPr>
            <w:r>
              <w:rPr>
                <w:rFonts w:ascii="Times New Roman"/>
                <w:sz w:val="21"/>
              </w:rPr>
              <w:t>0.0448</w:t>
            </w:r>
          </w:p>
        </w:tc>
      </w:tr>
      <w:tr>
        <w:trPr>
          <w:trHeight w:val="350"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刘建新</w:t>
            </w:r>
          </w:p>
        </w:tc>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222" w:right="0"/>
              <w:jc w:val="left"/>
              <w:rPr>
                <w:rFonts w:ascii="Times New Roman" w:hAnsi="Times New Roman" w:cs="Times New Roman" w:eastAsia="Times New Roman" w:hint="default"/>
                <w:sz w:val="21"/>
                <w:szCs w:val="21"/>
              </w:rPr>
            </w:pPr>
            <w:r>
              <w:rPr>
                <w:rFonts w:ascii="Times New Roman"/>
                <w:sz w:val="21"/>
              </w:rPr>
              <w:t>2.00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49"/>
              <w:jc w:val="center"/>
              <w:rPr>
                <w:rFonts w:ascii="Times New Roman" w:hAnsi="Times New Roman" w:cs="Times New Roman" w:eastAsia="Times New Roman" w:hint="default"/>
                <w:sz w:val="21"/>
                <w:szCs w:val="21"/>
              </w:rPr>
            </w:pPr>
            <w:r>
              <w:rPr>
                <w:rFonts w:ascii="Times New Roman"/>
                <w:sz w:val="21"/>
              </w:rPr>
              <w:t>0.0448</w:t>
            </w:r>
          </w:p>
        </w:tc>
      </w:tr>
      <w:tr>
        <w:trPr>
          <w:trHeight w:val="350"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崔红松</w:t>
            </w:r>
          </w:p>
        </w:tc>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222" w:right="0"/>
              <w:jc w:val="left"/>
              <w:rPr>
                <w:rFonts w:ascii="Times New Roman" w:hAnsi="Times New Roman" w:cs="Times New Roman" w:eastAsia="Times New Roman" w:hint="default"/>
                <w:sz w:val="21"/>
                <w:szCs w:val="21"/>
              </w:rPr>
            </w:pPr>
            <w:r>
              <w:rPr>
                <w:rFonts w:ascii="Times New Roman"/>
                <w:sz w:val="21"/>
              </w:rPr>
              <w:t>2.00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49"/>
              <w:jc w:val="center"/>
              <w:rPr>
                <w:rFonts w:ascii="Times New Roman" w:hAnsi="Times New Roman" w:cs="Times New Roman" w:eastAsia="Times New Roman" w:hint="default"/>
                <w:sz w:val="21"/>
                <w:szCs w:val="21"/>
              </w:rPr>
            </w:pPr>
            <w:r>
              <w:rPr>
                <w:rFonts w:ascii="Times New Roman"/>
                <w:sz w:val="21"/>
              </w:rPr>
              <w:t>0.0448</w:t>
            </w:r>
          </w:p>
        </w:tc>
      </w:tr>
      <w:tr>
        <w:trPr>
          <w:trHeight w:val="350"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肖难</w:t>
            </w:r>
          </w:p>
        </w:tc>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222" w:right="0"/>
              <w:jc w:val="left"/>
              <w:rPr>
                <w:rFonts w:ascii="Times New Roman" w:hAnsi="Times New Roman" w:cs="Times New Roman" w:eastAsia="Times New Roman" w:hint="default"/>
                <w:sz w:val="21"/>
                <w:szCs w:val="21"/>
              </w:rPr>
            </w:pPr>
            <w:r>
              <w:rPr>
                <w:rFonts w:ascii="Times New Roman"/>
                <w:sz w:val="21"/>
              </w:rPr>
              <w:t>2.00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49"/>
              <w:jc w:val="center"/>
              <w:rPr>
                <w:rFonts w:ascii="Times New Roman" w:hAnsi="Times New Roman" w:cs="Times New Roman" w:eastAsia="Times New Roman" w:hint="default"/>
                <w:sz w:val="21"/>
                <w:szCs w:val="21"/>
              </w:rPr>
            </w:pPr>
            <w:r>
              <w:rPr>
                <w:rFonts w:ascii="Times New Roman"/>
                <w:sz w:val="21"/>
              </w:rPr>
              <w:t>0.0448</w:t>
            </w:r>
          </w:p>
        </w:tc>
      </w:tr>
      <w:tr>
        <w:trPr>
          <w:trHeight w:val="350"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陈传兵</w:t>
            </w:r>
          </w:p>
        </w:tc>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222" w:right="0"/>
              <w:jc w:val="left"/>
              <w:rPr>
                <w:rFonts w:ascii="Times New Roman" w:hAnsi="Times New Roman" w:cs="Times New Roman" w:eastAsia="Times New Roman" w:hint="default"/>
                <w:sz w:val="21"/>
                <w:szCs w:val="21"/>
              </w:rPr>
            </w:pPr>
            <w:r>
              <w:rPr>
                <w:rFonts w:ascii="Times New Roman"/>
                <w:sz w:val="21"/>
              </w:rPr>
              <w:t>2.00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49"/>
              <w:jc w:val="center"/>
              <w:rPr>
                <w:rFonts w:ascii="Times New Roman" w:hAnsi="Times New Roman" w:cs="Times New Roman" w:eastAsia="Times New Roman" w:hint="default"/>
                <w:sz w:val="21"/>
                <w:szCs w:val="21"/>
              </w:rPr>
            </w:pPr>
            <w:r>
              <w:rPr>
                <w:rFonts w:ascii="Times New Roman"/>
                <w:sz w:val="21"/>
              </w:rPr>
              <w:t>0.0448</w:t>
            </w:r>
          </w:p>
        </w:tc>
      </w:tr>
      <w:tr>
        <w:trPr>
          <w:trHeight w:val="350"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高永辉</w:t>
            </w:r>
          </w:p>
        </w:tc>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222" w:right="0"/>
              <w:jc w:val="left"/>
              <w:rPr>
                <w:rFonts w:ascii="Times New Roman" w:hAnsi="Times New Roman" w:cs="Times New Roman" w:eastAsia="Times New Roman" w:hint="default"/>
                <w:sz w:val="21"/>
                <w:szCs w:val="21"/>
              </w:rPr>
            </w:pPr>
            <w:r>
              <w:rPr>
                <w:rFonts w:ascii="Times New Roman"/>
                <w:sz w:val="21"/>
              </w:rPr>
              <w:t>2.00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49"/>
              <w:jc w:val="center"/>
              <w:rPr>
                <w:rFonts w:ascii="Times New Roman" w:hAnsi="Times New Roman" w:cs="Times New Roman" w:eastAsia="Times New Roman" w:hint="default"/>
                <w:sz w:val="21"/>
                <w:szCs w:val="21"/>
              </w:rPr>
            </w:pPr>
            <w:r>
              <w:rPr>
                <w:rFonts w:ascii="Times New Roman"/>
                <w:sz w:val="21"/>
              </w:rPr>
              <w:t>0.0448</w:t>
            </w:r>
          </w:p>
        </w:tc>
      </w:tr>
      <w:tr>
        <w:trPr>
          <w:trHeight w:val="350"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毕强伟</w:t>
            </w:r>
          </w:p>
        </w:tc>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222" w:right="0"/>
              <w:jc w:val="left"/>
              <w:rPr>
                <w:rFonts w:ascii="Times New Roman" w:hAnsi="Times New Roman" w:cs="Times New Roman" w:eastAsia="Times New Roman" w:hint="default"/>
                <w:sz w:val="21"/>
                <w:szCs w:val="21"/>
              </w:rPr>
            </w:pPr>
            <w:r>
              <w:rPr>
                <w:rFonts w:ascii="Times New Roman"/>
                <w:sz w:val="21"/>
              </w:rPr>
              <w:t>2.00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49"/>
              <w:jc w:val="center"/>
              <w:rPr>
                <w:rFonts w:ascii="Times New Roman" w:hAnsi="Times New Roman" w:cs="Times New Roman" w:eastAsia="Times New Roman" w:hint="default"/>
                <w:sz w:val="21"/>
                <w:szCs w:val="21"/>
              </w:rPr>
            </w:pPr>
            <w:r>
              <w:rPr>
                <w:rFonts w:ascii="Times New Roman"/>
                <w:sz w:val="21"/>
              </w:rPr>
              <w:t>0.0448</w:t>
            </w:r>
          </w:p>
        </w:tc>
      </w:tr>
      <w:tr>
        <w:trPr>
          <w:trHeight w:val="350"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关虎</w:t>
            </w:r>
          </w:p>
        </w:tc>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222" w:right="0"/>
              <w:jc w:val="left"/>
              <w:rPr>
                <w:rFonts w:ascii="Times New Roman" w:hAnsi="Times New Roman" w:cs="Times New Roman" w:eastAsia="Times New Roman" w:hint="default"/>
                <w:sz w:val="21"/>
                <w:szCs w:val="21"/>
              </w:rPr>
            </w:pPr>
            <w:r>
              <w:rPr>
                <w:rFonts w:ascii="Times New Roman"/>
                <w:sz w:val="21"/>
              </w:rPr>
              <w:t>2.00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49"/>
              <w:jc w:val="center"/>
              <w:rPr>
                <w:rFonts w:ascii="Times New Roman" w:hAnsi="Times New Roman" w:cs="Times New Roman" w:eastAsia="Times New Roman" w:hint="default"/>
                <w:sz w:val="21"/>
                <w:szCs w:val="21"/>
              </w:rPr>
            </w:pPr>
            <w:r>
              <w:rPr>
                <w:rFonts w:ascii="Times New Roman"/>
                <w:sz w:val="21"/>
              </w:rPr>
              <w:t>0.0448</w:t>
            </w:r>
          </w:p>
        </w:tc>
      </w:tr>
      <w:tr>
        <w:trPr>
          <w:trHeight w:val="350"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冯一新</w:t>
            </w:r>
          </w:p>
        </w:tc>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222" w:right="0"/>
              <w:jc w:val="left"/>
              <w:rPr>
                <w:rFonts w:ascii="Times New Roman" w:hAnsi="Times New Roman" w:cs="Times New Roman" w:eastAsia="Times New Roman" w:hint="default"/>
                <w:sz w:val="21"/>
                <w:szCs w:val="21"/>
              </w:rPr>
            </w:pPr>
            <w:r>
              <w:rPr>
                <w:rFonts w:ascii="Times New Roman"/>
                <w:sz w:val="21"/>
              </w:rPr>
              <w:t>2.00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49"/>
              <w:jc w:val="center"/>
              <w:rPr>
                <w:rFonts w:ascii="Times New Roman" w:hAnsi="Times New Roman" w:cs="Times New Roman" w:eastAsia="Times New Roman" w:hint="default"/>
                <w:sz w:val="21"/>
                <w:szCs w:val="21"/>
              </w:rPr>
            </w:pPr>
            <w:r>
              <w:rPr>
                <w:rFonts w:ascii="Times New Roman"/>
                <w:sz w:val="21"/>
              </w:rPr>
              <w:t>0.0448</w:t>
            </w:r>
          </w:p>
        </w:tc>
      </w:tr>
      <w:tr>
        <w:trPr>
          <w:trHeight w:val="350"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于滨</w:t>
            </w:r>
          </w:p>
        </w:tc>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222" w:right="0"/>
              <w:jc w:val="left"/>
              <w:rPr>
                <w:rFonts w:ascii="Times New Roman" w:hAnsi="Times New Roman" w:cs="Times New Roman" w:eastAsia="Times New Roman" w:hint="default"/>
                <w:sz w:val="21"/>
                <w:szCs w:val="21"/>
              </w:rPr>
            </w:pPr>
            <w:r>
              <w:rPr>
                <w:rFonts w:ascii="Times New Roman"/>
                <w:sz w:val="21"/>
              </w:rPr>
              <w:t>2.00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49"/>
              <w:jc w:val="center"/>
              <w:rPr>
                <w:rFonts w:ascii="Times New Roman" w:hAnsi="Times New Roman" w:cs="Times New Roman" w:eastAsia="Times New Roman" w:hint="default"/>
                <w:sz w:val="21"/>
                <w:szCs w:val="21"/>
              </w:rPr>
            </w:pPr>
            <w:r>
              <w:rPr>
                <w:rFonts w:ascii="Times New Roman"/>
                <w:sz w:val="21"/>
              </w:rPr>
              <w:t>0.0448</w:t>
            </w:r>
          </w:p>
        </w:tc>
      </w:tr>
      <w:tr>
        <w:trPr>
          <w:trHeight w:val="350"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丁广勇</w:t>
            </w:r>
          </w:p>
        </w:tc>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222" w:right="0"/>
              <w:jc w:val="left"/>
              <w:rPr>
                <w:rFonts w:ascii="Times New Roman" w:hAnsi="Times New Roman" w:cs="Times New Roman" w:eastAsia="Times New Roman" w:hint="default"/>
                <w:sz w:val="21"/>
                <w:szCs w:val="21"/>
              </w:rPr>
            </w:pPr>
            <w:r>
              <w:rPr>
                <w:rFonts w:ascii="Times New Roman"/>
                <w:sz w:val="21"/>
              </w:rPr>
              <w:t>2.00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49"/>
              <w:jc w:val="center"/>
              <w:rPr>
                <w:rFonts w:ascii="Times New Roman" w:hAnsi="Times New Roman" w:cs="Times New Roman" w:eastAsia="Times New Roman" w:hint="default"/>
                <w:sz w:val="21"/>
                <w:szCs w:val="21"/>
              </w:rPr>
            </w:pPr>
            <w:r>
              <w:rPr>
                <w:rFonts w:ascii="Times New Roman"/>
                <w:sz w:val="21"/>
              </w:rPr>
              <w:t>0.0448</w:t>
            </w:r>
          </w:p>
        </w:tc>
      </w:tr>
      <w:tr>
        <w:trPr>
          <w:trHeight w:val="350"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阎玉玺</w:t>
            </w:r>
          </w:p>
        </w:tc>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222" w:right="0"/>
              <w:jc w:val="left"/>
              <w:rPr>
                <w:rFonts w:ascii="Times New Roman" w:hAnsi="Times New Roman" w:cs="Times New Roman" w:eastAsia="Times New Roman" w:hint="default"/>
                <w:sz w:val="21"/>
                <w:szCs w:val="21"/>
              </w:rPr>
            </w:pPr>
            <w:r>
              <w:rPr>
                <w:rFonts w:ascii="Times New Roman"/>
                <w:sz w:val="21"/>
              </w:rPr>
              <w:t>2.00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49"/>
              <w:jc w:val="center"/>
              <w:rPr>
                <w:rFonts w:ascii="Times New Roman" w:hAnsi="Times New Roman" w:cs="Times New Roman" w:eastAsia="Times New Roman" w:hint="default"/>
                <w:sz w:val="21"/>
                <w:szCs w:val="21"/>
              </w:rPr>
            </w:pPr>
            <w:r>
              <w:rPr>
                <w:rFonts w:ascii="Times New Roman"/>
                <w:sz w:val="21"/>
              </w:rPr>
              <w:t>0.0448</w:t>
            </w:r>
          </w:p>
        </w:tc>
      </w:tr>
      <w:tr>
        <w:trPr>
          <w:trHeight w:val="350"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曾劲松</w:t>
            </w:r>
          </w:p>
        </w:tc>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222" w:right="0"/>
              <w:jc w:val="left"/>
              <w:rPr>
                <w:rFonts w:ascii="Times New Roman" w:hAnsi="Times New Roman" w:cs="Times New Roman" w:eastAsia="Times New Roman" w:hint="default"/>
                <w:sz w:val="21"/>
                <w:szCs w:val="21"/>
              </w:rPr>
            </w:pPr>
            <w:r>
              <w:rPr>
                <w:rFonts w:ascii="Times New Roman"/>
                <w:sz w:val="21"/>
              </w:rPr>
              <w:t>2.00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49"/>
              <w:jc w:val="center"/>
              <w:rPr>
                <w:rFonts w:ascii="Times New Roman" w:hAnsi="Times New Roman" w:cs="Times New Roman" w:eastAsia="Times New Roman" w:hint="default"/>
                <w:sz w:val="21"/>
                <w:szCs w:val="21"/>
              </w:rPr>
            </w:pPr>
            <w:r>
              <w:rPr>
                <w:rFonts w:ascii="Times New Roman"/>
                <w:sz w:val="21"/>
              </w:rPr>
              <w:t>0.0448</w:t>
            </w:r>
          </w:p>
        </w:tc>
      </w:tr>
      <w:tr>
        <w:trPr>
          <w:trHeight w:val="350"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马超锋</w:t>
            </w:r>
          </w:p>
        </w:tc>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222" w:right="0"/>
              <w:jc w:val="left"/>
              <w:rPr>
                <w:rFonts w:ascii="Times New Roman" w:hAnsi="Times New Roman" w:cs="Times New Roman" w:eastAsia="Times New Roman" w:hint="default"/>
                <w:sz w:val="21"/>
                <w:szCs w:val="21"/>
              </w:rPr>
            </w:pPr>
            <w:r>
              <w:rPr>
                <w:rFonts w:ascii="Times New Roman"/>
                <w:sz w:val="21"/>
              </w:rPr>
              <w:t>2.00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49"/>
              <w:jc w:val="center"/>
              <w:rPr>
                <w:rFonts w:ascii="Times New Roman" w:hAnsi="Times New Roman" w:cs="Times New Roman" w:eastAsia="Times New Roman" w:hint="default"/>
                <w:sz w:val="21"/>
                <w:szCs w:val="21"/>
              </w:rPr>
            </w:pPr>
            <w:r>
              <w:rPr>
                <w:rFonts w:ascii="Times New Roman"/>
                <w:sz w:val="21"/>
              </w:rPr>
              <w:t>0.0448</w:t>
            </w:r>
          </w:p>
        </w:tc>
      </w:tr>
      <w:tr>
        <w:trPr>
          <w:trHeight w:val="350"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徐亚飞</w:t>
            </w:r>
          </w:p>
        </w:tc>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222" w:right="0"/>
              <w:jc w:val="left"/>
              <w:rPr>
                <w:rFonts w:ascii="Times New Roman" w:hAnsi="Times New Roman" w:cs="Times New Roman" w:eastAsia="Times New Roman" w:hint="default"/>
                <w:sz w:val="21"/>
                <w:szCs w:val="21"/>
              </w:rPr>
            </w:pPr>
            <w:r>
              <w:rPr>
                <w:rFonts w:ascii="Times New Roman"/>
                <w:sz w:val="21"/>
              </w:rPr>
              <w:t>2.00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49"/>
              <w:jc w:val="center"/>
              <w:rPr>
                <w:rFonts w:ascii="Times New Roman" w:hAnsi="Times New Roman" w:cs="Times New Roman" w:eastAsia="Times New Roman" w:hint="default"/>
                <w:sz w:val="21"/>
                <w:szCs w:val="21"/>
              </w:rPr>
            </w:pPr>
            <w:r>
              <w:rPr>
                <w:rFonts w:ascii="Times New Roman"/>
                <w:sz w:val="21"/>
              </w:rPr>
              <w:t>0.0448</w:t>
            </w:r>
          </w:p>
        </w:tc>
      </w:tr>
      <w:tr>
        <w:trPr>
          <w:trHeight w:val="350"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彭勇平</w:t>
            </w:r>
          </w:p>
        </w:tc>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222" w:right="0"/>
              <w:jc w:val="left"/>
              <w:rPr>
                <w:rFonts w:ascii="Times New Roman" w:hAnsi="Times New Roman" w:cs="Times New Roman" w:eastAsia="Times New Roman" w:hint="default"/>
                <w:sz w:val="21"/>
                <w:szCs w:val="21"/>
              </w:rPr>
            </w:pPr>
            <w:r>
              <w:rPr>
                <w:rFonts w:ascii="Times New Roman"/>
                <w:sz w:val="21"/>
              </w:rPr>
              <w:t>2.00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49"/>
              <w:jc w:val="center"/>
              <w:rPr>
                <w:rFonts w:ascii="Times New Roman" w:hAnsi="Times New Roman" w:cs="Times New Roman" w:eastAsia="Times New Roman" w:hint="default"/>
                <w:sz w:val="21"/>
                <w:szCs w:val="21"/>
              </w:rPr>
            </w:pPr>
            <w:r>
              <w:rPr>
                <w:rFonts w:ascii="Times New Roman"/>
                <w:sz w:val="21"/>
              </w:rPr>
              <w:t>0.0448</w:t>
            </w:r>
          </w:p>
        </w:tc>
      </w:tr>
      <w:tr>
        <w:trPr>
          <w:trHeight w:val="350"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尚勤强</w:t>
            </w:r>
          </w:p>
        </w:tc>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222" w:right="0"/>
              <w:jc w:val="left"/>
              <w:rPr>
                <w:rFonts w:ascii="Times New Roman" w:hAnsi="Times New Roman" w:cs="Times New Roman" w:eastAsia="Times New Roman" w:hint="default"/>
                <w:sz w:val="21"/>
                <w:szCs w:val="21"/>
              </w:rPr>
            </w:pPr>
            <w:r>
              <w:rPr>
                <w:rFonts w:ascii="Times New Roman"/>
                <w:sz w:val="21"/>
              </w:rPr>
              <w:t>2.00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49"/>
              <w:jc w:val="center"/>
              <w:rPr>
                <w:rFonts w:ascii="Times New Roman" w:hAnsi="Times New Roman" w:cs="Times New Roman" w:eastAsia="Times New Roman" w:hint="default"/>
                <w:sz w:val="21"/>
                <w:szCs w:val="21"/>
              </w:rPr>
            </w:pPr>
            <w:r>
              <w:rPr>
                <w:rFonts w:ascii="Times New Roman"/>
                <w:sz w:val="21"/>
              </w:rPr>
              <w:t>0.0448</w:t>
            </w:r>
          </w:p>
        </w:tc>
      </w:tr>
      <w:tr>
        <w:trPr>
          <w:trHeight w:val="350"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华燚</w:t>
            </w:r>
          </w:p>
        </w:tc>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222" w:right="0"/>
              <w:jc w:val="left"/>
              <w:rPr>
                <w:rFonts w:ascii="Times New Roman" w:hAnsi="Times New Roman" w:cs="Times New Roman" w:eastAsia="Times New Roman" w:hint="default"/>
                <w:sz w:val="21"/>
                <w:szCs w:val="21"/>
              </w:rPr>
            </w:pPr>
            <w:r>
              <w:rPr>
                <w:rFonts w:ascii="Times New Roman"/>
                <w:sz w:val="21"/>
              </w:rPr>
              <w:t>2.00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49"/>
              <w:jc w:val="center"/>
              <w:rPr>
                <w:rFonts w:ascii="Times New Roman" w:hAnsi="Times New Roman" w:cs="Times New Roman" w:eastAsia="Times New Roman" w:hint="default"/>
                <w:sz w:val="21"/>
                <w:szCs w:val="21"/>
              </w:rPr>
            </w:pPr>
            <w:r>
              <w:rPr>
                <w:rFonts w:ascii="Times New Roman"/>
                <w:sz w:val="21"/>
              </w:rPr>
              <w:t>0.0448</w:t>
            </w:r>
          </w:p>
        </w:tc>
      </w:tr>
      <w:tr>
        <w:trPr>
          <w:trHeight w:val="350"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任海伦</w:t>
            </w:r>
          </w:p>
        </w:tc>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222" w:right="0"/>
              <w:jc w:val="left"/>
              <w:rPr>
                <w:rFonts w:ascii="Times New Roman" w:hAnsi="Times New Roman" w:cs="Times New Roman" w:eastAsia="Times New Roman" w:hint="default"/>
                <w:sz w:val="21"/>
                <w:szCs w:val="21"/>
              </w:rPr>
            </w:pPr>
            <w:r>
              <w:rPr>
                <w:rFonts w:ascii="Times New Roman"/>
                <w:sz w:val="21"/>
              </w:rPr>
              <w:t>2.00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49"/>
              <w:jc w:val="center"/>
              <w:rPr>
                <w:rFonts w:ascii="Times New Roman" w:hAnsi="Times New Roman" w:cs="Times New Roman" w:eastAsia="Times New Roman" w:hint="default"/>
                <w:sz w:val="21"/>
                <w:szCs w:val="21"/>
              </w:rPr>
            </w:pPr>
            <w:r>
              <w:rPr>
                <w:rFonts w:ascii="Times New Roman"/>
                <w:sz w:val="21"/>
              </w:rPr>
              <w:t>0.0448</w:t>
            </w:r>
          </w:p>
        </w:tc>
      </w:tr>
      <w:tr>
        <w:trPr>
          <w:trHeight w:val="350"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刘建军</w:t>
            </w:r>
          </w:p>
        </w:tc>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222" w:right="0"/>
              <w:jc w:val="left"/>
              <w:rPr>
                <w:rFonts w:ascii="Times New Roman" w:hAnsi="Times New Roman" w:cs="Times New Roman" w:eastAsia="Times New Roman" w:hint="default"/>
                <w:sz w:val="21"/>
                <w:szCs w:val="21"/>
              </w:rPr>
            </w:pPr>
            <w:r>
              <w:rPr>
                <w:rFonts w:ascii="Times New Roman"/>
                <w:sz w:val="21"/>
              </w:rPr>
              <w:t>2.00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49"/>
              <w:jc w:val="center"/>
              <w:rPr>
                <w:rFonts w:ascii="Times New Roman" w:hAnsi="Times New Roman" w:cs="Times New Roman" w:eastAsia="Times New Roman" w:hint="default"/>
                <w:sz w:val="21"/>
                <w:szCs w:val="21"/>
              </w:rPr>
            </w:pPr>
            <w:r>
              <w:rPr>
                <w:rFonts w:ascii="Times New Roman"/>
                <w:sz w:val="21"/>
              </w:rPr>
              <w:t>0.0448</w:t>
            </w:r>
          </w:p>
        </w:tc>
      </w:tr>
      <w:tr>
        <w:trPr>
          <w:trHeight w:val="350"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李江</w:t>
            </w:r>
          </w:p>
        </w:tc>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222" w:right="0"/>
              <w:jc w:val="left"/>
              <w:rPr>
                <w:rFonts w:ascii="Times New Roman" w:hAnsi="Times New Roman" w:cs="Times New Roman" w:eastAsia="Times New Roman" w:hint="default"/>
                <w:sz w:val="21"/>
                <w:szCs w:val="21"/>
              </w:rPr>
            </w:pPr>
            <w:r>
              <w:rPr>
                <w:rFonts w:ascii="Times New Roman"/>
                <w:sz w:val="21"/>
              </w:rPr>
              <w:t>2.00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49"/>
              <w:jc w:val="center"/>
              <w:rPr>
                <w:rFonts w:ascii="Times New Roman" w:hAnsi="Times New Roman" w:cs="Times New Roman" w:eastAsia="Times New Roman" w:hint="default"/>
                <w:sz w:val="21"/>
                <w:szCs w:val="21"/>
              </w:rPr>
            </w:pPr>
            <w:r>
              <w:rPr>
                <w:rFonts w:ascii="Times New Roman"/>
                <w:sz w:val="21"/>
              </w:rPr>
              <w:t>0.0448</w:t>
            </w:r>
          </w:p>
        </w:tc>
      </w:tr>
      <w:tr>
        <w:trPr>
          <w:trHeight w:val="350"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谢伟</w:t>
            </w:r>
          </w:p>
        </w:tc>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222" w:right="0"/>
              <w:jc w:val="left"/>
              <w:rPr>
                <w:rFonts w:ascii="Times New Roman" w:hAnsi="Times New Roman" w:cs="Times New Roman" w:eastAsia="Times New Roman" w:hint="default"/>
                <w:sz w:val="21"/>
                <w:szCs w:val="21"/>
              </w:rPr>
            </w:pPr>
            <w:r>
              <w:rPr>
                <w:rFonts w:ascii="Times New Roman"/>
                <w:sz w:val="21"/>
              </w:rPr>
              <w:t>2.00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49"/>
              <w:jc w:val="center"/>
              <w:rPr>
                <w:rFonts w:ascii="Times New Roman" w:hAnsi="Times New Roman" w:cs="Times New Roman" w:eastAsia="Times New Roman" w:hint="default"/>
                <w:sz w:val="21"/>
                <w:szCs w:val="21"/>
              </w:rPr>
            </w:pPr>
            <w:r>
              <w:rPr>
                <w:rFonts w:ascii="Times New Roman"/>
                <w:sz w:val="21"/>
              </w:rPr>
              <w:t>0.0448</w:t>
            </w:r>
          </w:p>
        </w:tc>
      </w:tr>
      <w:tr>
        <w:trPr>
          <w:trHeight w:val="350"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袁胜兵</w:t>
            </w:r>
          </w:p>
        </w:tc>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222" w:right="0"/>
              <w:jc w:val="left"/>
              <w:rPr>
                <w:rFonts w:ascii="Times New Roman" w:hAnsi="Times New Roman" w:cs="Times New Roman" w:eastAsia="Times New Roman" w:hint="default"/>
                <w:sz w:val="21"/>
                <w:szCs w:val="21"/>
              </w:rPr>
            </w:pPr>
            <w:r>
              <w:rPr>
                <w:rFonts w:ascii="Times New Roman"/>
                <w:sz w:val="21"/>
              </w:rPr>
              <w:t>2.00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49"/>
              <w:jc w:val="center"/>
              <w:rPr>
                <w:rFonts w:ascii="Times New Roman" w:hAnsi="Times New Roman" w:cs="Times New Roman" w:eastAsia="Times New Roman" w:hint="default"/>
                <w:sz w:val="21"/>
                <w:szCs w:val="21"/>
              </w:rPr>
            </w:pPr>
            <w:r>
              <w:rPr>
                <w:rFonts w:ascii="Times New Roman"/>
                <w:sz w:val="21"/>
              </w:rPr>
              <w:t>0.0448</w:t>
            </w:r>
          </w:p>
        </w:tc>
      </w:tr>
      <w:tr>
        <w:trPr>
          <w:trHeight w:val="350"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赵鑫</w:t>
            </w:r>
          </w:p>
        </w:tc>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222" w:right="0"/>
              <w:jc w:val="left"/>
              <w:rPr>
                <w:rFonts w:ascii="Times New Roman" w:hAnsi="Times New Roman" w:cs="Times New Roman" w:eastAsia="Times New Roman" w:hint="default"/>
                <w:sz w:val="21"/>
                <w:szCs w:val="21"/>
              </w:rPr>
            </w:pPr>
            <w:r>
              <w:rPr>
                <w:rFonts w:ascii="Times New Roman"/>
                <w:sz w:val="21"/>
              </w:rPr>
              <w:t>2.00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49"/>
              <w:jc w:val="center"/>
              <w:rPr>
                <w:rFonts w:ascii="Times New Roman" w:hAnsi="Times New Roman" w:cs="Times New Roman" w:eastAsia="Times New Roman" w:hint="default"/>
                <w:sz w:val="21"/>
                <w:szCs w:val="21"/>
              </w:rPr>
            </w:pPr>
            <w:r>
              <w:rPr>
                <w:rFonts w:ascii="Times New Roman"/>
                <w:sz w:val="21"/>
              </w:rPr>
              <w:t>0.0448</w:t>
            </w:r>
          </w:p>
        </w:tc>
      </w:tr>
      <w:tr>
        <w:trPr>
          <w:trHeight w:val="350"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90" w:lineRule="exact"/>
              <w:ind w:left="723" w:right="0"/>
              <w:jc w:val="left"/>
              <w:rPr>
                <w:rFonts w:ascii="宋体" w:hAnsi="宋体" w:cs="宋体" w:eastAsia="宋体" w:hint="default"/>
                <w:sz w:val="21"/>
                <w:szCs w:val="21"/>
              </w:rPr>
            </w:pPr>
            <w:r>
              <w:rPr>
                <w:rFonts w:ascii="宋体" w:hAnsi="宋体" w:cs="宋体" w:eastAsia="宋体" w:hint="default"/>
                <w:sz w:val="21"/>
                <w:szCs w:val="21"/>
              </w:rPr>
              <w:t>社会公众</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股股东</w:t>
            </w:r>
          </w:p>
        </w:tc>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038" w:right="0"/>
              <w:jc w:val="left"/>
              <w:rPr>
                <w:rFonts w:ascii="Times New Roman" w:hAnsi="Times New Roman" w:cs="Times New Roman" w:eastAsia="Times New Roman" w:hint="default"/>
                <w:sz w:val="21"/>
                <w:szCs w:val="21"/>
              </w:rPr>
            </w:pPr>
            <w:r>
              <w:rPr>
                <w:rFonts w:ascii="Times New Roman"/>
                <w:sz w:val="21"/>
              </w:rPr>
              <w:t>1,120.00</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2"/>
              <w:jc w:val="center"/>
              <w:rPr>
                <w:rFonts w:ascii="Times New Roman" w:hAnsi="Times New Roman" w:cs="Times New Roman" w:eastAsia="Times New Roman" w:hint="default"/>
                <w:sz w:val="21"/>
                <w:szCs w:val="21"/>
              </w:rPr>
            </w:pPr>
            <w:r>
              <w:rPr>
                <w:rFonts w:ascii="Times New Roman"/>
                <w:sz w:val="21"/>
              </w:rPr>
              <w:t>25.1122</w:t>
            </w:r>
          </w:p>
        </w:tc>
      </w:tr>
      <w:tr>
        <w:trPr>
          <w:trHeight w:val="327" w:hRule="exact"/>
        </w:trPr>
        <w:tc>
          <w:tcPr>
            <w:tcW w:w="3144" w:type="dxa"/>
            <w:tcBorders>
              <w:top w:val="nil" w:sz="6" w:space="0" w:color="auto"/>
              <w:left w:val="nil" w:sz="6" w:space="0" w:color="auto"/>
              <w:bottom w:val="single" w:sz="12" w:space="0" w:color="000000"/>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571" w:type="dxa"/>
            <w:tcBorders>
              <w:top w:val="nil" w:sz="6" w:space="0" w:color="auto"/>
              <w:left w:val="nil" w:sz="6" w:space="0" w:color="auto"/>
              <w:bottom w:val="single" w:sz="12" w:space="0" w:color="000000"/>
              <w:right w:val="nil" w:sz="6" w:space="0" w:color="auto"/>
            </w:tcBorders>
          </w:tcPr>
          <w:p>
            <w:pPr>
              <w:pStyle w:val="TableParagraph"/>
              <w:spacing w:line="240" w:lineRule="auto" w:before="49"/>
              <w:ind w:left="2038" w:right="0"/>
              <w:jc w:val="left"/>
              <w:rPr>
                <w:rFonts w:ascii="Times New Roman" w:hAnsi="Times New Roman" w:cs="Times New Roman" w:eastAsia="Times New Roman" w:hint="default"/>
                <w:sz w:val="21"/>
                <w:szCs w:val="21"/>
              </w:rPr>
            </w:pPr>
            <w:r>
              <w:rPr>
                <w:rFonts w:ascii="Times New Roman"/>
                <w:sz w:val="21"/>
              </w:rPr>
              <w:t>4,460.00</w:t>
            </w:r>
          </w:p>
        </w:tc>
        <w:tc>
          <w:tcPr>
            <w:tcW w:w="2253" w:type="dxa"/>
            <w:tcBorders>
              <w:top w:val="nil" w:sz="6" w:space="0" w:color="auto"/>
              <w:left w:val="nil" w:sz="6" w:space="0" w:color="auto"/>
              <w:bottom w:val="single" w:sz="12" w:space="0" w:color="000000"/>
              <w:right w:val="nil" w:sz="6" w:space="0" w:color="auto"/>
            </w:tcBorders>
          </w:tcPr>
          <w:p>
            <w:pPr>
              <w:pStyle w:val="TableParagraph"/>
              <w:spacing w:line="240" w:lineRule="auto" w:before="49"/>
              <w:ind w:right="147"/>
              <w:jc w:val="center"/>
              <w:rPr>
                <w:rFonts w:ascii="Times New Roman" w:hAnsi="Times New Roman" w:cs="Times New Roman" w:eastAsia="Times New Roman" w:hint="default"/>
                <w:sz w:val="21"/>
                <w:szCs w:val="21"/>
              </w:rPr>
            </w:pPr>
            <w:r>
              <w:rPr>
                <w:rFonts w:ascii="Times New Roman"/>
                <w:sz w:val="21"/>
              </w:rPr>
              <w:t>100.00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before="0"/>
        <w:ind w:left="574" w:right="213"/>
        <w:jc w:val="left"/>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年增资</w:t>
      </w:r>
    </w:p>
    <w:p>
      <w:pPr>
        <w:spacing w:after="0" w:line="240" w:lineRule="auto"/>
        <w:jc w:val="left"/>
        <w:sectPr>
          <w:pgSz w:w="11910" w:h="16840"/>
          <w:pgMar w:header="877" w:footer="982" w:top="1100" w:bottom="1180" w:left="980" w:right="900"/>
        </w:sectPr>
      </w:pPr>
    </w:p>
    <w:p>
      <w:pPr>
        <w:spacing w:line="240" w:lineRule="auto" w:before="7"/>
        <w:rPr>
          <w:rFonts w:ascii="宋体" w:hAnsi="宋体" w:cs="宋体" w:eastAsia="宋体" w:hint="default"/>
          <w:sz w:val="27"/>
          <w:szCs w:val="27"/>
        </w:rPr>
      </w:pPr>
    </w:p>
    <w:p>
      <w:pPr>
        <w:pStyle w:val="BodyText"/>
        <w:spacing w:line="240" w:lineRule="auto" w:before="35"/>
        <w:ind w:left="574"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日，根据本公司</w:t>
      </w:r>
      <w:r>
        <w:rPr>
          <w:spacing w:val="-5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年年度股东大会决议和修改后章程的规定，公司申请增加注册资</w:t>
      </w:r>
    </w:p>
    <w:p>
      <w:pPr>
        <w:pStyle w:val="BodyText"/>
        <w:spacing w:line="240" w:lineRule="auto" w:before="109"/>
        <w:ind w:left="153" w:right="0"/>
        <w:jc w:val="both"/>
        <w:rPr>
          <w:rFonts w:ascii="Times New Roman" w:hAnsi="Times New Roman" w:cs="Times New Roman" w:eastAsia="Times New Roman" w:hint="default"/>
        </w:rPr>
      </w:pPr>
      <w:r>
        <w:rPr/>
        <w:t>本人民币</w:t>
      </w:r>
      <w:r>
        <w:rPr>
          <w:spacing w:val="-61"/>
        </w:rPr>
        <w:t> </w:t>
      </w:r>
      <w:r>
        <w:rPr>
          <w:rFonts w:ascii="Times New Roman" w:hAnsi="Times New Roman" w:cs="Times New Roman" w:eastAsia="Times New Roman" w:hint="default"/>
        </w:rPr>
        <w:t>4,460.00</w:t>
      </w:r>
      <w:r>
        <w:rPr>
          <w:rFonts w:ascii="Times New Roman" w:hAnsi="Times New Roman" w:cs="Times New Roman" w:eastAsia="Times New Roman" w:hint="default"/>
          <w:spacing w:val="-8"/>
        </w:rPr>
        <w:t> </w:t>
      </w:r>
      <w:r>
        <w:rPr>
          <w:spacing w:val="-8"/>
        </w:rPr>
        <w:t>万元，按每</w:t>
      </w:r>
      <w:r>
        <w:rPr>
          <w:spacing w:val="-61"/>
        </w:rPr>
        <w:t> </w:t>
      </w:r>
      <w:r>
        <w:rPr>
          <w:rFonts w:ascii="Times New Roman" w:hAnsi="Times New Roman" w:cs="Times New Roman" w:eastAsia="Times New Roman" w:hint="default"/>
        </w:rPr>
        <w:t>10.00</w:t>
      </w:r>
      <w:r>
        <w:rPr>
          <w:rFonts w:ascii="Times New Roman" w:hAnsi="Times New Roman" w:cs="Times New Roman" w:eastAsia="Times New Roman" w:hint="default"/>
          <w:spacing w:val="-8"/>
        </w:rPr>
        <w:t> </w:t>
      </w:r>
      <w:r>
        <w:rPr/>
        <w:t>股转增</w:t>
      </w:r>
      <w:r>
        <w:rPr>
          <w:spacing w:val="-61"/>
        </w:rPr>
        <w:t> </w:t>
      </w:r>
      <w:r>
        <w:rPr>
          <w:rFonts w:ascii="Times New Roman" w:hAnsi="Times New Roman" w:cs="Times New Roman" w:eastAsia="Times New Roman" w:hint="default"/>
        </w:rPr>
        <w:t>10.00</w:t>
      </w:r>
      <w:r>
        <w:rPr>
          <w:rFonts w:ascii="Times New Roman" w:hAnsi="Times New Roman" w:cs="Times New Roman" w:eastAsia="Times New Roman" w:hint="default"/>
          <w:spacing w:val="-8"/>
        </w:rPr>
        <w:t> </w:t>
      </w:r>
      <w:r>
        <w:rPr/>
        <w:t>股的比例，以资本公积向全体股东转增股份总额</w:t>
      </w:r>
      <w:r>
        <w:rPr>
          <w:spacing w:val="-61"/>
        </w:rPr>
        <w:t> </w:t>
      </w:r>
      <w:r>
        <w:rPr>
          <w:rFonts w:ascii="Times New Roman" w:hAnsi="Times New Roman" w:cs="Times New Roman" w:eastAsia="Times New Roman" w:hint="default"/>
        </w:rPr>
        <w:t>4,460.00</w:t>
      </w:r>
    </w:p>
    <w:p>
      <w:pPr>
        <w:pStyle w:val="BodyText"/>
        <w:spacing w:line="240" w:lineRule="auto" w:before="110"/>
        <w:ind w:left="153" w:right="0"/>
        <w:jc w:val="both"/>
      </w:pPr>
      <w:r>
        <w:rPr/>
        <w:t>万股，每股面值</w:t>
      </w:r>
      <w:r>
        <w:rPr>
          <w:spacing w:val="-59"/>
        </w:rPr>
        <w:t> </w:t>
      </w:r>
      <w:r>
        <w:rPr>
          <w:rFonts w:ascii="Times New Roman" w:hAnsi="Times New Roman" w:cs="Times New Roman" w:eastAsia="Times New Roman" w:hint="default"/>
        </w:rPr>
        <w:t>1.00</w:t>
      </w:r>
      <w:r>
        <w:rPr>
          <w:rFonts w:ascii="Times New Roman" w:hAnsi="Times New Roman" w:cs="Times New Roman" w:eastAsia="Times New Roman" w:hint="default"/>
          <w:spacing w:val="-6"/>
        </w:rPr>
        <w:t> </w:t>
      </w:r>
      <w:r>
        <w:rPr/>
        <w:t>元，计增加股本</w:t>
      </w:r>
      <w:r>
        <w:rPr>
          <w:spacing w:val="-59"/>
        </w:rPr>
        <w:t> </w:t>
      </w:r>
      <w:r>
        <w:rPr>
          <w:rFonts w:ascii="Times New Roman" w:hAnsi="Times New Roman" w:cs="Times New Roman" w:eastAsia="Times New Roman" w:hint="default"/>
        </w:rPr>
        <w:t>4,460.00</w:t>
      </w:r>
      <w:r>
        <w:rPr>
          <w:rFonts w:ascii="Times New Roman" w:hAnsi="Times New Roman" w:cs="Times New Roman" w:eastAsia="Times New Roman" w:hint="default"/>
          <w:spacing w:val="-7"/>
        </w:rPr>
        <w:t> </w:t>
      </w:r>
      <w:r>
        <w:rPr/>
        <w:t>万元，变更后的注册资本为人民币</w:t>
      </w:r>
      <w:r>
        <w:rPr>
          <w:spacing w:val="-59"/>
        </w:rPr>
        <w:t> </w:t>
      </w:r>
      <w:r>
        <w:rPr>
          <w:rFonts w:ascii="Times New Roman" w:hAnsi="Times New Roman" w:cs="Times New Roman" w:eastAsia="Times New Roman" w:hint="default"/>
        </w:rPr>
        <w:t>8,920</w:t>
      </w:r>
      <w:r>
        <w:rPr>
          <w:rFonts w:ascii="Times New Roman" w:hAnsi="Times New Roman" w:cs="Times New Roman" w:eastAsia="Times New Roman" w:hint="default"/>
          <w:spacing w:val="-6"/>
        </w:rPr>
        <w:t> </w:t>
      </w:r>
      <w:r>
        <w:rPr/>
        <w:t>万元，已经利安达</w:t>
      </w:r>
    </w:p>
    <w:p>
      <w:pPr>
        <w:pStyle w:val="BodyText"/>
        <w:spacing w:line="340" w:lineRule="auto" w:before="109"/>
        <w:ind w:left="153" w:right="228"/>
        <w:jc w:val="both"/>
      </w:pPr>
      <w:r>
        <w:rPr/>
        <w:pict>
          <v:group style="position:absolute;margin-left:94.199997pt;margin-top:62.202797pt;width:451.2pt;height:228pt;mso-position-horizontal-relative:page;mso-position-vertical-relative:paragraph;z-index:-1166632" coordorigin="1884,1244" coordsize="9024,4560">
            <v:shape style="position:absolute;left:5434;top:1244;width:3180;height:379" type="#_x0000_t75" stroked="false">
              <v:imagedata r:id="rId53" o:title=""/>
            </v:shape>
            <v:shape style="position:absolute;left:1884;top:1584;width:9024;height:4219" type="#_x0000_t75" stroked="false">
              <v:imagedata r:id="rId54" o:title=""/>
            </v:shape>
            <w10:wrap type="none"/>
          </v:group>
        </w:pict>
      </w:r>
      <w:r>
        <w:rPr/>
        <w:pict>
          <v:shape style="position:absolute;margin-left:95.639999pt;margin-top:62.442799pt;width:448.4pt;height:230pt;mso-position-horizontal-relative:page;mso-position-vertical-relative:paragraph;z-index:35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2"/>
                    <w:gridCol w:w="3834"/>
                    <w:gridCol w:w="2081"/>
                  </w:tblGrid>
                  <w:tr>
                    <w:trPr>
                      <w:trHeight w:val="382" w:hRule="exact"/>
                    </w:trPr>
                    <w:tc>
                      <w:tcPr>
                        <w:tcW w:w="3052" w:type="dxa"/>
                        <w:tcBorders>
                          <w:top w:val="single" w:sz="12" w:space="0" w:color="000000"/>
                          <w:left w:val="nil" w:sz="6" w:space="0" w:color="auto"/>
                          <w:bottom w:val="nil" w:sz="6" w:space="0" w:color="auto"/>
                          <w:right w:val="nil" w:sz="6" w:space="0" w:color="auto"/>
                        </w:tcBorders>
                      </w:tcPr>
                      <w:p>
                        <w:pPr>
                          <w:pStyle w:val="TableParagraph"/>
                          <w:spacing w:line="240" w:lineRule="auto" w:before="27"/>
                          <w:ind w:left="723" w:right="0"/>
                          <w:jc w:val="left"/>
                          <w:rPr>
                            <w:rFonts w:ascii="宋体" w:hAnsi="宋体" w:cs="宋体" w:eastAsia="宋体" w:hint="default"/>
                            <w:sz w:val="21"/>
                            <w:szCs w:val="21"/>
                          </w:rPr>
                        </w:pPr>
                        <w:r>
                          <w:rPr>
                            <w:rFonts w:ascii="宋体" w:hAnsi="宋体" w:cs="宋体" w:eastAsia="宋体" w:hint="default"/>
                            <w:sz w:val="21"/>
                            <w:szCs w:val="21"/>
                          </w:rPr>
                          <w:t>投资方</w:t>
                        </w:r>
                      </w:p>
                    </w:tc>
                    <w:tc>
                      <w:tcPr>
                        <w:tcW w:w="3834" w:type="dxa"/>
                        <w:tcBorders>
                          <w:top w:val="single" w:sz="12" w:space="0" w:color="000000"/>
                          <w:left w:val="nil" w:sz="6" w:space="0" w:color="auto"/>
                          <w:bottom w:val="nil" w:sz="6" w:space="0" w:color="auto"/>
                          <w:right w:val="nil" w:sz="6" w:space="0" w:color="auto"/>
                        </w:tcBorders>
                      </w:tcPr>
                      <w:p>
                        <w:pPr>
                          <w:pStyle w:val="TableParagraph"/>
                          <w:spacing w:line="240" w:lineRule="auto" w:before="27"/>
                          <w:ind w:left="601" w:right="0"/>
                          <w:jc w:val="left"/>
                          <w:rPr>
                            <w:rFonts w:ascii="宋体" w:hAnsi="宋体" w:cs="宋体" w:eastAsia="宋体" w:hint="default"/>
                            <w:sz w:val="21"/>
                            <w:szCs w:val="21"/>
                          </w:rPr>
                        </w:pPr>
                        <w:r>
                          <w:rPr>
                            <w:rFonts w:ascii="宋体" w:hAnsi="宋体" w:cs="宋体" w:eastAsia="宋体" w:hint="default"/>
                            <w:sz w:val="21"/>
                            <w:szCs w:val="21"/>
                          </w:rPr>
                          <w:t>认缴注册资本额（万元）</w:t>
                        </w:r>
                      </w:p>
                    </w:tc>
                    <w:tc>
                      <w:tcPr>
                        <w:tcW w:w="2081" w:type="dxa"/>
                        <w:tcBorders>
                          <w:top w:val="single" w:sz="12" w:space="0" w:color="000000"/>
                          <w:left w:val="nil" w:sz="6" w:space="0" w:color="auto"/>
                          <w:bottom w:val="nil" w:sz="6" w:space="0" w:color="auto"/>
                          <w:right w:val="nil" w:sz="6" w:space="0" w:color="auto"/>
                        </w:tcBorders>
                      </w:tcPr>
                      <w:p>
                        <w:pPr>
                          <w:pStyle w:val="TableParagraph"/>
                          <w:spacing w:line="240" w:lineRule="auto" w:before="27"/>
                          <w:ind w:left="318" w:right="0"/>
                          <w:jc w:val="left"/>
                          <w:rPr>
                            <w:rFonts w:ascii="宋体" w:hAnsi="宋体" w:cs="宋体" w:eastAsia="宋体" w:hint="default"/>
                            <w:sz w:val="21"/>
                            <w:szCs w:val="21"/>
                          </w:rPr>
                        </w:pPr>
                        <w:r>
                          <w:rPr>
                            <w:rFonts w:ascii="宋体" w:hAnsi="宋体" w:cs="宋体" w:eastAsia="宋体" w:hint="default"/>
                            <w:sz w:val="21"/>
                            <w:szCs w:val="21"/>
                          </w:rPr>
                          <w:t>出资比例（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0" w:hRule="exact"/>
                    </w:trPr>
                    <w:tc>
                      <w:tcPr>
                        <w:tcW w:w="305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23" w:right="0"/>
                          <w:jc w:val="left"/>
                          <w:rPr>
                            <w:rFonts w:ascii="宋体" w:hAnsi="宋体" w:cs="宋体" w:eastAsia="宋体" w:hint="default"/>
                            <w:sz w:val="21"/>
                            <w:szCs w:val="21"/>
                          </w:rPr>
                        </w:pPr>
                        <w:r>
                          <w:rPr>
                            <w:rFonts w:ascii="宋体" w:hAnsi="宋体" w:cs="宋体" w:eastAsia="宋体" w:hint="default"/>
                            <w:sz w:val="21"/>
                            <w:szCs w:val="21"/>
                          </w:rPr>
                          <w:t>杨维国</w:t>
                        </w:r>
                      </w:p>
                    </w:tc>
                    <w:tc>
                      <w:tcPr>
                        <w:tcW w:w="383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16"/>
                          <w:jc w:val="right"/>
                          <w:rPr>
                            <w:rFonts w:ascii="Times New Roman" w:hAnsi="Times New Roman" w:cs="Times New Roman" w:eastAsia="Times New Roman" w:hint="default"/>
                            <w:sz w:val="21"/>
                            <w:szCs w:val="21"/>
                          </w:rPr>
                        </w:pPr>
                        <w:r>
                          <w:rPr>
                            <w:rFonts w:ascii="Times New Roman"/>
                            <w:spacing w:val="-1"/>
                            <w:sz w:val="21"/>
                          </w:rPr>
                          <w:t>2,120.00</w:t>
                        </w:r>
                        <w:r>
                          <w:rPr>
                            <w:rFonts w:ascii="Times New Roman"/>
                            <w:sz w:val="21"/>
                          </w:rPr>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7"/>
                          <w:jc w:val="right"/>
                          <w:rPr>
                            <w:rFonts w:ascii="Times New Roman" w:hAnsi="Times New Roman" w:cs="Times New Roman" w:eastAsia="Times New Roman" w:hint="default"/>
                            <w:sz w:val="22"/>
                            <w:szCs w:val="22"/>
                          </w:rPr>
                        </w:pPr>
                        <w:r>
                          <w:rPr>
                            <w:rFonts w:ascii="Times New Roman"/>
                            <w:spacing w:val="-1"/>
                            <w:sz w:val="22"/>
                          </w:rPr>
                          <w:t>23.7668</w:t>
                        </w:r>
                      </w:p>
                    </w:tc>
                  </w:tr>
                  <w:tr>
                    <w:trPr>
                      <w:trHeight w:val="350" w:hRule="exact"/>
                    </w:trPr>
                    <w:tc>
                      <w:tcPr>
                        <w:tcW w:w="3052" w:type="dxa"/>
                        <w:tcBorders>
                          <w:top w:val="nil" w:sz="6" w:space="0" w:color="auto"/>
                          <w:left w:val="nil" w:sz="6" w:space="0" w:color="auto"/>
                          <w:bottom w:val="nil" w:sz="6" w:space="0" w:color="auto"/>
                          <w:right w:val="nil" w:sz="6" w:space="0" w:color="auto"/>
                        </w:tcBorders>
                      </w:tcPr>
                      <w:p>
                        <w:pPr>
                          <w:pStyle w:val="TableParagraph"/>
                          <w:spacing w:line="240" w:lineRule="auto" w:before="9"/>
                          <w:ind w:left="723" w:right="0"/>
                          <w:jc w:val="left"/>
                          <w:rPr>
                            <w:rFonts w:ascii="宋体" w:hAnsi="宋体" w:cs="宋体" w:eastAsia="宋体" w:hint="default"/>
                            <w:sz w:val="21"/>
                            <w:szCs w:val="21"/>
                          </w:rPr>
                        </w:pPr>
                        <w:r>
                          <w:rPr>
                            <w:rFonts w:ascii="宋体" w:hAnsi="宋体" w:cs="宋体" w:eastAsia="宋体" w:hint="default"/>
                            <w:sz w:val="21"/>
                            <w:szCs w:val="21"/>
                          </w:rPr>
                          <w:t>尚卫国</w:t>
                        </w:r>
                      </w:p>
                    </w:tc>
                    <w:tc>
                      <w:tcPr>
                        <w:tcW w:w="383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16"/>
                          <w:jc w:val="right"/>
                          <w:rPr>
                            <w:rFonts w:ascii="Times New Roman" w:hAnsi="Times New Roman" w:cs="Times New Roman" w:eastAsia="Times New Roman" w:hint="default"/>
                            <w:sz w:val="21"/>
                            <w:szCs w:val="21"/>
                          </w:rPr>
                        </w:pPr>
                        <w:r>
                          <w:rPr>
                            <w:rFonts w:ascii="Times New Roman"/>
                            <w:spacing w:val="-1"/>
                            <w:sz w:val="21"/>
                          </w:rPr>
                          <w:t>437.10</w:t>
                        </w:r>
                        <w:r>
                          <w:rPr>
                            <w:rFonts w:ascii="Times New Roman"/>
                            <w:sz w:val="21"/>
                          </w:rPr>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Times New Roman" w:hAnsi="Times New Roman" w:cs="Times New Roman" w:eastAsia="Times New Roman" w:hint="default"/>
                            <w:sz w:val="22"/>
                            <w:szCs w:val="22"/>
                          </w:rPr>
                        </w:pPr>
                        <w:r>
                          <w:rPr>
                            <w:rFonts w:ascii="Times New Roman"/>
                            <w:spacing w:val="-1"/>
                            <w:sz w:val="22"/>
                          </w:rPr>
                          <w:t>4.9002</w:t>
                        </w:r>
                      </w:p>
                    </w:tc>
                  </w:tr>
                  <w:tr>
                    <w:trPr>
                      <w:trHeight w:val="350" w:hRule="exact"/>
                    </w:trPr>
                    <w:tc>
                      <w:tcPr>
                        <w:tcW w:w="3052" w:type="dxa"/>
                        <w:tcBorders>
                          <w:top w:val="nil" w:sz="6" w:space="0" w:color="auto"/>
                          <w:left w:val="nil" w:sz="6" w:space="0" w:color="auto"/>
                          <w:bottom w:val="nil" w:sz="6" w:space="0" w:color="auto"/>
                          <w:right w:val="nil" w:sz="6" w:space="0" w:color="auto"/>
                        </w:tcBorders>
                      </w:tcPr>
                      <w:p>
                        <w:pPr>
                          <w:pStyle w:val="TableParagraph"/>
                          <w:spacing w:line="240" w:lineRule="auto" w:before="9"/>
                          <w:ind w:left="723" w:right="0"/>
                          <w:jc w:val="left"/>
                          <w:rPr>
                            <w:rFonts w:ascii="宋体" w:hAnsi="宋体" w:cs="宋体" w:eastAsia="宋体" w:hint="default"/>
                            <w:sz w:val="21"/>
                            <w:szCs w:val="21"/>
                          </w:rPr>
                        </w:pPr>
                        <w:r>
                          <w:rPr>
                            <w:rFonts w:ascii="宋体" w:hAnsi="宋体" w:cs="宋体" w:eastAsia="宋体" w:hint="default"/>
                            <w:sz w:val="21"/>
                            <w:szCs w:val="21"/>
                          </w:rPr>
                          <w:t>付秋生</w:t>
                        </w:r>
                      </w:p>
                    </w:tc>
                    <w:tc>
                      <w:tcPr>
                        <w:tcW w:w="383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16"/>
                          <w:jc w:val="right"/>
                          <w:rPr>
                            <w:rFonts w:ascii="Times New Roman" w:hAnsi="Times New Roman" w:cs="Times New Roman" w:eastAsia="Times New Roman" w:hint="default"/>
                            <w:sz w:val="21"/>
                            <w:szCs w:val="21"/>
                          </w:rPr>
                        </w:pPr>
                        <w:r>
                          <w:rPr>
                            <w:rFonts w:ascii="Times New Roman"/>
                            <w:spacing w:val="-1"/>
                            <w:sz w:val="21"/>
                          </w:rPr>
                          <w:t>420.90</w:t>
                        </w:r>
                        <w:r>
                          <w:rPr>
                            <w:rFonts w:ascii="Times New Roman"/>
                            <w:sz w:val="21"/>
                          </w:rPr>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Times New Roman" w:hAnsi="Times New Roman" w:cs="Times New Roman" w:eastAsia="Times New Roman" w:hint="default"/>
                            <w:sz w:val="22"/>
                            <w:szCs w:val="22"/>
                          </w:rPr>
                        </w:pPr>
                        <w:r>
                          <w:rPr>
                            <w:rFonts w:ascii="Times New Roman"/>
                            <w:spacing w:val="-1"/>
                            <w:sz w:val="22"/>
                          </w:rPr>
                          <w:t>4.7186</w:t>
                        </w:r>
                      </w:p>
                    </w:tc>
                  </w:tr>
                  <w:tr>
                    <w:trPr>
                      <w:trHeight w:val="350" w:hRule="exact"/>
                    </w:trPr>
                    <w:tc>
                      <w:tcPr>
                        <w:tcW w:w="305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23" w:right="0"/>
                          <w:jc w:val="left"/>
                          <w:rPr>
                            <w:rFonts w:ascii="宋体" w:hAnsi="宋体" w:cs="宋体" w:eastAsia="宋体" w:hint="default"/>
                            <w:sz w:val="21"/>
                            <w:szCs w:val="21"/>
                          </w:rPr>
                        </w:pPr>
                        <w:r>
                          <w:rPr>
                            <w:rFonts w:ascii="宋体" w:hAnsi="宋体" w:cs="宋体" w:eastAsia="宋体" w:hint="default"/>
                            <w:sz w:val="21"/>
                            <w:szCs w:val="21"/>
                          </w:rPr>
                          <w:t>赵利宾</w:t>
                        </w:r>
                      </w:p>
                    </w:tc>
                    <w:tc>
                      <w:tcPr>
                        <w:tcW w:w="383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16"/>
                          <w:jc w:val="right"/>
                          <w:rPr>
                            <w:rFonts w:ascii="Times New Roman" w:hAnsi="Times New Roman" w:cs="Times New Roman" w:eastAsia="Times New Roman" w:hint="default"/>
                            <w:sz w:val="21"/>
                            <w:szCs w:val="21"/>
                          </w:rPr>
                        </w:pPr>
                        <w:r>
                          <w:rPr>
                            <w:rFonts w:ascii="Times New Roman"/>
                            <w:spacing w:val="-1"/>
                            <w:sz w:val="21"/>
                          </w:rPr>
                          <w:t>360.00</w:t>
                        </w:r>
                        <w:r>
                          <w:rPr>
                            <w:rFonts w:ascii="Times New Roman"/>
                            <w:sz w:val="21"/>
                          </w:rPr>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Times New Roman" w:hAnsi="Times New Roman" w:cs="Times New Roman" w:eastAsia="Times New Roman" w:hint="default"/>
                            <w:sz w:val="22"/>
                            <w:szCs w:val="22"/>
                          </w:rPr>
                        </w:pPr>
                        <w:r>
                          <w:rPr>
                            <w:rFonts w:ascii="Times New Roman"/>
                            <w:spacing w:val="-1"/>
                            <w:sz w:val="22"/>
                          </w:rPr>
                          <w:t>4.0359</w:t>
                        </w:r>
                      </w:p>
                    </w:tc>
                  </w:tr>
                  <w:tr>
                    <w:trPr>
                      <w:trHeight w:val="350" w:hRule="exact"/>
                    </w:trPr>
                    <w:tc>
                      <w:tcPr>
                        <w:tcW w:w="3052" w:type="dxa"/>
                        <w:tcBorders>
                          <w:top w:val="nil" w:sz="6" w:space="0" w:color="auto"/>
                          <w:left w:val="nil" w:sz="6" w:space="0" w:color="auto"/>
                          <w:bottom w:val="nil" w:sz="6" w:space="0" w:color="auto"/>
                          <w:right w:val="nil" w:sz="6" w:space="0" w:color="auto"/>
                        </w:tcBorders>
                      </w:tcPr>
                      <w:p>
                        <w:pPr>
                          <w:pStyle w:val="TableParagraph"/>
                          <w:spacing w:line="240" w:lineRule="auto" w:before="9"/>
                          <w:ind w:left="723" w:right="0"/>
                          <w:jc w:val="left"/>
                          <w:rPr>
                            <w:rFonts w:ascii="宋体" w:hAnsi="宋体" w:cs="宋体" w:eastAsia="宋体" w:hint="default"/>
                            <w:sz w:val="21"/>
                            <w:szCs w:val="21"/>
                          </w:rPr>
                        </w:pPr>
                        <w:r>
                          <w:rPr>
                            <w:rFonts w:ascii="宋体" w:hAnsi="宋体" w:cs="宋体" w:eastAsia="宋体" w:hint="default"/>
                            <w:sz w:val="21"/>
                            <w:szCs w:val="21"/>
                          </w:rPr>
                          <w:t>华梦阳</w:t>
                        </w:r>
                      </w:p>
                    </w:tc>
                    <w:tc>
                      <w:tcPr>
                        <w:tcW w:w="383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16"/>
                          <w:jc w:val="right"/>
                          <w:rPr>
                            <w:rFonts w:ascii="Times New Roman" w:hAnsi="Times New Roman" w:cs="Times New Roman" w:eastAsia="Times New Roman" w:hint="default"/>
                            <w:sz w:val="21"/>
                            <w:szCs w:val="21"/>
                          </w:rPr>
                        </w:pPr>
                        <w:r>
                          <w:rPr>
                            <w:rFonts w:ascii="Times New Roman"/>
                            <w:spacing w:val="-1"/>
                            <w:sz w:val="21"/>
                          </w:rPr>
                          <w:t>360.00</w:t>
                        </w:r>
                        <w:r>
                          <w:rPr>
                            <w:rFonts w:ascii="Times New Roman"/>
                            <w:sz w:val="21"/>
                          </w:rPr>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Times New Roman" w:hAnsi="Times New Roman" w:cs="Times New Roman" w:eastAsia="Times New Roman" w:hint="default"/>
                            <w:sz w:val="22"/>
                            <w:szCs w:val="22"/>
                          </w:rPr>
                        </w:pPr>
                        <w:r>
                          <w:rPr>
                            <w:rFonts w:ascii="Times New Roman"/>
                            <w:spacing w:val="-1"/>
                            <w:sz w:val="22"/>
                          </w:rPr>
                          <w:t>4.0359</w:t>
                        </w:r>
                      </w:p>
                    </w:tc>
                  </w:tr>
                  <w:tr>
                    <w:trPr>
                      <w:trHeight w:val="350" w:hRule="exact"/>
                    </w:trPr>
                    <w:tc>
                      <w:tcPr>
                        <w:tcW w:w="3052" w:type="dxa"/>
                        <w:tcBorders>
                          <w:top w:val="nil" w:sz="6" w:space="0" w:color="auto"/>
                          <w:left w:val="nil" w:sz="6" w:space="0" w:color="auto"/>
                          <w:bottom w:val="nil" w:sz="6" w:space="0" w:color="auto"/>
                          <w:right w:val="nil" w:sz="6" w:space="0" w:color="auto"/>
                        </w:tcBorders>
                      </w:tcPr>
                      <w:p>
                        <w:pPr>
                          <w:pStyle w:val="TableParagraph"/>
                          <w:spacing w:line="240" w:lineRule="auto" w:before="9"/>
                          <w:ind w:left="723" w:right="0"/>
                          <w:jc w:val="left"/>
                          <w:rPr>
                            <w:rFonts w:ascii="宋体" w:hAnsi="宋体" w:cs="宋体" w:eastAsia="宋体" w:hint="default"/>
                            <w:sz w:val="21"/>
                            <w:szCs w:val="21"/>
                          </w:rPr>
                        </w:pPr>
                        <w:r>
                          <w:rPr>
                            <w:rFonts w:ascii="宋体" w:hAnsi="宋体" w:cs="宋体" w:eastAsia="宋体" w:hint="default"/>
                            <w:sz w:val="21"/>
                            <w:szCs w:val="21"/>
                          </w:rPr>
                          <w:t>刘恩臣</w:t>
                        </w:r>
                      </w:p>
                    </w:tc>
                    <w:tc>
                      <w:tcPr>
                        <w:tcW w:w="383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16"/>
                          <w:jc w:val="right"/>
                          <w:rPr>
                            <w:rFonts w:ascii="Times New Roman" w:hAnsi="Times New Roman" w:cs="Times New Roman" w:eastAsia="Times New Roman" w:hint="default"/>
                            <w:sz w:val="21"/>
                            <w:szCs w:val="21"/>
                          </w:rPr>
                        </w:pPr>
                        <w:r>
                          <w:rPr>
                            <w:rFonts w:ascii="Times New Roman"/>
                            <w:spacing w:val="-1"/>
                            <w:sz w:val="21"/>
                          </w:rPr>
                          <w:t>360.00</w:t>
                        </w:r>
                        <w:r>
                          <w:rPr>
                            <w:rFonts w:ascii="Times New Roman"/>
                            <w:sz w:val="21"/>
                          </w:rPr>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Times New Roman" w:hAnsi="Times New Roman" w:cs="Times New Roman" w:eastAsia="Times New Roman" w:hint="default"/>
                            <w:sz w:val="22"/>
                            <w:szCs w:val="22"/>
                          </w:rPr>
                        </w:pPr>
                        <w:r>
                          <w:rPr>
                            <w:rFonts w:ascii="Times New Roman"/>
                            <w:spacing w:val="-1"/>
                            <w:sz w:val="22"/>
                          </w:rPr>
                          <w:t>4.0359</w:t>
                        </w:r>
                      </w:p>
                    </w:tc>
                  </w:tr>
                  <w:tr>
                    <w:trPr>
                      <w:trHeight w:val="350" w:hRule="exact"/>
                    </w:trPr>
                    <w:tc>
                      <w:tcPr>
                        <w:tcW w:w="305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23" w:right="0"/>
                          <w:jc w:val="left"/>
                          <w:rPr>
                            <w:rFonts w:ascii="宋体" w:hAnsi="宋体" w:cs="宋体" w:eastAsia="宋体" w:hint="default"/>
                            <w:sz w:val="21"/>
                            <w:szCs w:val="21"/>
                          </w:rPr>
                        </w:pPr>
                        <w:r>
                          <w:rPr>
                            <w:rFonts w:ascii="宋体" w:hAnsi="宋体" w:cs="宋体" w:eastAsia="宋体" w:hint="default"/>
                            <w:sz w:val="21"/>
                            <w:szCs w:val="21"/>
                          </w:rPr>
                          <w:t>傅常顺</w:t>
                        </w:r>
                      </w:p>
                    </w:tc>
                    <w:tc>
                      <w:tcPr>
                        <w:tcW w:w="383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16"/>
                          <w:jc w:val="right"/>
                          <w:rPr>
                            <w:rFonts w:ascii="Times New Roman" w:hAnsi="Times New Roman" w:cs="Times New Roman" w:eastAsia="Times New Roman" w:hint="default"/>
                            <w:sz w:val="21"/>
                            <w:szCs w:val="21"/>
                          </w:rPr>
                        </w:pPr>
                        <w:r>
                          <w:rPr>
                            <w:rFonts w:ascii="Times New Roman"/>
                            <w:spacing w:val="-1"/>
                            <w:sz w:val="21"/>
                          </w:rPr>
                          <w:t>360.00</w:t>
                        </w:r>
                        <w:r>
                          <w:rPr>
                            <w:rFonts w:ascii="Times New Roman"/>
                            <w:sz w:val="21"/>
                          </w:rPr>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Times New Roman" w:hAnsi="Times New Roman" w:cs="Times New Roman" w:eastAsia="Times New Roman" w:hint="default"/>
                            <w:sz w:val="22"/>
                            <w:szCs w:val="22"/>
                          </w:rPr>
                        </w:pPr>
                        <w:r>
                          <w:rPr>
                            <w:rFonts w:ascii="Times New Roman"/>
                            <w:spacing w:val="-1"/>
                            <w:sz w:val="22"/>
                          </w:rPr>
                          <w:t>4.0359</w:t>
                        </w:r>
                      </w:p>
                    </w:tc>
                  </w:tr>
                  <w:tr>
                    <w:trPr>
                      <w:trHeight w:val="350" w:hRule="exact"/>
                    </w:trPr>
                    <w:tc>
                      <w:tcPr>
                        <w:tcW w:w="3052" w:type="dxa"/>
                        <w:tcBorders>
                          <w:top w:val="nil" w:sz="6" w:space="0" w:color="auto"/>
                          <w:left w:val="nil" w:sz="6" w:space="0" w:color="auto"/>
                          <w:bottom w:val="nil" w:sz="6" w:space="0" w:color="auto"/>
                          <w:right w:val="nil" w:sz="6" w:space="0" w:color="auto"/>
                        </w:tcBorders>
                      </w:tcPr>
                      <w:p>
                        <w:pPr>
                          <w:pStyle w:val="TableParagraph"/>
                          <w:spacing w:line="240" w:lineRule="auto" w:before="9"/>
                          <w:ind w:left="723" w:right="0"/>
                          <w:jc w:val="left"/>
                          <w:rPr>
                            <w:rFonts w:ascii="宋体" w:hAnsi="宋体" w:cs="宋体" w:eastAsia="宋体" w:hint="default"/>
                            <w:sz w:val="21"/>
                            <w:szCs w:val="21"/>
                          </w:rPr>
                        </w:pPr>
                        <w:r>
                          <w:rPr>
                            <w:rFonts w:ascii="宋体" w:hAnsi="宋体" w:cs="宋体" w:eastAsia="宋体" w:hint="default"/>
                            <w:sz w:val="21"/>
                            <w:szCs w:val="21"/>
                          </w:rPr>
                          <w:t>杜建平</w:t>
                        </w:r>
                      </w:p>
                    </w:tc>
                    <w:tc>
                      <w:tcPr>
                        <w:tcW w:w="383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16"/>
                          <w:jc w:val="right"/>
                          <w:rPr>
                            <w:rFonts w:ascii="Times New Roman" w:hAnsi="Times New Roman" w:cs="Times New Roman" w:eastAsia="Times New Roman" w:hint="default"/>
                            <w:sz w:val="21"/>
                            <w:szCs w:val="21"/>
                          </w:rPr>
                        </w:pPr>
                        <w:r>
                          <w:rPr>
                            <w:rFonts w:ascii="Times New Roman"/>
                            <w:spacing w:val="-1"/>
                            <w:sz w:val="21"/>
                          </w:rPr>
                          <w:t>360.00</w:t>
                        </w:r>
                        <w:r>
                          <w:rPr>
                            <w:rFonts w:ascii="Times New Roman"/>
                            <w:sz w:val="21"/>
                          </w:rPr>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Times New Roman" w:hAnsi="Times New Roman" w:cs="Times New Roman" w:eastAsia="Times New Roman" w:hint="default"/>
                            <w:sz w:val="22"/>
                            <w:szCs w:val="22"/>
                          </w:rPr>
                        </w:pPr>
                        <w:r>
                          <w:rPr>
                            <w:rFonts w:ascii="Times New Roman"/>
                            <w:spacing w:val="-1"/>
                            <w:sz w:val="22"/>
                          </w:rPr>
                          <w:t>4.0359</w:t>
                        </w:r>
                      </w:p>
                    </w:tc>
                  </w:tr>
                  <w:tr>
                    <w:trPr>
                      <w:trHeight w:val="350" w:hRule="exact"/>
                    </w:trPr>
                    <w:tc>
                      <w:tcPr>
                        <w:tcW w:w="3052" w:type="dxa"/>
                        <w:tcBorders>
                          <w:top w:val="nil" w:sz="6" w:space="0" w:color="auto"/>
                          <w:left w:val="nil" w:sz="6" w:space="0" w:color="auto"/>
                          <w:bottom w:val="nil" w:sz="6" w:space="0" w:color="auto"/>
                          <w:right w:val="nil" w:sz="6" w:space="0" w:color="auto"/>
                        </w:tcBorders>
                      </w:tcPr>
                      <w:p>
                        <w:pPr>
                          <w:pStyle w:val="TableParagraph"/>
                          <w:spacing w:line="240" w:lineRule="auto" w:before="9"/>
                          <w:ind w:left="723" w:right="0"/>
                          <w:jc w:val="left"/>
                          <w:rPr>
                            <w:rFonts w:ascii="宋体" w:hAnsi="宋体" w:cs="宋体" w:eastAsia="宋体" w:hint="default"/>
                            <w:sz w:val="21"/>
                            <w:szCs w:val="21"/>
                          </w:rPr>
                        </w:pPr>
                        <w:r>
                          <w:rPr>
                            <w:rFonts w:ascii="宋体" w:hAnsi="宋体" w:cs="宋体" w:eastAsia="宋体" w:hint="default"/>
                            <w:sz w:val="21"/>
                            <w:szCs w:val="21"/>
                          </w:rPr>
                          <w:t>葛晓阁</w:t>
                        </w:r>
                      </w:p>
                    </w:tc>
                    <w:tc>
                      <w:tcPr>
                        <w:tcW w:w="383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16"/>
                          <w:jc w:val="right"/>
                          <w:rPr>
                            <w:rFonts w:ascii="Times New Roman" w:hAnsi="Times New Roman" w:cs="Times New Roman" w:eastAsia="Times New Roman" w:hint="default"/>
                            <w:sz w:val="21"/>
                            <w:szCs w:val="21"/>
                          </w:rPr>
                        </w:pPr>
                        <w:r>
                          <w:rPr>
                            <w:rFonts w:ascii="Times New Roman"/>
                            <w:spacing w:val="-1"/>
                            <w:sz w:val="21"/>
                          </w:rPr>
                          <w:t>360.00</w:t>
                        </w:r>
                        <w:r>
                          <w:rPr>
                            <w:rFonts w:ascii="Times New Roman"/>
                            <w:sz w:val="21"/>
                          </w:rPr>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Times New Roman" w:hAnsi="Times New Roman" w:cs="Times New Roman" w:eastAsia="Times New Roman" w:hint="default"/>
                            <w:sz w:val="22"/>
                            <w:szCs w:val="22"/>
                          </w:rPr>
                        </w:pPr>
                        <w:r>
                          <w:rPr>
                            <w:rFonts w:ascii="Times New Roman"/>
                            <w:spacing w:val="-1"/>
                            <w:sz w:val="22"/>
                          </w:rPr>
                          <w:t>4.0359</w:t>
                        </w:r>
                      </w:p>
                    </w:tc>
                  </w:tr>
                  <w:tr>
                    <w:trPr>
                      <w:trHeight w:val="350" w:hRule="exact"/>
                    </w:trPr>
                    <w:tc>
                      <w:tcPr>
                        <w:tcW w:w="305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23" w:right="0"/>
                          <w:jc w:val="left"/>
                          <w:rPr>
                            <w:rFonts w:ascii="宋体" w:hAnsi="宋体" w:cs="宋体" w:eastAsia="宋体" w:hint="default"/>
                            <w:sz w:val="21"/>
                            <w:szCs w:val="21"/>
                          </w:rPr>
                        </w:pPr>
                        <w:r>
                          <w:rPr>
                            <w:rFonts w:ascii="宋体" w:hAnsi="宋体" w:cs="宋体" w:eastAsia="宋体" w:hint="default"/>
                            <w:sz w:val="21"/>
                            <w:szCs w:val="21"/>
                          </w:rPr>
                          <w:t>郎金文</w:t>
                        </w:r>
                      </w:p>
                    </w:tc>
                    <w:tc>
                      <w:tcPr>
                        <w:tcW w:w="383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16"/>
                          <w:jc w:val="right"/>
                          <w:rPr>
                            <w:rFonts w:ascii="Times New Roman" w:hAnsi="Times New Roman" w:cs="Times New Roman" w:eastAsia="Times New Roman" w:hint="default"/>
                            <w:sz w:val="21"/>
                            <w:szCs w:val="21"/>
                          </w:rPr>
                        </w:pPr>
                        <w:r>
                          <w:rPr>
                            <w:rFonts w:ascii="Times New Roman"/>
                            <w:spacing w:val="-1"/>
                            <w:sz w:val="21"/>
                          </w:rPr>
                          <w:t>360.00</w:t>
                        </w:r>
                        <w:r>
                          <w:rPr>
                            <w:rFonts w:ascii="Times New Roman"/>
                            <w:sz w:val="21"/>
                          </w:rPr>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Times New Roman" w:hAnsi="Times New Roman" w:cs="Times New Roman" w:eastAsia="Times New Roman" w:hint="default"/>
                            <w:sz w:val="22"/>
                            <w:szCs w:val="22"/>
                          </w:rPr>
                        </w:pPr>
                        <w:r>
                          <w:rPr>
                            <w:rFonts w:ascii="Times New Roman"/>
                            <w:spacing w:val="-1"/>
                            <w:sz w:val="22"/>
                          </w:rPr>
                          <w:t>4.0359</w:t>
                        </w:r>
                      </w:p>
                    </w:tc>
                  </w:tr>
                  <w:tr>
                    <w:trPr>
                      <w:trHeight w:val="360" w:hRule="exact"/>
                    </w:trPr>
                    <w:tc>
                      <w:tcPr>
                        <w:tcW w:w="3052" w:type="dxa"/>
                        <w:tcBorders>
                          <w:top w:val="nil" w:sz="6" w:space="0" w:color="auto"/>
                          <w:left w:val="nil" w:sz="6" w:space="0" w:color="auto"/>
                          <w:bottom w:val="nil" w:sz="6" w:space="0" w:color="auto"/>
                          <w:right w:val="nil" w:sz="6" w:space="0" w:color="auto"/>
                        </w:tcBorders>
                      </w:tcPr>
                      <w:p>
                        <w:pPr>
                          <w:pStyle w:val="TableParagraph"/>
                          <w:spacing w:line="240" w:lineRule="auto" w:before="9"/>
                          <w:ind w:left="723" w:right="0"/>
                          <w:jc w:val="left"/>
                          <w:rPr>
                            <w:rFonts w:ascii="宋体" w:hAnsi="宋体" w:cs="宋体" w:eastAsia="宋体" w:hint="default"/>
                            <w:sz w:val="21"/>
                            <w:szCs w:val="21"/>
                          </w:rPr>
                        </w:pPr>
                        <w:r>
                          <w:rPr>
                            <w:rFonts w:ascii="宋体" w:hAnsi="宋体" w:cs="宋体" w:eastAsia="宋体" w:hint="default"/>
                            <w:sz w:val="21"/>
                            <w:szCs w:val="21"/>
                          </w:rPr>
                          <w:t>社会公众</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股股东</w:t>
                        </w:r>
                      </w:p>
                    </w:tc>
                    <w:tc>
                      <w:tcPr>
                        <w:tcW w:w="383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16"/>
                          <w:jc w:val="right"/>
                          <w:rPr>
                            <w:rFonts w:ascii="Times New Roman" w:hAnsi="Times New Roman" w:cs="Times New Roman" w:eastAsia="Times New Roman" w:hint="default"/>
                            <w:sz w:val="21"/>
                            <w:szCs w:val="21"/>
                          </w:rPr>
                        </w:pPr>
                        <w:r>
                          <w:rPr>
                            <w:rFonts w:ascii="Times New Roman"/>
                            <w:spacing w:val="-1"/>
                            <w:sz w:val="21"/>
                          </w:rPr>
                          <w:t>3,422.00</w:t>
                        </w:r>
                        <w:r>
                          <w:rPr>
                            <w:rFonts w:ascii="Times New Roman"/>
                            <w:sz w:val="21"/>
                          </w:rPr>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7"/>
                          <w:jc w:val="right"/>
                          <w:rPr>
                            <w:rFonts w:ascii="Times New Roman" w:hAnsi="Times New Roman" w:cs="Times New Roman" w:eastAsia="Times New Roman" w:hint="default"/>
                            <w:sz w:val="22"/>
                            <w:szCs w:val="22"/>
                          </w:rPr>
                        </w:pPr>
                        <w:r>
                          <w:rPr>
                            <w:rFonts w:ascii="Times New Roman"/>
                            <w:spacing w:val="-1"/>
                            <w:sz w:val="22"/>
                          </w:rPr>
                          <w:t>38.3631</w:t>
                        </w:r>
                      </w:p>
                    </w:tc>
                  </w:tr>
                  <w:tr>
                    <w:trPr>
                      <w:trHeight w:val="327" w:hRule="exact"/>
                    </w:trPr>
                    <w:tc>
                      <w:tcPr>
                        <w:tcW w:w="3052" w:type="dxa"/>
                        <w:tcBorders>
                          <w:top w:val="nil" w:sz="6" w:space="0" w:color="auto"/>
                          <w:left w:val="nil" w:sz="6" w:space="0" w:color="auto"/>
                          <w:bottom w:val="single" w:sz="12" w:space="0" w:color="000000"/>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834" w:type="dxa"/>
                        <w:tcBorders>
                          <w:top w:val="nil" w:sz="6" w:space="0" w:color="auto"/>
                          <w:left w:val="nil" w:sz="6" w:space="0" w:color="auto"/>
                          <w:bottom w:val="single" w:sz="12" w:space="0" w:color="000000"/>
                          <w:right w:val="nil" w:sz="6" w:space="0" w:color="auto"/>
                        </w:tcBorders>
                      </w:tcPr>
                      <w:p>
                        <w:pPr>
                          <w:pStyle w:val="TableParagraph"/>
                          <w:spacing w:line="240" w:lineRule="auto" w:before="49"/>
                          <w:ind w:right="316"/>
                          <w:jc w:val="right"/>
                          <w:rPr>
                            <w:rFonts w:ascii="Times New Roman" w:hAnsi="Times New Roman" w:cs="Times New Roman" w:eastAsia="Times New Roman" w:hint="default"/>
                            <w:sz w:val="21"/>
                            <w:szCs w:val="21"/>
                          </w:rPr>
                        </w:pPr>
                        <w:r>
                          <w:rPr>
                            <w:rFonts w:ascii="Times New Roman"/>
                            <w:spacing w:val="-1"/>
                            <w:sz w:val="21"/>
                          </w:rPr>
                          <w:t>8,920.00</w:t>
                        </w:r>
                        <w:r>
                          <w:rPr>
                            <w:rFonts w:ascii="Times New Roman"/>
                            <w:sz w:val="21"/>
                          </w:rPr>
                        </w:r>
                      </w:p>
                    </w:tc>
                    <w:tc>
                      <w:tcPr>
                        <w:tcW w:w="2081" w:type="dxa"/>
                        <w:tcBorders>
                          <w:top w:val="nil" w:sz="6" w:space="0" w:color="auto"/>
                          <w:left w:val="nil" w:sz="6" w:space="0" w:color="auto"/>
                          <w:bottom w:val="single" w:sz="12"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21"/>
                            <w:szCs w:val="21"/>
                          </w:rPr>
                        </w:pPr>
                        <w:r>
                          <w:rPr>
                            <w:rFonts w:ascii="Times New Roman"/>
                            <w:spacing w:val="-1"/>
                            <w:sz w:val="21"/>
                          </w:rPr>
                          <w:t>100.0000</w:t>
                        </w:r>
                        <w:r>
                          <w:rPr>
                            <w:rFonts w:ascii="Times New Roman"/>
                            <w:sz w:val="21"/>
                          </w:rPr>
                        </w:r>
                      </w:p>
                    </w:tc>
                  </w:tr>
                </w:tbl>
                <w:p>
                  <w:pPr/>
                </w:p>
              </w:txbxContent>
            </v:textbox>
            <w10:wrap type="none"/>
          </v:shape>
        </w:pict>
      </w:r>
      <w:r>
        <w:rPr/>
        <w:t>会计师事务所有限责任公司审验，并出具利安达验字［</w:t>
      </w:r>
      <w:r>
        <w:rPr>
          <w:rFonts w:ascii="Times New Roman" w:hAnsi="Times New Roman" w:cs="Times New Roman" w:eastAsia="Times New Roman" w:hint="default"/>
        </w:rPr>
        <w:t>2012</w:t>
      </w:r>
      <w:r>
        <w:rPr/>
        <w:t>］第</w:t>
      </w:r>
      <w:r>
        <w:rPr>
          <w:spacing w:val="-63"/>
        </w:rPr>
        <w:t> </w:t>
      </w:r>
      <w:r>
        <w:rPr>
          <w:rFonts w:ascii="Times New Roman" w:hAnsi="Times New Roman" w:cs="Times New Roman" w:eastAsia="Times New Roman" w:hint="default"/>
        </w:rPr>
        <w:t>1023</w:t>
      </w:r>
      <w:r>
        <w:rPr>
          <w:rFonts w:ascii="Times New Roman" w:hAnsi="Times New Roman" w:cs="Times New Roman" w:eastAsia="Times New Roman" w:hint="default"/>
          <w:spacing w:val="-10"/>
        </w:rPr>
        <w:t> </w:t>
      </w:r>
      <w:r>
        <w:rPr/>
        <w:t>号验资报告。</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w:t>
      </w:r>
      <w:r>
        <w:rPr>
          <w:spacing w:val="-63"/>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月</w:t>
      </w:r>
      <w:r>
        <w:rPr>
          <w:spacing w:val="-62"/>
        </w:rPr>
        <w:t> </w:t>
      </w:r>
      <w:r>
        <w:rPr>
          <w:rFonts w:ascii="Times New Roman" w:hAnsi="Times New Roman" w:cs="Times New Roman" w:eastAsia="Times New Roman" w:hint="default"/>
        </w:rPr>
        <w:t>30</w:t>
      </w:r>
      <w:r>
        <w:rPr>
          <w:rFonts w:ascii="Times New Roman" w:hAnsi="Times New Roman" w:cs="Times New Roman" w:eastAsia="Times New Roman" w:hint="default"/>
          <w:spacing w:val="-9"/>
        </w:rPr>
        <w:t> </w:t>
      </w:r>
      <w:r>
        <w:rPr>
          <w:spacing w:val="-5"/>
        </w:rPr>
        <w:t>日，部</w:t>
      </w:r>
      <w:r>
        <w:rPr/>
        <w:t> 分已解禁的外部个人股东、外部单位股东、员工股东出售其持有股份，该部分股份转入社会公众股股东， 经变更后，各股东认缴注册资本额和出资比例为：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BodyText"/>
        <w:spacing w:line="240" w:lineRule="auto" w:before="35"/>
        <w:ind w:left="574" w:right="0"/>
        <w:jc w:val="left"/>
      </w:pPr>
      <w:r>
        <w:rPr>
          <w:rFonts w:ascii="Times New Roman" w:hAnsi="Times New Roman" w:cs="Times New Roman" w:eastAsia="Times New Roman" w:hint="default"/>
        </w:rPr>
        <w:t>8</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年资本公积转增资本</w:t>
      </w:r>
    </w:p>
    <w:p>
      <w:pPr>
        <w:pStyle w:val="BodyText"/>
        <w:spacing w:line="240" w:lineRule="auto" w:before="109"/>
        <w:ind w:left="573" w:right="0"/>
        <w:jc w:val="left"/>
      </w:pPr>
      <w:r>
        <w:rPr/>
        <w:t>根据本公司</w:t>
      </w:r>
      <w:r>
        <w:rPr>
          <w:spacing w:val="-3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9"/>
        </w:rPr>
        <w:t> </w:t>
      </w:r>
      <w:r>
        <w:rPr/>
        <w:t>年年度股东会决议及修改后章程的规定，公司申请增加注册资本人民币</w:t>
      </w:r>
      <w:r>
        <w:rPr>
          <w:spacing w:val="-34"/>
        </w:rPr>
        <w:t> </w:t>
      </w:r>
      <w:r>
        <w:rPr>
          <w:rFonts w:ascii="Times New Roman" w:hAnsi="Times New Roman" w:cs="Times New Roman" w:eastAsia="Times New Roman" w:hint="default"/>
        </w:rPr>
        <w:t>5,352.00</w:t>
      </w:r>
      <w:r>
        <w:rPr>
          <w:rFonts w:ascii="Times New Roman" w:hAnsi="Times New Roman" w:cs="Times New Roman" w:eastAsia="Times New Roman" w:hint="default"/>
          <w:spacing w:val="19"/>
        </w:rPr>
        <w:t> </w:t>
      </w:r>
      <w:r>
        <w:rPr/>
        <w:t>万</w:t>
      </w:r>
    </w:p>
    <w:p>
      <w:pPr>
        <w:pStyle w:val="BodyText"/>
        <w:spacing w:line="240" w:lineRule="auto" w:before="109"/>
        <w:ind w:right="0"/>
        <w:jc w:val="left"/>
      </w:pPr>
      <w:r>
        <w:rPr/>
        <w:t>元，公司按每</w:t>
      </w:r>
      <w:r>
        <w:rPr>
          <w:spacing w:val="-59"/>
        </w:rPr>
        <w:t> </w:t>
      </w:r>
      <w:r>
        <w:rPr>
          <w:rFonts w:ascii="Times New Roman" w:hAnsi="Times New Roman" w:cs="Times New Roman" w:eastAsia="Times New Roman" w:hint="default"/>
        </w:rPr>
        <w:t>10.00</w:t>
      </w:r>
      <w:r>
        <w:rPr>
          <w:rFonts w:ascii="Times New Roman" w:hAnsi="Times New Roman" w:cs="Times New Roman" w:eastAsia="Times New Roman" w:hint="default"/>
          <w:spacing w:val="-6"/>
        </w:rPr>
        <w:t> </w:t>
      </w:r>
      <w:r>
        <w:rPr/>
        <w:t>股转增</w:t>
      </w:r>
      <w:r>
        <w:rPr>
          <w:spacing w:val="-59"/>
        </w:rPr>
        <w:t> </w:t>
      </w:r>
      <w:r>
        <w:rPr>
          <w:rFonts w:ascii="Times New Roman" w:hAnsi="Times New Roman" w:cs="Times New Roman" w:eastAsia="Times New Roman" w:hint="default"/>
        </w:rPr>
        <w:t>6.00</w:t>
      </w:r>
      <w:r>
        <w:rPr>
          <w:rFonts w:ascii="Times New Roman" w:hAnsi="Times New Roman" w:cs="Times New Roman" w:eastAsia="Times New Roman" w:hint="default"/>
          <w:spacing w:val="-6"/>
        </w:rPr>
        <w:t> </w:t>
      </w:r>
      <w:r>
        <w:rPr/>
        <w:t>股的比例，以资本公积向全体股东转增股份总额</w:t>
      </w:r>
      <w:r>
        <w:rPr>
          <w:spacing w:val="-59"/>
        </w:rPr>
        <w:t> </w:t>
      </w:r>
      <w:r>
        <w:rPr>
          <w:rFonts w:ascii="Times New Roman" w:hAnsi="Times New Roman" w:cs="Times New Roman" w:eastAsia="Times New Roman" w:hint="default"/>
        </w:rPr>
        <w:t>5,352.00</w:t>
      </w:r>
      <w:r>
        <w:rPr>
          <w:rFonts w:ascii="Times New Roman" w:hAnsi="Times New Roman" w:cs="Times New Roman" w:eastAsia="Times New Roman" w:hint="default"/>
          <w:spacing w:val="-6"/>
        </w:rPr>
        <w:t> </w:t>
      </w:r>
      <w:r>
        <w:rPr/>
        <w:t>万股，每股面值</w:t>
      </w:r>
    </w:p>
    <w:p>
      <w:pPr>
        <w:pStyle w:val="BodyText"/>
        <w:spacing w:line="240" w:lineRule="auto" w:before="110"/>
        <w:ind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元，共计增加股本</w:t>
      </w:r>
      <w:r>
        <w:rPr>
          <w:spacing w:val="-60"/>
        </w:rPr>
        <w:t> </w:t>
      </w:r>
      <w:r>
        <w:rPr>
          <w:rFonts w:ascii="Times New Roman" w:hAnsi="Times New Roman" w:cs="Times New Roman" w:eastAsia="Times New Roman" w:hint="default"/>
        </w:rPr>
        <w:t>5,352.00</w:t>
      </w:r>
      <w:r>
        <w:rPr>
          <w:rFonts w:ascii="Times New Roman" w:hAnsi="Times New Roman" w:cs="Times New Roman" w:eastAsia="Times New Roman" w:hint="default"/>
          <w:spacing w:val="-7"/>
        </w:rPr>
        <w:t> </w:t>
      </w:r>
      <w:r>
        <w:rPr/>
        <w:t>万元，变更后的注册资本为人民币</w:t>
      </w:r>
      <w:r>
        <w:rPr>
          <w:spacing w:val="-60"/>
        </w:rPr>
        <w:t> </w:t>
      </w:r>
      <w:r>
        <w:rPr>
          <w:rFonts w:ascii="Times New Roman" w:hAnsi="Times New Roman" w:cs="Times New Roman" w:eastAsia="Times New Roman" w:hint="default"/>
        </w:rPr>
        <w:t>14,272</w:t>
      </w:r>
      <w:r>
        <w:rPr>
          <w:rFonts w:ascii="Times New Roman" w:hAnsi="Times New Roman" w:cs="Times New Roman" w:eastAsia="Times New Roman" w:hint="default"/>
          <w:spacing w:val="-7"/>
        </w:rPr>
        <w:t> </w:t>
      </w:r>
      <w:r>
        <w:rPr/>
        <w:t>万元，已经立信会计师事务所（特</w:t>
      </w:r>
    </w:p>
    <w:p>
      <w:pPr>
        <w:pStyle w:val="BodyText"/>
        <w:spacing w:line="328" w:lineRule="auto" w:before="109"/>
        <w:ind w:right="237"/>
        <w:jc w:val="left"/>
      </w:pPr>
      <w:r>
        <w:rPr/>
        <w:pict>
          <v:group style="position:absolute;margin-left:94.199997pt;margin-top:42.222034pt;width:451.2pt;height:193pt;mso-position-horizontal-relative:page;mso-position-vertical-relative:paragraph;z-index:-1166608" coordorigin="1884,844" coordsize="9024,3860">
            <v:shape style="position:absolute;left:5434;top:844;width:3180;height:379" type="#_x0000_t75" stroked="false">
              <v:imagedata r:id="rId55" o:title=""/>
            </v:shape>
            <v:shape style="position:absolute;left:1884;top:1185;width:9024;height:3520" type="#_x0000_t75" stroked="false">
              <v:imagedata r:id="rId56" o:title=""/>
            </v:shape>
            <w10:wrap type="none"/>
          </v:group>
        </w:pict>
      </w:r>
      <w:r>
        <w:rPr/>
        <w:t>殊普通合伙）审验，并出具信会师报字【</w:t>
      </w:r>
      <w:r>
        <w:rPr>
          <w:rFonts w:ascii="Times New Roman" w:hAnsi="Times New Roman" w:cs="Times New Roman" w:eastAsia="Times New Roman" w:hint="default"/>
        </w:rPr>
        <w:t>2014</w:t>
      </w:r>
      <w:r>
        <w:rPr/>
        <w:t>】第 </w:t>
      </w:r>
      <w:r>
        <w:rPr>
          <w:rFonts w:ascii="Times New Roman" w:hAnsi="Times New Roman" w:cs="Times New Roman" w:eastAsia="Times New Roman" w:hint="default"/>
        </w:rPr>
        <w:t>710997</w:t>
      </w:r>
      <w:r>
        <w:rPr>
          <w:rFonts w:ascii="Times New Roman" w:hAnsi="Times New Roman" w:cs="Times New Roman" w:eastAsia="Times New Roman" w:hint="default"/>
          <w:spacing w:val="25"/>
        </w:rPr>
        <w:t> </w:t>
      </w:r>
      <w:r>
        <w:rPr/>
        <w:t>号验资报告。经变更后，各股东认缴注册资本 额和出资比例为：</w:t>
      </w:r>
    </w:p>
    <w:tbl>
      <w:tblPr>
        <w:tblW w:w="0" w:type="auto"/>
        <w:jc w:val="left"/>
        <w:tblInd w:w="932" w:type="dxa"/>
        <w:tblLayout w:type="fixed"/>
        <w:tblCellMar>
          <w:top w:w="0" w:type="dxa"/>
          <w:left w:w="0" w:type="dxa"/>
          <w:bottom w:w="0" w:type="dxa"/>
          <w:right w:w="0" w:type="dxa"/>
        </w:tblCellMar>
        <w:tblLook w:val="01E0"/>
      </w:tblPr>
      <w:tblGrid>
        <w:gridCol w:w="2504"/>
        <w:gridCol w:w="4383"/>
        <w:gridCol w:w="2080"/>
      </w:tblGrid>
      <w:tr>
        <w:trPr>
          <w:trHeight w:val="721" w:hRule="exact"/>
        </w:trPr>
        <w:tc>
          <w:tcPr>
            <w:tcW w:w="2504" w:type="dxa"/>
            <w:tcBorders>
              <w:top w:val="single" w:sz="12" w:space="0" w:color="000000"/>
              <w:left w:val="nil" w:sz="6" w:space="0" w:color="auto"/>
              <w:bottom w:val="nil" w:sz="6" w:space="0" w:color="auto"/>
              <w:right w:val="nil" w:sz="6" w:space="0" w:color="auto"/>
            </w:tcBorders>
          </w:tcPr>
          <w:p>
            <w:pPr>
              <w:pStyle w:val="TableParagraph"/>
              <w:spacing w:line="304" w:lineRule="auto" w:before="15"/>
              <w:ind w:left="723" w:right="1148"/>
              <w:jc w:val="left"/>
              <w:rPr>
                <w:rFonts w:ascii="宋体" w:hAnsi="宋体" w:cs="宋体" w:eastAsia="宋体" w:hint="default"/>
                <w:sz w:val="21"/>
                <w:szCs w:val="21"/>
              </w:rPr>
            </w:pPr>
            <w:r>
              <w:rPr>
                <w:rFonts w:ascii="宋体" w:hAnsi="宋体" w:cs="宋体" w:eastAsia="宋体" w:hint="default"/>
                <w:sz w:val="21"/>
                <w:szCs w:val="21"/>
              </w:rPr>
              <w:t>投资方 杨维国</w:t>
            </w:r>
          </w:p>
        </w:tc>
        <w:tc>
          <w:tcPr>
            <w:tcW w:w="4383" w:type="dxa"/>
            <w:tcBorders>
              <w:top w:val="single" w:sz="12" w:space="0" w:color="000000"/>
              <w:left w:val="nil" w:sz="6" w:space="0" w:color="auto"/>
              <w:bottom w:val="nil" w:sz="6" w:space="0" w:color="auto"/>
              <w:right w:val="nil" w:sz="6" w:space="0" w:color="auto"/>
            </w:tcBorders>
          </w:tcPr>
          <w:p>
            <w:pPr>
              <w:pStyle w:val="TableParagraph"/>
              <w:spacing w:line="240" w:lineRule="auto" w:before="15"/>
              <w:ind w:left="1150" w:right="0"/>
              <w:jc w:val="left"/>
              <w:rPr>
                <w:rFonts w:ascii="宋体" w:hAnsi="宋体" w:cs="宋体" w:eastAsia="宋体" w:hint="default"/>
                <w:sz w:val="21"/>
                <w:szCs w:val="21"/>
              </w:rPr>
            </w:pPr>
            <w:r>
              <w:rPr>
                <w:rFonts w:ascii="宋体" w:hAnsi="宋体" w:cs="宋体" w:eastAsia="宋体" w:hint="default"/>
                <w:sz w:val="21"/>
                <w:szCs w:val="21"/>
              </w:rPr>
              <w:t>认缴注册资本额（万元）</w:t>
            </w:r>
          </w:p>
          <w:p>
            <w:pPr>
              <w:pStyle w:val="TableParagraph"/>
              <w:spacing w:line="240" w:lineRule="auto" w:before="81"/>
              <w:ind w:right="315"/>
              <w:jc w:val="right"/>
              <w:rPr>
                <w:rFonts w:ascii="Times New Roman" w:hAnsi="Times New Roman" w:cs="Times New Roman" w:eastAsia="Times New Roman" w:hint="default"/>
                <w:sz w:val="21"/>
                <w:szCs w:val="21"/>
              </w:rPr>
            </w:pPr>
            <w:r>
              <w:rPr>
                <w:rFonts w:ascii="Times New Roman"/>
                <w:spacing w:val="-1"/>
                <w:sz w:val="21"/>
              </w:rPr>
              <w:t>3,392.00</w:t>
            </w:r>
          </w:p>
        </w:tc>
        <w:tc>
          <w:tcPr>
            <w:tcW w:w="2080" w:type="dxa"/>
            <w:tcBorders>
              <w:top w:val="single" w:sz="12" w:space="0" w:color="000000"/>
              <w:left w:val="nil" w:sz="6" w:space="0" w:color="auto"/>
              <w:bottom w:val="nil" w:sz="6" w:space="0" w:color="auto"/>
              <w:right w:val="nil" w:sz="6" w:space="0" w:color="auto"/>
            </w:tcBorders>
          </w:tcPr>
          <w:p>
            <w:pPr>
              <w:pStyle w:val="TableParagraph"/>
              <w:spacing w:line="240" w:lineRule="auto" w:before="15"/>
              <w:ind w:left="317" w:right="0"/>
              <w:jc w:val="left"/>
              <w:rPr>
                <w:rFonts w:ascii="宋体" w:hAnsi="宋体" w:cs="宋体" w:eastAsia="宋体" w:hint="default"/>
                <w:sz w:val="21"/>
                <w:szCs w:val="21"/>
              </w:rPr>
            </w:pPr>
            <w:r>
              <w:rPr>
                <w:rFonts w:ascii="宋体" w:hAnsi="宋体" w:cs="宋体" w:eastAsia="宋体" w:hint="default"/>
                <w:sz w:val="21"/>
                <w:szCs w:val="21"/>
              </w:rPr>
              <w:t>出资比例（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pStyle w:val="TableParagraph"/>
              <w:spacing w:line="240" w:lineRule="auto" w:before="65"/>
              <w:ind w:left="1288" w:right="0"/>
              <w:jc w:val="left"/>
              <w:rPr>
                <w:rFonts w:ascii="Times New Roman" w:hAnsi="Times New Roman" w:cs="Times New Roman" w:eastAsia="Times New Roman" w:hint="default"/>
                <w:sz w:val="21"/>
                <w:szCs w:val="21"/>
              </w:rPr>
            </w:pPr>
            <w:r>
              <w:rPr>
                <w:rFonts w:ascii="Times New Roman"/>
                <w:sz w:val="21"/>
              </w:rPr>
              <w:t>23.7668</w:t>
            </w:r>
          </w:p>
        </w:tc>
      </w:tr>
      <w:tr>
        <w:trPr>
          <w:trHeight w:val="350" w:hRule="exact"/>
        </w:trPr>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8"/>
              <w:ind w:left="723" w:right="0"/>
              <w:jc w:val="left"/>
              <w:rPr>
                <w:rFonts w:ascii="宋体" w:hAnsi="宋体" w:cs="宋体" w:eastAsia="宋体" w:hint="default"/>
                <w:sz w:val="21"/>
                <w:szCs w:val="21"/>
              </w:rPr>
            </w:pPr>
            <w:r>
              <w:rPr>
                <w:rFonts w:ascii="宋体" w:hAnsi="宋体" w:cs="宋体" w:eastAsia="宋体" w:hint="default"/>
                <w:sz w:val="21"/>
                <w:szCs w:val="21"/>
              </w:rPr>
              <w:t>尚卫国</w:t>
            </w:r>
          </w:p>
        </w:tc>
        <w:tc>
          <w:tcPr>
            <w:tcW w:w="438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16"/>
              <w:jc w:val="right"/>
              <w:rPr>
                <w:rFonts w:ascii="Times New Roman" w:hAnsi="Times New Roman" w:cs="Times New Roman" w:eastAsia="Times New Roman" w:hint="default"/>
                <w:sz w:val="21"/>
                <w:szCs w:val="21"/>
              </w:rPr>
            </w:pPr>
            <w:r>
              <w:rPr>
                <w:rFonts w:ascii="Times New Roman"/>
                <w:spacing w:val="-1"/>
                <w:sz w:val="21"/>
              </w:rPr>
              <w:t>699.36</w:t>
            </w:r>
            <w:r>
              <w:rPr>
                <w:rFonts w:ascii="Times New Roman"/>
                <w:sz w:val="21"/>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7"/>
              <w:jc w:val="right"/>
              <w:rPr>
                <w:rFonts w:ascii="Times New Roman" w:hAnsi="Times New Roman" w:cs="Times New Roman" w:eastAsia="Times New Roman" w:hint="default"/>
                <w:sz w:val="21"/>
                <w:szCs w:val="21"/>
              </w:rPr>
            </w:pPr>
            <w:r>
              <w:rPr>
                <w:rFonts w:ascii="Times New Roman"/>
                <w:spacing w:val="-1"/>
                <w:sz w:val="21"/>
              </w:rPr>
              <w:t>4.9002</w:t>
            </w:r>
            <w:r>
              <w:rPr>
                <w:rFonts w:ascii="Times New Roman"/>
                <w:sz w:val="21"/>
              </w:rPr>
            </w:r>
          </w:p>
        </w:tc>
      </w:tr>
      <w:tr>
        <w:trPr>
          <w:trHeight w:val="350" w:hRule="exact"/>
        </w:trPr>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8"/>
              <w:ind w:left="723" w:right="0"/>
              <w:jc w:val="left"/>
              <w:rPr>
                <w:rFonts w:ascii="宋体" w:hAnsi="宋体" w:cs="宋体" w:eastAsia="宋体" w:hint="default"/>
                <w:sz w:val="21"/>
                <w:szCs w:val="21"/>
              </w:rPr>
            </w:pPr>
            <w:r>
              <w:rPr>
                <w:rFonts w:ascii="宋体" w:hAnsi="宋体" w:cs="宋体" w:eastAsia="宋体" w:hint="default"/>
                <w:sz w:val="21"/>
                <w:szCs w:val="21"/>
              </w:rPr>
              <w:t>付秋生</w:t>
            </w:r>
          </w:p>
        </w:tc>
        <w:tc>
          <w:tcPr>
            <w:tcW w:w="438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16"/>
              <w:jc w:val="right"/>
              <w:rPr>
                <w:rFonts w:ascii="Times New Roman" w:hAnsi="Times New Roman" w:cs="Times New Roman" w:eastAsia="Times New Roman" w:hint="default"/>
                <w:sz w:val="21"/>
                <w:szCs w:val="21"/>
              </w:rPr>
            </w:pPr>
            <w:r>
              <w:rPr>
                <w:rFonts w:ascii="Times New Roman"/>
                <w:spacing w:val="-1"/>
                <w:sz w:val="21"/>
              </w:rPr>
              <w:t>673.44</w:t>
            </w:r>
            <w:r>
              <w:rPr>
                <w:rFonts w:ascii="Times New Roman"/>
                <w:sz w:val="21"/>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7"/>
              <w:jc w:val="right"/>
              <w:rPr>
                <w:rFonts w:ascii="Times New Roman" w:hAnsi="Times New Roman" w:cs="Times New Roman" w:eastAsia="Times New Roman" w:hint="default"/>
                <w:sz w:val="21"/>
                <w:szCs w:val="21"/>
              </w:rPr>
            </w:pPr>
            <w:r>
              <w:rPr>
                <w:rFonts w:ascii="Times New Roman"/>
                <w:spacing w:val="-1"/>
                <w:sz w:val="21"/>
              </w:rPr>
              <w:t>4.7186</w:t>
            </w:r>
            <w:r>
              <w:rPr>
                <w:rFonts w:ascii="Times New Roman"/>
                <w:sz w:val="21"/>
              </w:rPr>
            </w:r>
          </w:p>
        </w:tc>
      </w:tr>
      <w:tr>
        <w:trPr>
          <w:trHeight w:val="350" w:hRule="exact"/>
        </w:trPr>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8"/>
              <w:ind w:left="723" w:right="0"/>
              <w:jc w:val="left"/>
              <w:rPr>
                <w:rFonts w:ascii="宋体" w:hAnsi="宋体" w:cs="宋体" w:eastAsia="宋体" w:hint="default"/>
                <w:sz w:val="21"/>
                <w:szCs w:val="21"/>
              </w:rPr>
            </w:pPr>
            <w:r>
              <w:rPr>
                <w:rFonts w:ascii="宋体" w:hAnsi="宋体" w:cs="宋体" w:eastAsia="宋体" w:hint="default"/>
                <w:sz w:val="21"/>
                <w:szCs w:val="21"/>
              </w:rPr>
              <w:t>赵利宾</w:t>
            </w:r>
          </w:p>
        </w:tc>
        <w:tc>
          <w:tcPr>
            <w:tcW w:w="438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16"/>
              <w:jc w:val="right"/>
              <w:rPr>
                <w:rFonts w:ascii="Times New Roman" w:hAnsi="Times New Roman" w:cs="Times New Roman" w:eastAsia="Times New Roman" w:hint="default"/>
                <w:sz w:val="21"/>
                <w:szCs w:val="21"/>
              </w:rPr>
            </w:pPr>
            <w:r>
              <w:rPr>
                <w:rFonts w:ascii="Times New Roman"/>
                <w:spacing w:val="-1"/>
                <w:sz w:val="21"/>
              </w:rPr>
              <w:t>576</w:t>
            </w:r>
            <w:r>
              <w:rPr>
                <w:rFonts w:ascii="Times New Roman"/>
                <w:sz w:val="21"/>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Times New Roman" w:hAnsi="Times New Roman" w:cs="Times New Roman" w:eastAsia="Times New Roman" w:hint="default"/>
                <w:sz w:val="21"/>
                <w:szCs w:val="21"/>
              </w:rPr>
            </w:pPr>
            <w:r>
              <w:rPr>
                <w:rFonts w:ascii="Times New Roman"/>
                <w:spacing w:val="-1"/>
                <w:sz w:val="21"/>
              </w:rPr>
              <w:t>4.0359</w:t>
            </w:r>
            <w:r>
              <w:rPr>
                <w:rFonts w:ascii="Times New Roman"/>
                <w:sz w:val="21"/>
              </w:rPr>
            </w:r>
          </w:p>
        </w:tc>
      </w:tr>
      <w:tr>
        <w:trPr>
          <w:trHeight w:val="350" w:hRule="exact"/>
        </w:trPr>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8"/>
              <w:ind w:left="723" w:right="0"/>
              <w:jc w:val="left"/>
              <w:rPr>
                <w:rFonts w:ascii="宋体" w:hAnsi="宋体" w:cs="宋体" w:eastAsia="宋体" w:hint="default"/>
                <w:sz w:val="21"/>
                <w:szCs w:val="21"/>
              </w:rPr>
            </w:pPr>
            <w:r>
              <w:rPr>
                <w:rFonts w:ascii="宋体" w:hAnsi="宋体" w:cs="宋体" w:eastAsia="宋体" w:hint="default"/>
                <w:sz w:val="21"/>
                <w:szCs w:val="21"/>
              </w:rPr>
              <w:t>华梦阳</w:t>
            </w:r>
          </w:p>
        </w:tc>
        <w:tc>
          <w:tcPr>
            <w:tcW w:w="438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16"/>
              <w:jc w:val="right"/>
              <w:rPr>
                <w:rFonts w:ascii="Times New Roman" w:hAnsi="Times New Roman" w:cs="Times New Roman" w:eastAsia="Times New Roman" w:hint="default"/>
                <w:sz w:val="21"/>
                <w:szCs w:val="21"/>
              </w:rPr>
            </w:pPr>
            <w:r>
              <w:rPr>
                <w:rFonts w:ascii="Times New Roman"/>
                <w:spacing w:val="-1"/>
                <w:sz w:val="21"/>
              </w:rPr>
              <w:t>576</w:t>
            </w:r>
            <w:r>
              <w:rPr>
                <w:rFonts w:ascii="Times New Roman"/>
                <w:sz w:val="21"/>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7"/>
              <w:jc w:val="right"/>
              <w:rPr>
                <w:rFonts w:ascii="Times New Roman" w:hAnsi="Times New Roman" w:cs="Times New Roman" w:eastAsia="Times New Roman" w:hint="default"/>
                <w:sz w:val="21"/>
                <w:szCs w:val="21"/>
              </w:rPr>
            </w:pPr>
            <w:r>
              <w:rPr>
                <w:rFonts w:ascii="Times New Roman"/>
                <w:spacing w:val="-1"/>
                <w:sz w:val="21"/>
              </w:rPr>
              <w:t>4.0359</w:t>
            </w:r>
            <w:r>
              <w:rPr>
                <w:rFonts w:ascii="Times New Roman"/>
                <w:sz w:val="21"/>
              </w:rPr>
            </w:r>
          </w:p>
        </w:tc>
      </w:tr>
      <w:tr>
        <w:trPr>
          <w:trHeight w:val="350" w:hRule="exact"/>
        </w:trPr>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8"/>
              <w:ind w:left="723" w:right="0"/>
              <w:jc w:val="left"/>
              <w:rPr>
                <w:rFonts w:ascii="宋体" w:hAnsi="宋体" w:cs="宋体" w:eastAsia="宋体" w:hint="default"/>
                <w:sz w:val="21"/>
                <w:szCs w:val="21"/>
              </w:rPr>
            </w:pPr>
            <w:r>
              <w:rPr>
                <w:rFonts w:ascii="宋体" w:hAnsi="宋体" w:cs="宋体" w:eastAsia="宋体" w:hint="default"/>
                <w:sz w:val="21"/>
                <w:szCs w:val="21"/>
              </w:rPr>
              <w:t>刘恩臣</w:t>
            </w:r>
          </w:p>
        </w:tc>
        <w:tc>
          <w:tcPr>
            <w:tcW w:w="438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16"/>
              <w:jc w:val="right"/>
              <w:rPr>
                <w:rFonts w:ascii="Times New Roman" w:hAnsi="Times New Roman" w:cs="Times New Roman" w:eastAsia="Times New Roman" w:hint="default"/>
                <w:sz w:val="21"/>
                <w:szCs w:val="21"/>
              </w:rPr>
            </w:pPr>
            <w:r>
              <w:rPr>
                <w:rFonts w:ascii="Times New Roman"/>
                <w:spacing w:val="-1"/>
                <w:sz w:val="21"/>
              </w:rPr>
              <w:t>576</w:t>
            </w:r>
            <w:r>
              <w:rPr>
                <w:rFonts w:ascii="Times New Roman"/>
                <w:sz w:val="21"/>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7"/>
              <w:jc w:val="right"/>
              <w:rPr>
                <w:rFonts w:ascii="Times New Roman" w:hAnsi="Times New Roman" w:cs="Times New Roman" w:eastAsia="Times New Roman" w:hint="default"/>
                <w:sz w:val="21"/>
                <w:szCs w:val="21"/>
              </w:rPr>
            </w:pPr>
            <w:r>
              <w:rPr>
                <w:rFonts w:ascii="Times New Roman"/>
                <w:spacing w:val="-1"/>
                <w:sz w:val="21"/>
              </w:rPr>
              <w:t>4.0359</w:t>
            </w:r>
            <w:r>
              <w:rPr>
                <w:rFonts w:ascii="Times New Roman"/>
                <w:sz w:val="21"/>
              </w:rPr>
            </w:r>
          </w:p>
        </w:tc>
      </w:tr>
      <w:tr>
        <w:trPr>
          <w:trHeight w:val="350" w:hRule="exact"/>
        </w:trPr>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8"/>
              <w:ind w:left="723" w:right="0"/>
              <w:jc w:val="left"/>
              <w:rPr>
                <w:rFonts w:ascii="宋体" w:hAnsi="宋体" w:cs="宋体" w:eastAsia="宋体" w:hint="default"/>
                <w:sz w:val="21"/>
                <w:szCs w:val="21"/>
              </w:rPr>
            </w:pPr>
            <w:r>
              <w:rPr>
                <w:rFonts w:ascii="宋体" w:hAnsi="宋体" w:cs="宋体" w:eastAsia="宋体" w:hint="default"/>
                <w:sz w:val="21"/>
                <w:szCs w:val="21"/>
              </w:rPr>
              <w:t>傅常顺</w:t>
            </w:r>
          </w:p>
        </w:tc>
        <w:tc>
          <w:tcPr>
            <w:tcW w:w="438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16"/>
              <w:jc w:val="right"/>
              <w:rPr>
                <w:rFonts w:ascii="Times New Roman" w:hAnsi="Times New Roman" w:cs="Times New Roman" w:eastAsia="Times New Roman" w:hint="default"/>
                <w:sz w:val="21"/>
                <w:szCs w:val="21"/>
              </w:rPr>
            </w:pPr>
            <w:r>
              <w:rPr>
                <w:rFonts w:ascii="Times New Roman"/>
                <w:spacing w:val="-1"/>
                <w:sz w:val="21"/>
              </w:rPr>
              <w:t>576</w:t>
            </w:r>
            <w:r>
              <w:rPr>
                <w:rFonts w:ascii="Times New Roman"/>
                <w:sz w:val="21"/>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Times New Roman" w:hAnsi="Times New Roman" w:cs="Times New Roman" w:eastAsia="Times New Roman" w:hint="default"/>
                <w:sz w:val="21"/>
                <w:szCs w:val="21"/>
              </w:rPr>
            </w:pPr>
            <w:r>
              <w:rPr>
                <w:rFonts w:ascii="Times New Roman"/>
                <w:spacing w:val="-1"/>
                <w:sz w:val="21"/>
              </w:rPr>
              <w:t>4.0359</w:t>
            </w:r>
            <w:r>
              <w:rPr>
                <w:rFonts w:ascii="Times New Roman"/>
                <w:sz w:val="21"/>
              </w:rPr>
            </w:r>
          </w:p>
        </w:tc>
      </w:tr>
      <w:tr>
        <w:trPr>
          <w:trHeight w:val="350" w:hRule="exact"/>
        </w:trPr>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8"/>
              <w:ind w:left="723" w:right="0"/>
              <w:jc w:val="left"/>
              <w:rPr>
                <w:rFonts w:ascii="宋体" w:hAnsi="宋体" w:cs="宋体" w:eastAsia="宋体" w:hint="default"/>
                <w:sz w:val="21"/>
                <w:szCs w:val="21"/>
              </w:rPr>
            </w:pPr>
            <w:r>
              <w:rPr>
                <w:rFonts w:ascii="宋体" w:hAnsi="宋体" w:cs="宋体" w:eastAsia="宋体" w:hint="default"/>
                <w:sz w:val="21"/>
                <w:szCs w:val="21"/>
              </w:rPr>
              <w:t>杜建平</w:t>
            </w:r>
          </w:p>
        </w:tc>
        <w:tc>
          <w:tcPr>
            <w:tcW w:w="438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16"/>
              <w:jc w:val="right"/>
              <w:rPr>
                <w:rFonts w:ascii="Times New Roman" w:hAnsi="Times New Roman" w:cs="Times New Roman" w:eastAsia="Times New Roman" w:hint="default"/>
                <w:sz w:val="21"/>
                <w:szCs w:val="21"/>
              </w:rPr>
            </w:pPr>
            <w:r>
              <w:rPr>
                <w:rFonts w:ascii="Times New Roman"/>
                <w:spacing w:val="-1"/>
                <w:sz w:val="21"/>
              </w:rPr>
              <w:t>576</w:t>
            </w:r>
            <w:r>
              <w:rPr>
                <w:rFonts w:ascii="Times New Roman"/>
                <w:sz w:val="21"/>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7"/>
              <w:jc w:val="right"/>
              <w:rPr>
                <w:rFonts w:ascii="Times New Roman" w:hAnsi="Times New Roman" w:cs="Times New Roman" w:eastAsia="Times New Roman" w:hint="default"/>
                <w:sz w:val="21"/>
                <w:szCs w:val="21"/>
              </w:rPr>
            </w:pPr>
            <w:r>
              <w:rPr>
                <w:rFonts w:ascii="Times New Roman"/>
                <w:spacing w:val="-1"/>
                <w:sz w:val="21"/>
              </w:rPr>
              <w:t>4.0359</w:t>
            </w:r>
            <w:r>
              <w:rPr>
                <w:rFonts w:ascii="Times New Roman"/>
                <w:sz w:val="21"/>
              </w:rPr>
            </w:r>
          </w:p>
        </w:tc>
      </w:tr>
      <w:tr>
        <w:trPr>
          <w:trHeight w:val="350" w:hRule="exact"/>
        </w:trPr>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8"/>
              <w:ind w:left="723" w:right="0"/>
              <w:jc w:val="left"/>
              <w:rPr>
                <w:rFonts w:ascii="宋体" w:hAnsi="宋体" w:cs="宋体" w:eastAsia="宋体" w:hint="default"/>
                <w:sz w:val="21"/>
                <w:szCs w:val="21"/>
              </w:rPr>
            </w:pPr>
            <w:r>
              <w:rPr>
                <w:rFonts w:ascii="宋体" w:hAnsi="宋体" w:cs="宋体" w:eastAsia="宋体" w:hint="default"/>
                <w:sz w:val="21"/>
                <w:szCs w:val="21"/>
              </w:rPr>
              <w:t>葛晓阁</w:t>
            </w:r>
          </w:p>
        </w:tc>
        <w:tc>
          <w:tcPr>
            <w:tcW w:w="438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16"/>
              <w:jc w:val="right"/>
              <w:rPr>
                <w:rFonts w:ascii="Times New Roman" w:hAnsi="Times New Roman" w:cs="Times New Roman" w:eastAsia="Times New Roman" w:hint="default"/>
                <w:sz w:val="21"/>
                <w:szCs w:val="21"/>
              </w:rPr>
            </w:pPr>
            <w:r>
              <w:rPr>
                <w:rFonts w:ascii="Times New Roman"/>
                <w:spacing w:val="-1"/>
                <w:sz w:val="21"/>
              </w:rPr>
              <w:t>576</w:t>
            </w:r>
            <w:r>
              <w:rPr>
                <w:rFonts w:ascii="Times New Roman"/>
                <w:sz w:val="21"/>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7"/>
              <w:jc w:val="right"/>
              <w:rPr>
                <w:rFonts w:ascii="Times New Roman" w:hAnsi="Times New Roman" w:cs="Times New Roman" w:eastAsia="Times New Roman" w:hint="default"/>
                <w:sz w:val="21"/>
                <w:szCs w:val="21"/>
              </w:rPr>
            </w:pPr>
            <w:r>
              <w:rPr>
                <w:rFonts w:ascii="Times New Roman"/>
                <w:spacing w:val="-1"/>
                <w:sz w:val="21"/>
              </w:rPr>
              <w:t>4.0359</w:t>
            </w:r>
            <w:r>
              <w:rPr>
                <w:rFonts w:ascii="Times New Roman"/>
                <w:sz w:val="21"/>
              </w:rPr>
            </w:r>
          </w:p>
        </w:tc>
      </w:tr>
      <w:tr>
        <w:trPr>
          <w:trHeight w:val="349" w:hRule="exact"/>
        </w:trPr>
        <w:tc>
          <w:tcPr>
            <w:tcW w:w="2504" w:type="dxa"/>
            <w:tcBorders>
              <w:top w:val="nil" w:sz="6" w:space="0" w:color="auto"/>
              <w:left w:val="nil" w:sz="6" w:space="0" w:color="auto"/>
              <w:bottom w:val="single" w:sz="12" w:space="0" w:color="000000"/>
              <w:right w:val="nil" w:sz="6" w:space="0" w:color="auto"/>
            </w:tcBorders>
          </w:tcPr>
          <w:p>
            <w:pPr>
              <w:pStyle w:val="TableParagraph"/>
              <w:spacing w:line="240" w:lineRule="auto" w:before="8"/>
              <w:ind w:left="723" w:right="0"/>
              <w:jc w:val="left"/>
              <w:rPr>
                <w:rFonts w:ascii="宋体" w:hAnsi="宋体" w:cs="宋体" w:eastAsia="宋体" w:hint="default"/>
                <w:sz w:val="21"/>
                <w:szCs w:val="21"/>
              </w:rPr>
            </w:pPr>
            <w:r>
              <w:rPr>
                <w:rFonts w:ascii="宋体" w:hAnsi="宋体" w:cs="宋体" w:eastAsia="宋体" w:hint="default"/>
                <w:sz w:val="21"/>
                <w:szCs w:val="21"/>
              </w:rPr>
              <w:t>郎金文</w:t>
            </w:r>
          </w:p>
        </w:tc>
        <w:tc>
          <w:tcPr>
            <w:tcW w:w="4383" w:type="dxa"/>
            <w:tcBorders>
              <w:top w:val="nil" w:sz="6" w:space="0" w:color="auto"/>
              <w:left w:val="nil" w:sz="6" w:space="0" w:color="auto"/>
              <w:bottom w:val="single" w:sz="12" w:space="0" w:color="000000"/>
              <w:right w:val="nil" w:sz="6" w:space="0" w:color="auto"/>
            </w:tcBorders>
          </w:tcPr>
          <w:p>
            <w:pPr>
              <w:pStyle w:val="TableParagraph"/>
              <w:spacing w:line="240" w:lineRule="auto" w:before="15"/>
              <w:ind w:right="316"/>
              <w:jc w:val="right"/>
              <w:rPr>
                <w:rFonts w:ascii="Times New Roman" w:hAnsi="Times New Roman" w:cs="Times New Roman" w:eastAsia="Times New Roman" w:hint="default"/>
                <w:sz w:val="21"/>
                <w:szCs w:val="21"/>
              </w:rPr>
            </w:pPr>
            <w:r>
              <w:rPr>
                <w:rFonts w:ascii="Times New Roman"/>
                <w:spacing w:val="-1"/>
                <w:sz w:val="21"/>
              </w:rPr>
              <w:t>576</w:t>
            </w:r>
            <w:r>
              <w:rPr>
                <w:rFonts w:ascii="Times New Roman"/>
                <w:sz w:val="21"/>
              </w:rPr>
            </w:r>
          </w:p>
        </w:tc>
        <w:tc>
          <w:tcPr>
            <w:tcW w:w="2080" w:type="dxa"/>
            <w:tcBorders>
              <w:top w:val="nil" w:sz="6" w:space="0" w:color="auto"/>
              <w:left w:val="nil" w:sz="6" w:space="0" w:color="auto"/>
              <w:bottom w:val="single" w:sz="12" w:space="0" w:color="000000"/>
              <w:right w:val="nil" w:sz="6" w:space="0" w:color="auto"/>
            </w:tcBorders>
          </w:tcPr>
          <w:p>
            <w:pPr>
              <w:pStyle w:val="TableParagraph"/>
              <w:spacing w:line="240" w:lineRule="auto" w:before="15"/>
              <w:ind w:right="107"/>
              <w:jc w:val="right"/>
              <w:rPr>
                <w:rFonts w:ascii="Times New Roman" w:hAnsi="Times New Roman" w:cs="Times New Roman" w:eastAsia="Times New Roman" w:hint="default"/>
                <w:sz w:val="21"/>
                <w:szCs w:val="21"/>
              </w:rPr>
            </w:pPr>
            <w:r>
              <w:rPr>
                <w:rFonts w:ascii="Times New Roman"/>
                <w:spacing w:val="-1"/>
                <w:sz w:val="21"/>
              </w:rPr>
              <w:t>4.0359</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980" w:right="880"/>
        </w:sectPr>
      </w:pPr>
    </w:p>
    <w:p>
      <w:pPr>
        <w:spacing w:line="240" w:lineRule="auto" w:before="8"/>
        <w:rPr>
          <w:rFonts w:ascii="宋体" w:hAnsi="宋体" w:cs="宋体" w:eastAsia="宋体" w:hint="default"/>
          <w:sz w:val="25"/>
          <w:szCs w:val="25"/>
        </w:rPr>
      </w:pPr>
    </w:p>
    <w:tbl>
      <w:tblPr>
        <w:tblW w:w="0" w:type="auto"/>
        <w:jc w:val="left"/>
        <w:tblInd w:w="932" w:type="dxa"/>
        <w:tblLayout w:type="fixed"/>
        <w:tblCellMar>
          <w:top w:w="0" w:type="dxa"/>
          <w:left w:w="0" w:type="dxa"/>
          <w:bottom w:w="0" w:type="dxa"/>
          <w:right w:w="0" w:type="dxa"/>
        </w:tblCellMar>
        <w:tblLook w:val="01E0"/>
      </w:tblPr>
      <w:tblGrid>
        <w:gridCol w:w="4090"/>
        <w:gridCol w:w="3231"/>
        <w:gridCol w:w="1647"/>
      </w:tblGrid>
      <w:tr>
        <w:trPr>
          <w:trHeight w:val="378" w:hRule="exact"/>
        </w:trPr>
        <w:tc>
          <w:tcPr>
            <w:tcW w:w="4090" w:type="dxa"/>
            <w:tcBorders>
              <w:top w:val="single" w:sz="12" w:space="0" w:color="000000"/>
              <w:left w:val="nil" w:sz="6" w:space="0" w:color="auto"/>
              <w:bottom w:val="nil" w:sz="6" w:space="0" w:color="auto"/>
              <w:right w:val="nil" w:sz="6" w:space="0" w:color="auto"/>
            </w:tcBorders>
          </w:tcPr>
          <w:p>
            <w:pPr>
              <w:pStyle w:val="TableParagraph"/>
              <w:spacing w:line="240" w:lineRule="auto" w:before="27"/>
              <w:ind w:left="723" w:right="0"/>
              <w:jc w:val="left"/>
              <w:rPr>
                <w:rFonts w:ascii="宋体" w:hAnsi="宋体" w:cs="宋体" w:eastAsia="宋体" w:hint="default"/>
                <w:sz w:val="21"/>
                <w:szCs w:val="21"/>
              </w:rPr>
            </w:pPr>
            <w:r>
              <w:rPr>
                <w:rFonts w:ascii="宋体" w:hAnsi="宋体" w:cs="宋体" w:eastAsia="宋体" w:hint="default"/>
                <w:sz w:val="21"/>
                <w:szCs w:val="21"/>
              </w:rPr>
              <w:t>社会公众</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股股东</w:t>
            </w:r>
          </w:p>
        </w:tc>
        <w:tc>
          <w:tcPr>
            <w:tcW w:w="3231" w:type="dxa"/>
            <w:tcBorders>
              <w:top w:val="single" w:sz="12" w:space="0" w:color="000000"/>
              <w:left w:val="nil" w:sz="6" w:space="0" w:color="auto"/>
              <w:bottom w:val="nil" w:sz="6" w:space="0" w:color="auto"/>
              <w:right w:val="nil" w:sz="6" w:space="0" w:color="auto"/>
            </w:tcBorders>
          </w:tcPr>
          <w:p>
            <w:pPr>
              <w:pStyle w:val="TableParagraph"/>
              <w:spacing w:line="240" w:lineRule="auto" w:before="48"/>
              <w:ind w:right="748"/>
              <w:jc w:val="right"/>
              <w:rPr>
                <w:rFonts w:ascii="Times New Roman" w:hAnsi="Times New Roman" w:cs="Times New Roman" w:eastAsia="Times New Roman" w:hint="default"/>
                <w:sz w:val="21"/>
                <w:szCs w:val="21"/>
              </w:rPr>
            </w:pPr>
            <w:r>
              <w:rPr>
                <w:rFonts w:ascii="Times New Roman"/>
                <w:spacing w:val="-1"/>
                <w:sz w:val="21"/>
              </w:rPr>
              <w:t>5,475.20</w:t>
            </w:r>
          </w:p>
        </w:tc>
        <w:tc>
          <w:tcPr>
            <w:tcW w:w="1647" w:type="dxa"/>
            <w:tcBorders>
              <w:top w:val="single" w:sz="12" w:space="0" w:color="000000"/>
              <w:left w:val="nil" w:sz="6" w:space="0" w:color="auto"/>
              <w:bottom w:val="nil" w:sz="6" w:space="0" w:color="auto"/>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21"/>
                <w:szCs w:val="21"/>
              </w:rPr>
            </w:pPr>
            <w:r>
              <w:rPr>
                <w:rFonts w:ascii="Times New Roman"/>
                <w:spacing w:val="-1"/>
                <w:sz w:val="21"/>
              </w:rPr>
              <w:t>38.3631</w:t>
            </w:r>
          </w:p>
        </w:tc>
      </w:tr>
      <w:tr>
        <w:trPr>
          <w:trHeight w:val="342" w:hRule="exact"/>
        </w:trPr>
        <w:tc>
          <w:tcPr>
            <w:tcW w:w="4090" w:type="dxa"/>
            <w:tcBorders>
              <w:top w:val="nil" w:sz="6" w:space="0" w:color="auto"/>
              <w:left w:val="nil" w:sz="6" w:space="0" w:color="auto"/>
              <w:bottom w:val="single" w:sz="12" w:space="0" w:color="000000"/>
              <w:right w:val="nil" w:sz="6" w:space="0" w:color="auto"/>
            </w:tcBorders>
          </w:tcPr>
          <w:p>
            <w:pPr>
              <w:pStyle w:val="TableParagraph"/>
              <w:spacing w:line="240" w:lineRule="auto" w:before="15"/>
              <w:ind w:left="7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31" w:type="dxa"/>
            <w:tcBorders>
              <w:top w:val="nil" w:sz="6" w:space="0" w:color="auto"/>
              <w:left w:val="nil" w:sz="6" w:space="0" w:color="auto"/>
              <w:bottom w:val="single" w:sz="12" w:space="0" w:color="000000"/>
              <w:right w:val="nil" w:sz="6" w:space="0" w:color="auto"/>
            </w:tcBorders>
          </w:tcPr>
          <w:p>
            <w:pPr>
              <w:pStyle w:val="TableParagraph"/>
              <w:spacing w:line="240" w:lineRule="auto" w:before="22"/>
              <w:ind w:right="748"/>
              <w:jc w:val="right"/>
              <w:rPr>
                <w:rFonts w:ascii="Times New Roman" w:hAnsi="Times New Roman" w:cs="Times New Roman" w:eastAsia="Times New Roman" w:hint="default"/>
                <w:sz w:val="21"/>
                <w:szCs w:val="21"/>
              </w:rPr>
            </w:pPr>
            <w:r>
              <w:rPr>
                <w:rFonts w:ascii="Times New Roman"/>
                <w:spacing w:val="-1"/>
                <w:sz w:val="21"/>
              </w:rPr>
              <w:t>14,272.00</w:t>
            </w:r>
          </w:p>
        </w:tc>
        <w:tc>
          <w:tcPr>
            <w:tcW w:w="1647" w:type="dxa"/>
            <w:tcBorders>
              <w:top w:val="nil" w:sz="6" w:space="0" w:color="auto"/>
              <w:left w:val="nil" w:sz="6" w:space="0" w:color="auto"/>
              <w:bottom w:val="single" w:sz="12"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21"/>
                <w:szCs w:val="21"/>
              </w:rPr>
            </w:pPr>
            <w:r>
              <w:rPr>
                <w:rFonts w:ascii="Times New Roman"/>
                <w:spacing w:val="-1"/>
                <w:sz w:val="21"/>
              </w:rPr>
              <w:t>100.0000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before="0"/>
        <w:ind w:left="574" w:right="0"/>
        <w:jc w:val="left"/>
      </w:pPr>
      <w:r>
        <w:rPr/>
        <w:pict>
          <v:shape style="position:absolute;margin-left:94.199997pt;margin-top:-60.726452pt;width:450.818597pt;height:35.46pt;mso-position-horizontal-relative:page;mso-position-vertical-relative:paragraph;z-index:-1166560" type="#_x0000_t75" stroked="false">
            <v:imagedata r:id="rId57" o:title=""/>
          </v:shape>
        </w:pict>
      </w:r>
      <w:r>
        <w:rPr>
          <w:rFonts w:ascii="Times New Roman" w:hAnsi="Times New Roman" w:cs="Times New Roman" w:eastAsia="Times New Roman" w:hint="default"/>
        </w:rPr>
        <w:t>9</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年增资</w:t>
      </w:r>
    </w:p>
    <w:p>
      <w:pPr>
        <w:pStyle w:val="BodyText"/>
        <w:spacing w:line="240" w:lineRule="auto" w:before="110"/>
        <w:ind w:left="574" w:right="0"/>
        <w:jc w:val="left"/>
      </w:pPr>
      <w:r>
        <w:rPr/>
        <w:t>（</w:t>
      </w:r>
      <w:r>
        <w:rPr>
          <w:rFonts w:ascii="Times New Roman" w:hAnsi="Times New Roman" w:cs="Times New Roman" w:eastAsia="Times New Roman" w:hint="default"/>
        </w:rPr>
        <w:t>1</w:t>
      </w:r>
      <w:r>
        <w:rPr/>
        <w:t>）</w:t>
      </w:r>
      <w:r>
        <w:rPr>
          <w:spacing w:val="-3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spacing w:val="-4"/>
        </w:rPr>
        <w:t>日，根据贵公司</w:t>
      </w:r>
      <w:r>
        <w:rPr>
          <w:spacing w:val="-5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年年度股东会决议及修改后章程的规定，公司申请增加注</w:t>
      </w:r>
    </w:p>
    <w:p>
      <w:pPr>
        <w:pStyle w:val="BodyText"/>
        <w:spacing w:line="240" w:lineRule="auto" w:before="109"/>
        <w:ind w:right="0"/>
        <w:jc w:val="left"/>
      </w:pPr>
      <w:r>
        <w:rPr/>
        <w:t>册资本人民币</w:t>
      </w:r>
      <w:r>
        <w:rPr>
          <w:spacing w:val="-59"/>
        </w:rPr>
        <w:t> </w:t>
      </w:r>
      <w:r>
        <w:rPr>
          <w:rFonts w:ascii="Times New Roman" w:hAnsi="Times New Roman" w:cs="Times New Roman" w:eastAsia="Times New Roman" w:hint="default"/>
        </w:rPr>
        <w:t>14,272.00</w:t>
      </w:r>
      <w:r>
        <w:rPr>
          <w:rFonts w:ascii="Times New Roman" w:hAnsi="Times New Roman" w:cs="Times New Roman" w:eastAsia="Times New Roman" w:hint="default"/>
          <w:spacing w:val="-7"/>
        </w:rPr>
        <w:t> </w:t>
      </w:r>
      <w:r>
        <w:rPr/>
        <w:t>万元，公司按每</w:t>
      </w:r>
      <w:r>
        <w:rPr>
          <w:spacing w:val="-59"/>
        </w:rPr>
        <w:t> </w:t>
      </w:r>
      <w:r>
        <w:rPr>
          <w:rFonts w:ascii="Times New Roman" w:hAnsi="Times New Roman" w:cs="Times New Roman" w:eastAsia="Times New Roman" w:hint="default"/>
        </w:rPr>
        <w:t>10.00</w:t>
      </w:r>
      <w:r>
        <w:rPr>
          <w:rFonts w:ascii="Times New Roman" w:hAnsi="Times New Roman" w:cs="Times New Roman" w:eastAsia="Times New Roman" w:hint="default"/>
          <w:spacing w:val="-6"/>
        </w:rPr>
        <w:t> </w:t>
      </w:r>
      <w:r>
        <w:rPr/>
        <w:t>股转增</w:t>
      </w:r>
      <w:r>
        <w:rPr>
          <w:spacing w:val="-59"/>
        </w:rPr>
        <w:t> </w:t>
      </w:r>
      <w:r>
        <w:rPr>
          <w:rFonts w:ascii="Times New Roman" w:hAnsi="Times New Roman" w:cs="Times New Roman" w:eastAsia="Times New Roman" w:hint="default"/>
        </w:rPr>
        <w:t>10.00</w:t>
      </w:r>
      <w:r>
        <w:rPr>
          <w:rFonts w:ascii="Times New Roman" w:hAnsi="Times New Roman" w:cs="Times New Roman" w:eastAsia="Times New Roman" w:hint="default"/>
          <w:spacing w:val="-6"/>
        </w:rPr>
        <w:t> </w:t>
      </w:r>
      <w:r>
        <w:rPr/>
        <w:t>股的比例，以资本公积向全体股东转增股份总</w:t>
      </w:r>
    </w:p>
    <w:p>
      <w:pPr>
        <w:pStyle w:val="BodyText"/>
        <w:spacing w:line="240" w:lineRule="auto" w:before="109"/>
        <w:ind w:right="0"/>
        <w:jc w:val="left"/>
        <w:rPr>
          <w:rFonts w:ascii="Times New Roman" w:hAnsi="Times New Roman" w:cs="Times New Roman" w:eastAsia="Times New Roman" w:hint="default"/>
        </w:rPr>
      </w:pPr>
      <w:r>
        <w:rPr/>
        <w:t>额</w:t>
      </w:r>
      <w:r>
        <w:rPr>
          <w:spacing w:val="-36"/>
        </w:rPr>
        <w:t> </w:t>
      </w:r>
      <w:r>
        <w:rPr>
          <w:rFonts w:ascii="Times New Roman" w:hAnsi="Times New Roman" w:cs="Times New Roman" w:eastAsia="Times New Roman" w:hint="default"/>
        </w:rPr>
        <w:t>14,272.00</w:t>
      </w:r>
      <w:r>
        <w:rPr>
          <w:rFonts w:ascii="Times New Roman" w:hAnsi="Times New Roman" w:cs="Times New Roman" w:eastAsia="Times New Roman" w:hint="default"/>
          <w:spacing w:val="15"/>
        </w:rPr>
        <w:t> </w:t>
      </w:r>
      <w:r>
        <w:rPr/>
        <w:t>万股，每股面值</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17"/>
        </w:rPr>
        <w:t> </w:t>
      </w:r>
      <w:r>
        <w:rPr/>
        <w:t>元，共计增加股本</w:t>
      </w:r>
      <w:r>
        <w:rPr>
          <w:spacing w:val="-36"/>
        </w:rPr>
        <w:t> </w:t>
      </w:r>
      <w:r>
        <w:rPr>
          <w:rFonts w:ascii="Times New Roman" w:hAnsi="Times New Roman" w:cs="Times New Roman" w:eastAsia="Times New Roman" w:hint="default"/>
        </w:rPr>
        <w:t>14,272.00</w:t>
      </w:r>
      <w:r>
        <w:rPr>
          <w:rFonts w:ascii="Times New Roman" w:hAnsi="Times New Roman" w:cs="Times New Roman" w:eastAsia="Times New Roman" w:hint="default"/>
          <w:spacing w:val="15"/>
        </w:rPr>
        <w:t> </w:t>
      </w:r>
      <w:r>
        <w:rPr/>
        <w:t>万元，变更后的注册资本为人民币</w:t>
      </w:r>
      <w:r>
        <w:rPr>
          <w:spacing w:val="-36"/>
        </w:rPr>
        <w:t> </w:t>
      </w:r>
      <w:r>
        <w:rPr>
          <w:rFonts w:ascii="Times New Roman" w:hAnsi="Times New Roman" w:cs="Times New Roman" w:eastAsia="Times New Roman" w:hint="default"/>
        </w:rPr>
        <w:t>28,544.00</w:t>
      </w:r>
    </w:p>
    <w:p>
      <w:pPr>
        <w:pStyle w:val="BodyText"/>
        <w:spacing w:line="328" w:lineRule="auto" w:before="110"/>
        <w:ind w:right="132"/>
        <w:jc w:val="left"/>
      </w:pPr>
      <w:r>
        <w:rPr/>
        <w:t>万元，已经立信会计师事务所（特殊普通合伙）审验，并出具信会师报字【</w:t>
      </w:r>
      <w:r>
        <w:rPr>
          <w:rFonts w:ascii="Times New Roman" w:hAnsi="Times New Roman" w:cs="Times New Roman" w:eastAsia="Times New Roman" w:hint="default"/>
        </w:rPr>
        <w:t>2015</w:t>
      </w:r>
      <w:r>
        <w:rPr/>
        <w:t>】第</w:t>
      </w:r>
      <w:r>
        <w:rPr>
          <w:spacing w:val="-66"/>
        </w:rPr>
        <w:t> </w:t>
      </w:r>
      <w:r>
        <w:rPr>
          <w:rFonts w:ascii="Times New Roman" w:hAnsi="Times New Roman" w:cs="Times New Roman" w:eastAsia="Times New Roman" w:hint="default"/>
        </w:rPr>
        <w:t>710636</w:t>
      </w:r>
      <w:r>
        <w:rPr>
          <w:rFonts w:ascii="Times New Roman" w:hAnsi="Times New Roman" w:cs="Times New Roman" w:eastAsia="Times New Roman" w:hint="default"/>
          <w:spacing w:val="-14"/>
        </w:rPr>
        <w:t> </w:t>
      </w:r>
      <w:r>
        <w:rPr/>
        <w:t>号验资报告。 经变更后，各股东认缴注册资本额和出资比例为：</w:t>
      </w:r>
    </w:p>
    <w:p>
      <w:pPr>
        <w:spacing w:line="240" w:lineRule="auto" w:before="8"/>
        <w:rPr>
          <w:rFonts w:ascii="宋体" w:hAnsi="宋体" w:cs="宋体" w:eastAsia="宋体" w:hint="default"/>
          <w:sz w:val="29"/>
          <w:szCs w:val="29"/>
        </w:rPr>
      </w:pPr>
    </w:p>
    <w:tbl>
      <w:tblPr>
        <w:tblW w:w="0" w:type="auto"/>
        <w:jc w:val="left"/>
        <w:tblInd w:w="932" w:type="dxa"/>
        <w:tblLayout w:type="fixed"/>
        <w:tblCellMar>
          <w:top w:w="0" w:type="dxa"/>
          <w:left w:w="0" w:type="dxa"/>
          <w:bottom w:w="0" w:type="dxa"/>
          <w:right w:w="0" w:type="dxa"/>
        </w:tblCellMar>
        <w:tblLook w:val="01E0"/>
      </w:tblPr>
      <w:tblGrid>
        <w:gridCol w:w="3052"/>
        <w:gridCol w:w="3835"/>
        <w:gridCol w:w="2080"/>
      </w:tblGrid>
      <w:tr>
        <w:trPr>
          <w:trHeight w:val="392" w:hRule="exact"/>
        </w:trPr>
        <w:tc>
          <w:tcPr>
            <w:tcW w:w="3052" w:type="dxa"/>
            <w:tcBorders>
              <w:top w:val="single" w:sz="12" w:space="0" w:color="000000"/>
              <w:left w:val="nil" w:sz="6" w:space="0" w:color="auto"/>
              <w:bottom w:val="nil" w:sz="6" w:space="0" w:color="auto"/>
              <w:right w:val="nil" w:sz="6" w:space="0" w:color="auto"/>
            </w:tcBorders>
          </w:tcPr>
          <w:p>
            <w:pPr>
              <w:pStyle w:val="TableParagraph"/>
              <w:spacing w:line="240" w:lineRule="auto" w:before="27"/>
              <w:ind w:left="723" w:right="0"/>
              <w:jc w:val="left"/>
              <w:rPr>
                <w:rFonts w:ascii="宋体" w:hAnsi="宋体" w:cs="宋体" w:eastAsia="宋体" w:hint="default"/>
                <w:sz w:val="21"/>
                <w:szCs w:val="21"/>
              </w:rPr>
            </w:pPr>
            <w:r>
              <w:rPr>
                <w:rFonts w:ascii="宋体" w:hAnsi="宋体" w:cs="宋体" w:eastAsia="宋体" w:hint="default"/>
                <w:sz w:val="21"/>
                <w:szCs w:val="21"/>
              </w:rPr>
              <w:t>投资方</w:t>
            </w:r>
          </w:p>
        </w:tc>
        <w:tc>
          <w:tcPr>
            <w:tcW w:w="3835" w:type="dxa"/>
            <w:tcBorders>
              <w:top w:val="single" w:sz="12" w:space="0" w:color="000000"/>
              <w:left w:val="nil" w:sz="6" w:space="0" w:color="auto"/>
              <w:bottom w:val="nil" w:sz="6" w:space="0" w:color="auto"/>
              <w:right w:val="nil" w:sz="6" w:space="0" w:color="auto"/>
            </w:tcBorders>
          </w:tcPr>
          <w:p>
            <w:pPr>
              <w:pStyle w:val="TableParagraph"/>
              <w:spacing w:line="240" w:lineRule="auto" w:before="27"/>
              <w:ind w:left="601" w:right="0"/>
              <w:jc w:val="left"/>
              <w:rPr>
                <w:rFonts w:ascii="宋体" w:hAnsi="宋体" w:cs="宋体" w:eastAsia="宋体" w:hint="default"/>
                <w:sz w:val="21"/>
                <w:szCs w:val="21"/>
              </w:rPr>
            </w:pPr>
            <w:r>
              <w:rPr>
                <w:rFonts w:ascii="宋体" w:hAnsi="宋体" w:cs="宋体" w:eastAsia="宋体" w:hint="default"/>
                <w:sz w:val="21"/>
                <w:szCs w:val="21"/>
              </w:rPr>
              <w:t>认缴注册资本额（万元）</w:t>
            </w:r>
          </w:p>
        </w:tc>
        <w:tc>
          <w:tcPr>
            <w:tcW w:w="2080" w:type="dxa"/>
            <w:tcBorders>
              <w:top w:val="single" w:sz="12" w:space="0" w:color="000000"/>
              <w:left w:val="nil" w:sz="6" w:space="0" w:color="auto"/>
              <w:bottom w:val="nil" w:sz="6" w:space="0" w:color="auto"/>
              <w:right w:val="nil" w:sz="6" w:space="0" w:color="auto"/>
            </w:tcBorders>
          </w:tcPr>
          <w:p>
            <w:pPr>
              <w:pStyle w:val="TableParagraph"/>
              <w:spacing w:line="240" w:lineRule="auto" w:before="27"/>
              <w:ind w:left="317" w:right="0"/>
              <w:jc w:val="left"/>
              <w:rPr>
                <w:rFonts w:ascii="宋体" w:hAnsi="宋体" w:cs="宋体" w:eastAsia="宋体" w:hint="default"/>
                <w:sz w:val="21"/>
                <w:szCs w:val="21"/>
              </w:rPr>
            </w:pPr>
            <w:r>
              <w:rPr>
                <w:rFonts w:ascii="宋体" w:hAnsi="宋体" w:cs="宋体" w:eastAsia="宋体" w:hint="default"/>
                <w:sz w:val="21"/>
                <w:szCs w:val="21"/>
              </w:rPr>
              <w:t>出资比例（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0" w:hRule="exact"/>
        </w:trPr>
        <w:tc>
          <w:tcPr>
            <w:tcW w:w="3052"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杨维国</w:t>
            </w:r>
          </w:p>
        </w:tc>
        <w:tc>
          <w:tcPr>
            <w:tcW w:w="383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15"/>
              <w:jc w:val="right"/>
              <w:rPr>
                <w:rFonts w:ascii="Times New Roman" w:hAnsi="Times New Roman" w:cs="Times New Roman" w:eastAsia="Times New Roman" w:hint="default"/>
                <w:sz w:val="21"/>
                <w:szCs w:val="21"/>
              </w:rPr>
            </w:pPr>
            <w:r>
              <w:rPr>
                <w:rFonts w:ascii="Times New Roman"/>
                <w:spacing w:val="-1"/>
                <w:sz w:val="21"/>
              </w:rPr>
              <w:t>6,784.00</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1"/>
                <w:szCs w:val="21"/>
              </w:rPr>
            </w:pPr>
            <w:r>
              <w:rPr>
                <w:rFonts w:ascii="Times New Roman"/>
                <w:spacing w:val="-1"/>
                <w:sz w:val="21"/>
              </w:rPr>
              <w:t>23.7668</w:t>
            </w:r>
          </w:p>
        </w:tc>
      </w:tr>
      <w:tr>
        <w:trPr>
          <w:trHeight w:val="350" w:hRule="exact"/>
        </w:trPr>
        <w:tc>
          <w:tcPr>
            <w:tcW w:w="3052"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尚卫国</w:t>
            </w:r>
          </w:p>
        </w:tc>
        <w:tc>
          <w:tcPr>
            <w:tcW w:w="383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17"/>
              <w:jc w:val="right"/>
              <w:rPr>
                <w:rFonts w:ascii="Times New Roman" w:hAnsi="Times New Roman" w:cs="Times New Roman" w:eastAsia="Times New Roman" w:hint="default"/>
                <w:sz w:val="21"/>
                <w:szCs w:val="21"/>
              </w:rPr>
            </w:pPr>
            <w:r>
              <w:rPr>
                <w:rFonts w:ascii="Times New Roman"/>
                <w:spacing w:val="-1"/>
                <w:sz w:val="21"/>
              </w:rPr>
              <w:t>1,398.72</w:t>
            </w:r>
            <w:r>
              <w:rPr>
                <w:rFonts w:ascii="Times New Roman"/>
                <w:sz w:val="21"/>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21"/>
                <w:szCs w:val="21"/>
              </w:rPr>
            </w:pPr>
            <w:r>
              <w:rPr>
                <w:rFonts w:ascii="Times New Roman"/>
                <w:spacing w:val="-1"/>
                <w:sz w:val="21"/>
              </w:rPr>
              <w:t>4.9002</w:t>
            </w:r>
            <w:r>
              <w:rPr>
                <w:rFonts w:ascii="Times New Roman"/>
                <w:sz w:val="21"/>
              </w:rPr>
            </w:r>
          </w:p>
        </w:tc>
      </w:tr>
      <w:tr>
        <w:trPr>
          <w:trHeight w:val="350" w:hRule="exact"/>
        </w:trPr>
        <w:tc>
          <w:tcPr>
            <w:tcW w:w="3052"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付秋生</w:t>
            </w:r>
          </w:p>
        </w:tc>
        <w:tc>
          <w:tcPr>
            <w:tcW w:w="383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17"/>
              <w:jc w:val="right"/>
              <w:rPr>
                <w:rFonts w:ascii="Times New Roman" w:hAnsi="Times New Roman" w:cs="Times New Roman" w:eastAsia="Times New Roman" w:hint="default"/>
                <w:sz w:val="21"/>
                <w:szCs w:val="21"/>
              </w:rPr>
            </w:pPr>
            <w:r>
              <w:rPr>
                <w:rFonts w:ascii="Times New Roman"/>
                <w:spacing w:val="-1"/>
                <w:sz w:val="21"/>
              </w:rPr>
              <w:t>1,346.88</w:t>
            </w:r>
            <w:r>
              <w:rPr>
                <w:rFonts w:ascii="Times New Roman"/>
                <w:sz w:val="21"/>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21"/>
                <w:szCs w:val="21"/>
              </w:rPr>
            </w:pPr>
            <w:r>
              <w:rPr>
                <w:rFonts w:ascii="Times New Roman"/>
                <w:spacing w:val="-1"/>
                <w:sz w:val="21"/>
              </w:rPr>
              <w:t>4.7186</w:t>
            </w:r>
            <w:r>
              <w:rPr>
                <w:rFonts w:ascii="Times New Roman"/>
                <w:sz w:val="21"/>
              </w:rPr>
            </w:r>
          </w:p>
        </w:tc>
      </w:tr>
      <w:tr>
        <w:trPr>
          <w:trHeight w:val="350" w:hRule="exact"/>
        </w:trPr>
        <w:tc>
          <w:tcPr>
            <w:tcW w:w="3052"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赵利宾</w:t>
            </w:r>
          </w:p>
        </w:tc>
        <w:tc>
          <w:tcPr>
            <w:tcW w:w="383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17"/>
              <w:jc w:val="right"/>
              <w:rPr>
                <w:rFonts w:ascii="Times New Roman" w:hAnsi="Times New Roman" w:cs="Times New Roman" w:eastAsia="Times New Roman" w:hint="default"/>
                <w:sz w:val="21"/>
                <w:szCs w:val="21"/>
              </w:rPr>
            </w:pPr>
            <w:r>
              <w:rPr>
                <w:rFonts w:ascii="Times New Roman"/>
                <w:spacing w:val="-1"/>
                <w:sz w:val="21"/>
              </w:rPr>
              <w:t>1,152.00</w:t>
            </w:r>
            <w:r>
              <w:rPr>
                <w:rFonts w:ascii="Times New Roman"/>
                <w:sz w:val="21"/>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21"/>
                <w:szCs w:val="21"/>
              </w:rPr>
            </w:pPr>
            <w:r>
              <w:rPr>
                <w:rFonts w:ascii="Times New Roman"/>
                <w:spacing w:val="-1"/>
                <w:sz w:val="21"/>
              </w:rPr>
              <w:t>4.0359</w:t>
            </w:r>
            <w:r>
              <w:rPr>
                <w:rFonts w:ascii="Times New Roman"/>
                <w:sz w:val="21"/>
              </w:rPr>
            </w:r>
          </w:p>
        </w:tc>
      </w:tr>
      <w:tr>
        <w:trPr>
          <w:trHeight w:val="350" w:hRule="exact"/>
        </w:trPr>
        <w:tc>
          <w:tcPr>
            <w:tcW w:w="3052"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华梦阳</w:t>
            </w:r>
          </w:p>
        </w:tc>
        <w:tc>
          <w:tcPr>
            <w:tcW w:w="383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17"/>
              <w:jc w:val="right"/>
              <w:rPr>
                <w:rFonts w:ascii="Times New Roman" w:hAnsi="Times New Roman" w:cs="Times New Roman" w:eastAsia="Times New Roman" w:hint="default"/>
                <w:sz w:val="21"/>
                <w:szCs w:val="21"/>
              </w:rPr>
            </w:pPr>
            <w:r>
              <w:rPr>
                <w:rFonts w:ascii="Times New Roman"/>
                <w:spacing w:val="-1"/>
                <w:sz w:val="21"/>
              </w:rPr>
              <w:t>1,152.00</w:t>
            </w:r>
            <w:r>
              <w:rPr>
                <w:rFonts w:ascii="Times New Roman"/>
                <w:sz w:val="21"/>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21"/>
                <w:szCs w:val="21"/>
              </w:rPr>
            </w:pPr>
            <w:r>
              <w:rPr>
                <w:rFonts w:ascii="Times New Roman"/>
                <w:spacing w:val="-1"/>
                <w:sz w:val="21"/>
              </w:rPr>
              <w:t>4.0359</w:t>
            </w:r>
            <w:r>
              <w:rPr>
                <w:rFonts w:ascii="Times New Roman"/>
                <w:sz w:val="21"/>
              </w:rPr>
            </w:r>
          </w:p>
        </w:tc>
      </w:tr>
      <w:tr>
        <w:trPr>
          <w:trHeight w:val="350" w:hRule="exact"/>
        </w:trPr>
        <w:tc>
          <w:tcPr>
            <w:tcW w:w="3052"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傅常顺</w:t>
            </w:r>
          </w:p>
        </w:tc>
        <w:tc>
          <w:tcPr>
            <w:tcW w:w="383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17"/>
              <w:jc w:val="right"/>
              <w:rPr>
                <w:rFonts w:ascii="Times New Roman" w:hAnsi="Times New Roman" w:cs="Times New Roman" w:eastAsia="Times New Roman" w:hint="default"/>
                <w:sz w:val="21"/>
                <w:szCs w:val="21"/>
              </w:rPr>
            </w:pPr>
            <w:r>
              <w:rPr>
                <w:rFonts w:ascii="Times New Roman"/>
                <w:spacing w:val="-1"/>
                <w:sz w:val="21"/>
              </w:rPr>
              <w:t>1,152.00</w:t>
            </w:r>
            <w:r>
              <w:rPr>
                <w:rFonts w:ascii="Times New Roman"/>
                <w:sz w:val="21"/>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21"/>
                <w:szCs w:val="21"/>
              </w:rPr>
            </w:pPr>
            <w:r>
              <w:rPr>
                <w:rFonts w:ascii="Times New Roman"/>
                <w:spacing w:val="-1"/>
                <w:sz w:val="21"/>
              </w:rPr>
              <w:t>4.0359</w:t>
            </w:r>
            <w:r>
              <w:rPr>
                <w:rFonts w:ascii="Times New Roman"/>
                <w:sz w:val="21"/>
              </w:rPr>
            </w:r>
          </w:p>
        </w:tc>
      </w:tr>
      <w:tr>
        <w:trPr>
          <w:trHeight w:val="350" w:hRule="exact"/>
        </w:trPr>
        <w:tc>
          <w:tcPr>
            <w:tcW w:w="3052"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郎金文</w:t>
            </w:r>
          </w:p>
        </w:tc>
        <w:tc>
          <w:tcPr>
            <w:tcW w:w="383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17"/>
              <w:jc w:val="right"/>
              <w:rPr>
                <w:rFonts w:ascii="Times New Roman" w:hAnsi="Times New Roman" w:cs="Times New Roman" w:eastAsia="Times New Roman" w:hint="default"/>
                <w:sz w:val="21"/>
                <w:szCs w:val="21"/>
              </w:rPr>
            </w:pPr>
            <w:r>
              <w:rPr>
                <w:rFonts w:ascii="Times New Roman"/>
                <w:spacing w:val="-1"/>
                <w:sz w:val="21"/>
              </w:rPr>
              <w:t>1,092.00</w:t>
            </w:r>
            <w:r>
              <w:rPr>
                <w:rFonts w:ascii="Times New Roman"/>
                <w:sz w:val="21"/>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21"/>
                <w:szCs w:val="21"/>
              </w:rPr>
            </w:pPr>
            <w:r>
              <w:rPr>
                <w:rFonts w:ascii="Times New Roman"/>
                <w:spacing w:val="-1"/>
                <w:sz w:val="21"/>
              </w:rPr>
              <w:t>3.8257</w:t>
            </w:r>
            <w:r>
              <w:rPr>
                <w:rFonts w:ascii="Times New Roman"/>
                <w:sz w:val="21"/>
              </w:rPr>
            </w:r>
          </w:p>
        </w:tc>
      </w:tr>
      <w:tr>
        <w:trPr>
          <w:trHeight w:val="350" w:hRule="exact"/>
        </w:trPr>
        <w:tc>
          <w:tcPr>
            <w:tcW w:w="3052"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杜建平</w:t>
            </w:r>
          </w:p>
        </w:tc>
        <w:tc>
          <w:tcPr>
            <w:tcW w:w="383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17"/>
              <w:jc w:val="right"/>
              <w:rPr>
                <w:rFonts w:ascii="Times New Roman" w:hAnsi="Times New Roman" w:cs="Times New Roman" w:eastAsia="Times New Roman" w:hint="default"/>
                <w:sz w:val="21"/>
                <w:szCs w:val="21"/>
              </w:rPr>
            </w:pPr>
            <w:r>
              <w:rPr>
                <w:rFonts w:ascii="Times New Roman"/>
                <w:spacing w:val="-1"/>
                <w:sz w:val="21"/>
              </w:rPr>
              <w:t>1,152.00</w:t>
            </w:r>
            <w:r>
              <w:rPr>
                <w:rFonts w:ascii="Times New Roman"/>
                <w:sz w:val="21"/>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21"/>
                <w:szCs w:val="21"/>
              </w:rPr>
            </w:pPr>
            <w:r>
              <w:rPr>
                <w:rFonts w:ascii="Times New Roman"/>
                <w:spacing w:val="-1"/>
                <w:sz w:val="21"/>
              </w:rPr>
              <w:t>4.0359</w:t>
            </w:r>
            <w:r>
              <w:rPr>
                <w:rFonts w:ascii="Times New Roman"/>
                <w:sz w:val="21"/>
              </w:rPr>
            </w:r>
          </w:p>
        </w:tc>
      </w:tr>
      <w:tr>
        <w:trPr>
          <w:trHeight w:val="350" w:hRule="exact"/>
        </w:trPr>
        <w:tc>
          <w:tcPr>
            <w:tcW w:w="3052"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葛晓阁</w:t>
            </w:r>
          </w:p>
        </w:tc>
        <w:tc>
          <w:tcPr>
            <w:tcW w:w="383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17"/>
              <w:jc w:val="right"/>
              <w:rPr>
                <w:rFonts w:ascii="Times New Roman" w:hAnsi="Times New Roman" w:cs="Times New Roman" w:eastAsia="Times New Roman" w:hint="default"/>
                <w:sz w:val="21"/>
                <w:szCs w:val="21"/>
              </w:rPr>
            </w:pPr>
            <w:r>
              <w:rPr>
                <w:rFonts w:ascii="Times New Roman"/>
                <w:spacing w:val="-1"/>
                <w:sz w:val="21"/>
              </w:rPr>
              <w:t>1,152.00</w:t>
            </w:r>
            <w:r>
              <w:rPr>
                <w:rFonts w:ascii="Times New Roman"/>
                <w:sz w:val="21"/>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21"/>
                <w:szCs w:val="21"/>
              </w:rPr>
            </w:pPr>
            <w:r>
              <w:rPr>
                <w:rFonts w:ascii="Times New Roman"/>
                <w:spacing w:val="-1"/>
                <w:sz w:val="21"/>
              </w:rPr>
              <w:t>4.0359</w:t>
            </w:r>
            <w:r>
              <w:rPr>
                <w:rFonts w:ascii="Times New Roman"/>
                <w:sz w:val="21"/>
              </w:rPr>
            </w:r>
          </w:p>
        </w:tc>
      </w:tr>
      <w:tr>
        <w:trPr>
          <w:trHeight w:val="350" w:hRule="exact"/>
        </w:trPr>
        <w:tc>
          <w:tcPr>
            <w:tcW w:w="3052"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刘恩臣</w:t>
            </w:r>
          </w:p>
        </w:tc>
        <w:tc>
          <w:tcPr>
            <w:tcW w:w="383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17"/>
              <w:jc w:val="right"/>
              <w:rPr>
                <w:rFonts w:ascii="Times New Roman" w:hAnsi="Times New Roman" w:cs="Times New Roman" w:eastAsia="Times New Roman" w:hint="default"/>
                <w:sz w:val="21"/>
                <w:szCs w:val="21"/>
              </w:rPr>
            </w:pPr>
            <w:r>
              <w:rPr>
                <w:rFonts w:ascii="Times New Roman"/>
                <w:spacing w:val="-1"/>
                <w:sz w:val="21"/>
              </w:rPr>
              <w:t>1,082.00</w:t>
            </w:r>
            <w:r>
              <w:rPr>
                <w:rFonts w:ascii="Times New Roman"/>
                <w:sz w:val="21"/>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21"/>
                <w:szCs w:val="21"/>
              </w:rPr>
            </w:pPr>
            <w:r>
              <w:rPr>
                <w:rFonts w:ascii="Times New Roman"/>
                <w:spacing w:val="-1"/>
                <w:sz w:val="21"/>
              </w:rPr>
              <w:t>3.7906</w:t>
            </w:r>
            <w:r>
              <w:rPr>
                <w:rFonts w:ascii="Times New Roman"/>
                <w:sz w:val="21"/>
              </w:rPr>
            </w:r>
          </w:p>
        </w:tc>
      </w:tr>
      <w:tr>
        <w:trPr>
          <w:trHeight w:val="349" w:hRule="exact"/>
        </w:trPr>
        <w:tc>
          <w:tcPr>
            <w:tcW w:w="3052" w:type="dxa"/>
            <w:tcBorders>
              <w:top w:val="nil" w:sz="6" w:space="0" w:color="auto"/>
              <w:left w:val="nil" w:sz="6" w:space="0" w:color="auto"/>
              <w:bottom w:val="nil" w:sz="6" w:space="0" w:color="auto"/>
              <w:right w:val="nil" w:sz="6" w:space="0" w:color="auto"/>
            </w:tcBorders>
          </w:tcPr>
          <w:p>
            <w:pPr>
              <w:pStyle w:val="TableParagraph"/>
              <w:spacing w:line="290" w:lineRule="exact"/>
              <w:ind w:left="723" w:right="0"/>
              <w:jc w:val="left"/>
              <w:rPr>
                <w:rFonts w:ascii="宋体" w:hAnsi="宋体" w:cs="宋体" w:eastAsia="宋体" w:hint="default"/>
                <w:sz w:val="21"/>
                <w:szCs w:val="21"/>
              </w:rPr>
            </w:pPr>
            <w:r>
              <w:rPr>
                <w:rFonts w:ascii="宋体" w:hAnsi="宋体" w:cs="宋体" w:eastAsia="宋体" w:hint="default"/>
                <w:sz w:val="21"/>
                <w:szCs w:val="21"/>
              </w:rPr>
              <w:t>社会公众</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股股东</w:t>
            </w:r>
          </w:p>
        </w:tc>
        <w:tc>
          <w:tcPr>
            <w:tcW w:w="383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15"/>
              <w:jc w:val="right"/>
              <w:rPr>
                <w:rFonts w:ascii="Times New Roman" w:hAnsi="Times New Roman" w:cs="Times New Roman" w:eastAsia="Times New Roman" w:hint="default"/>
                <w:sz w:val="21"/>
                <w:szCs w:val="21"/>
              </w:rPr>
            </w:pPr>
            <w:r>
              <w:rPr>
                <w:rFonts w:ascii="Times New Roman"/>
                <w:spacing w:val="-2"/>
                <w:sz w:val="21"/>
              </w:rPr>
              <w:t>11,080.40</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21"/>
                <w:szCs w:val="21"/>
              </w:rPr>
            </w:pPr>
            <w:r>
              <w:rPr>
                <w:rFonts w:ascii="Times New Roman"/>
                <w:spacing w:val="-1"/>
                <w:sz w:val="21"/>
              </w:rPr>
              <w:t>38.8186</w:t>
            </w:r>
          </w:p>
        </w:tc>
      </w:tr>
      <w:tr>
        <w:trPr>
          <w:trHeight w:val="329" w:hRule="exact"/>
        </w:trPr>
        <w:tc>
          <w:tcPr>
            <w:tcW w:w="3052"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left="7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835"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right="315"/>
              <w:jc w:val="right"/>
              <w:rPr>
                <w:rFonts w:ascii="Times New Roman" w:hAnsi="Times New Roman" w:cs="Times New Roman" w:eastAsia="Times New Roman" w:hint="default"/>
                <w:sz w:val="21"/>
                <w:szCs w:val="21"/>
              </w:rPr>
            </w:pPr>
            <w:r>
              <w:rPr>
                <w:rFonts w:ascii="Times New Roman"/>
                <w:spacing w:val="-1"/>
                <w:sz w:val="21"/>
              </w:rPr>
              <w:t>28,544.00</w:t>
            </w:r>
          </w:p>
        </w:tc>
        <w:tc>
          <w:tcPr>
            <w:tcW w:w="2080" w:type="dxa"/>
            <w:tcBorders>
              <w:top w:val="nil" w:sz="6" w:space="0" w:color="auto"/>
              <w:left w:val="nil" w:sz="6" w:space="0" w:color="auto"/>
              <w:bottom w:val="single" w:sz="12" w:space="0" w:color="000000"/>
              <w:right w:val="nil" w:sz="6" w:space="0" w:color="auto"/>
            </w:tcBorders>
          </w:tcPr>
          <w:p>
            <w:pPr>
              <w:pStyle w:val="TableParagraph"/>
              <w:spacing w:line="240" w:lineRule="auto" w:before="36"/>
              <w:ind w:right="106"/>
              <w:jc w:val="right"/>
              <w:rPr>
                <w:rFonts w:ascii="Times New Roman" w:hAnsi="Times New Roman" w:cs="Times New Roman" w:eastAsia="Times New Roman" w:hint="default"/>
                <w:sz w:val="21"/>
                <w:szCs w:val="21"/>
              </w:rPr>
            </w:pPr>
            <w:r>
              <w:rPr>
                <w:rFonts w:ascii="Times New Roman"/>
                <w:spacing w:val="-1"/>
                <w:sz w:val="21"/>
              </w:rPr>
              <w:t>100.0000</w:t>
            </w:r>
          </w:p>
        </w:tc>
      </w:tr>
    </w:tbl>
    <w:p>
      <w:pPr>
        <w:pStyle w:val="BodyText"/>
        <w:spacing w:line="338" w:lineRule="auto" w:before="60"/>
        <w:ind w:left="153" w:right="144" w:firstLine="420"/>
        <w:jc w:val="left"/>
      </w:pPr>
      <w:r>
        <w:rPr/>
        <w:pict>
          <v:group style="position:absolute;margin-left:94.199997pt;margin-top:-230.226044pt;width:451.2pt;height:228pt;mso-position-horizontal-relative:page;mso-position-vertical-relative:paragraph;z-index:-1166536" coordorigin="1884,-4605" coordsize="9024,4560">
            <v:shape style="position:absolute;left:5434;top:-4605;width:3180;height:379" type="#_x0000_t75" stroked="false">
              <v:imagedata r:id="rId58" o:title=""/>
            </v:shape>
            <v:shape style="position:absolute;left:1884;top:-4264;width:9024;height:4219" type="#_x0000_t75" stroked="false">
              <v:imagedata r:id="rId59" o:title=""/>
            </v:shape>
            <w10:wrap type="none"/>
          </v:group>
        </w:pict>
      </w:r>
      <w:r>
        <w:rPr>
          <w:spacing w:val="-8"/>
        </w:rPr>
        <w:t>（</w:t>
      </w:r>
      <w:r>
        <w:rPr>
          <w:rFonts w:ascii="Times New Roman" w:hAnsi="Times New Roman" w:cs="Times New Roman" w:eastAsia="Times New Roman" w:hint="default"/>
          <w:spacing w:val="-8"/>
        </w:rPr>
        <w:t>2</w:t>
      </w:r>
      <w:r>
        <w:rPr>
          <w:spacing w:val="-8"/>
        </w:rPr>
        <w:t>）根据</w:t>
      </w:r>
      <w:r>
        <w:rPr>
          <w:spacing w:val="-5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日本公司</w:t>
      </w:r>
      <w:r>
        <w:rPr>
          <w:spacing w:val="-5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5"/>
        </w:rPr>
        <w:t> </w:t>
      </w:r>
      <w:r>
        <w:rPr/>
        <w:t>年年度股东大会审议通过的《关于公司发行股份及支付现金 </w:t>
      </w:r>
      <w:r>
        <w:rPr>
          <w:spacing w:val="-5"/>
        </w:rPr>
        <w:t>购买资产方案的议案》、《关于公司募集配套资金方案的议案》等相关议案，及中国证券监督管理委员会出</w:t>
      </w:r>
      <w:r>
        <w:rPr/>
        <w:t> </w:t>
      </w:r>
      <w:r>
        <w:rPr>
          <w:spacing w:val="-1"/>
        </w:rPr>
        <w:t>具的《关于核准新开普电子股份有限公司向刘永春等发行股份购买资产并募集配套资金的批复》（证监许</w:t>
      </w:r>
      <w:r>
        <w:rPr>
          <w:spacing w:val="-92"/>
        </w:rPr>
        <w:t> </w:t>
      </w:r>
      <w:r>
        <w:rPr>
          <w:spacing w:val="-92"/>
        </w:rPr>
      </w:r>
      <w:r>
        <w:rPr>
          <w:spacing w:val="-1"/>
        </w:rPr>
        <w:t>可</w:t>
      </w:r>
      <w:r>
        <w:rPr>
          <w:rFonts w:ascii="Times New Roman" w:hAnsi="Times New Roman" w:cs="Times New Roman" w:eastAsia="Times New Roman" w:hint="default"/>
          <w:spacing w:val="-1"/>
        </w:rPr>
        <w:t>[2015]1417</w:t>
      </w:r>
      <w:r>
        <w:rPr>
          <w:rFonts w:ascii="Times New Roman" w:hAnsi="Times New Roman" w:cs="Times New Roman" w:eastAsia="Times New Roman" w:hint="default"/>
          <w:spacing w:val="9"/>
        </w:rPr>
        <w:t> </w:t>
      </w:r>
      <w:r>
        <w:rPr>
          <w:spacing w:val="-3"/>
        </w:rPr>
        <w:t>号），本公司通过发行股份与支付现金相结合的方式，购买刘永春、丛伟滋、李洪、熊小洪、</w:t>
      </w:r>
      <w:r>
        <w:rPr>
          <w:spacing w:val="-102"/>
        </w:rPr>
        <w:t> </w:t>
      </w:r>
      <w:r>
        <w:rPr>
          <w:spacing w:val="-102"/>
        </w:rPr>
      </w:r>
      <w:r>
        <w:rPr>
          <w:spacing w:val="12"/>
        </w:rPr>
        <w:t>白海清、黄暂度合法持有的北京迪科远望科技有限公司</w:t>
      </w:r>
      <w:r>
        <w:rPr>
          <w:spacing w:val="20"/>
        </w:rPr>
        <w:t> </w:t>
      </w:r>
      <w:r>
        <w:rPr>
          <w:rFonts w:ascii="Times New Roman" w:hAnsi="Times New Roman" w:cs="Times New Roman" w:eastAsia="Times New Roman" w:hint="default"/>
          <w:spacing w:val="6"/>
        </w:rPr>
        <w:t>100%</w:t>
      </w:r>
      <w:r>
        <w:rPr>
          <w:spacing w:val="6"/>
        </w:rPr>
        <w:t>的股权，</w:t>
      </w:r>
      <w:r>
        <w:rPr>
          <w:spacing w:val="33"/>
        </w:rPr>
        <w:t> </w:t>
      </w:r>
      <w:r>
        <w:rPr>
          <w:spacing w:val="12"/>
        </w:rPr>
        <w:t>公司本次发行人民币普通股</w:t>
      </w:r>
      <w:r>
        <w:rPr>
          <w:spacing w:val="-98"/>
        </w:rPr>
        <w:t> </w:t>
      </w:r>
      <w:r>
        <w:rPr>
          <w:spacing w:val="-98"/>
        </w:rPr>
      </w:r>
      <w:r>
        <w:rPr>
          <w:rFonts w:ascii="Times New Roman" w:hAnsi="Times New Roman" w:cs="Times New Roman" w:eastAsia="Times New Roman" w:hint="default"/>
        </w:rPr>
        <w:t>1,665.4901  </w:t>
      </w:r>
      <w:r>
        <w:rPr>
          <w:spacing w:val="4"/>
        </w:rPr>
        <w:t>万股，每股面值 </w:t>
      </w:r>
      <w:r>
        <w:rPr>
          <w:rFonts w:ascii="Times New Roman" w:hAnsi="Times New Roman" w:cs="Times New Roman" w:eastAsia="Times New Roman" w:hint="default"/>
        </w:rPr>
        <w:t>1  </w:t>
      </w:r>
      <w:r>
        <w:rPr>
          <w:spacing w:val="4"/>
        </w:rPr>
        <w:t>元，申请增加股本人民币 </w:t>
      </w:r>
      <w:r>
        <w:rPr>
          <w:rFonts w:ascii="Times New Roman" w:hAnsi="Times New Roman" w:cs="Times New Roman" w:eastAsia="Times New Roman" w:hint="default"/>
        </w:rPr>
        <w:t>1,665.4901 </w:t>
      </w:r>
      <w:r>
        <w:rPr>
          <w:rFonts w:ascii="Times New Roman" w:hAnsi="Times New Roman" w:cs="Times New Roman" w:eastAsia="Times New Roman" w:hint="default"/>
          <w:spacing w:val="18"/>
        </w:rPr>
        <w:t> </w:t>
      </w:r>
      <w:r>
        <w:rPr>
          <w:spacing w:val="4"/>
        </w:rPr>
        <w:t>万元，变更后的注册资本为人民币</w:t>
      </w:r>
    </w:p>
    <w:p>
      <w:pPr>
        <w:pStyle w:val="BodyText"/>
        <w:spacing w:line="240" w:lineRule="auto" w:before="13"/>
        <w:ind w:right="0"/>
        <w:jc w:val="left"/>
        <w:rPr>
          <w:rFonts w:ascii="Times New Roman" w:hAnsi="Times New Roman" w:cs="Times New Roman" w:eastAsia="Times New Roman" w:hint="default"/>
        </w:rPr>
      </w:pPr>
      <w:r>
        <w:rPr>
          <w:rFonts w:ascii="Times New Roman" w:hAnsi="Times New Roman" w:cs="Times New Roman" w:eastAsia="Times New Roman" w:hint="default"/>
        </w:rPr>
        <w:t>30,209.4901  </w:t>
      </w:r>
      <w:r>
        <w:rPr/>
        <w:t>万元，已经立信会计师事务所（特殊普通合伙）审验，并出具信会师报字【</w:t>
      </w:r>
      <w:r>
        <w:rPr>
          <w:rFonts w:ascii="Times New Roman" w:hAnsi="Times New Roman" w:cs="Times New Roman" w:eastAsia="Times New Roman" w:hint="default"/>
        </w:rPr>
        <w:t>2015</w:t>
      </w:r>
      <w:r>
        <w:rPr/>
        <w:t>】第</w:t>
      </w:r>
      <w:r>
        <w:rPr>
          <w:spacing w:val="-32"/>
        </w:rPr>
        <w:t> </w:t>
      </w:r>
      <w:r>
        <w:rPr>
          <w:rFonts w:ascii="Times New Roman" w:hAnsi="Times New Roman" w:cs="Times New Roman" w:eastAsia="Times New Roman" w:hint="default"/>
        </w:rPr>
        <w:t>711441</w:t>
      </w:r>
    </w:p>
    <w:p>
      <w:pPr>
        <w:pStyle w:val="BodyText"/>
        <w:spacing w:line="240" w:lineRule="auto" w:before="109"/>
        <w:ind w:right="0"/>
        <w:jc w:val="left"/>
      </w:pPr>
      <w:r>
        <w:rPr/>
        <w:pict>
          <v:group style="position:absolute;margin-left:94.199997pt;margin-top:22.241123pt;width:451.2pt;height:105.45pt;mso-position-horizontal-relative:page;mso-position-vertical-relative:paragraph;z-index:-1166512" coordorigin="1884,445" coordsize="9024,2109">
            <v:shape style="position:absolute;left:5434;top:445;width:3180;height:379" type="#_x0000_t75" stroked="false">
              <v:imagedata r:id="rId60" o:title=""/>
            </v:shape>
            <v:shape style="position:absolute;left:1884;top:785;width:9024;height:1769" type="#_x0000_t75" stroked="false">
              <v:imagedata r:id="rId61" o:title=""/>
            </v:shape>
            <w10:wrap type="none"/>
          </v:group>
        </w:pict>
      </w:r>
      <w:r>
        <w:rPr/>
        <w:t>号验资报告。经变更后，各股东认缴注册资本额和出资比例为：</w:t>
      </w:r>
    </w:p>
    <w:p>
      <w:pPr>
        <w:spacing w:line="240" w:lineRule="auto" w:before="0"/>
        <w:rPr>
          <w:rFonts w:ascii="宋体" w:hAnsi="宋体" w:cs="宋体" w:eastAsia="宋体" w:hint="default"/>
          <w:sz w:val="5"/>
          <w:szCs w:val="5"/>
        </w:rPr>
      </w:pPr>
    </w:p>
    <w:tbl>
      <w:tblPr>
        <w:tblW w:w="0" w:type="auto"/>
        <w:jc w:val="left"/>
        <w:tblInd w:w="932" w:type="dxa"/>
        <w:tblLayout w:type="fixed"/>
        <w:tblCellMar>
          <w:top w:w="0" w:type="dxa"/>
          <w:left w:w="0" w:type="dxa"/>
          <w:bottom w:w="0" w:type="dxa"/>
          <w:right w:w="0" w:type="dxa"/>
        </w:tblCellMar>
        <w:tblLook w:val="01E0"/>
      </w:tblPr>
      <w:tblGrid>
        <w:gridCol w:w="2504"/>
        <w:gridCol w:w="4383"/>
        <w:gridCol w:w="2080"/>
      </w:tblGrid>
      <w:tr>
        <w:trPr>
          <w:trHeight w:val="392" w:hRule="exact"/>
        </w:trPr>
        <w:tc>
          <w:tcPr>
            <w:tcW w:w="2504" w:type="dxa"/>
            <w:tcBorders>
              <w:top w:val="single" w:sz="12" w:space="0" w:color="000000"/>
              <w:left w:val="nil" w:sz="6" w:space="0" w:color="auto"/>
              <w:bottom w:val="nil" w:sz="6" w:space="0" w:color="auto"/>
              <w:right w:val="nil" w:sz="6" w:space="0" w:color="auto"/>
            </w:tcBorders>
          </w:tcPr>
          <w:p>
            <w:pPr>
              <w:pStyle w:val="TableParagraph"/>
              <w:spacing w:line="240" w:lineRule="auto" w:before="27"/>
              <w:ind w:left="723" w:right="0"/>
              <w:jc w:val="left"/>
              <w:rPr>
                <w:rFonts w:ascii="宋体" w:hAnsi="宋体" w:cs="宋体" w:eastAsia="宋体" w:hint="default"/>
                <w:sz w:val="21"/>
                <w:szCs w:val="21"/>
              </w:rPr>
            </w:pPr>
            <w:r>
              <w:rPr>
                <w:rFonts w:ascii="宋体" w:hAnsi="宋体" w:cs="宋体" w:eastAsia="宋体" w:hint="default"/>
                <w:sz w:val="21"/>
                <w:szCs w:val="21"/>
              </w:rPr>
              <w:t>投资方</w:t>
            </w:r>
          </w:p>
        </w:tc>
        <w:tc>
          <w:tcPr>
            <w:tcW w:w="4383" w:type="dxa"/>
            <w:tcBorders>
              <w:top w:val="single" w:sz="12" w:space="0" w:color="000000"/>
              <w:left w:val="nil" w:sz="6" w:space="0" w:color="auto"/>
              <w:bottom w:val="nil" w:sz="6" w:space="0" w:color="auto"/>
              <w:right w:val="nil" w:sz="6" w:space="0" w:color="auto"/>
            </w:tcBorders>
          </w:tcPr>
          <w:p>
            <w:pPr>
              <w:pStyle w:val="TableParagraph"/>
              <w:spacing w:line="240" w:lineRule="auto" w:before="27"/>
              <w:ind w:left="1150" w:right="0"/>
              <w:jc w:val="left"/>
              <w:rPr>
                <w:rFonts w:ascii="宋体" w:hAnsi="宋体" w:cs="宋体" w:eastAsia="宋体" w:hint="default"/>
                <w:sz w:val="21"/>
                <w:szCs w:val="21"/>
              </w:rPr>
            </w:pPr>
            <w:r>
              <w:rPr>
                <w:rFonts w:ascii="宋体" w:hAnsi="宋体" w:cs="宋体" w:eastAsia="宋体" w:hint="default"/>
                <w:sz w:val="21"/>
                <w:szCs w:val="21"/>
              </w:rPr>
              <w:t>认缴注册资本额（万元）</w:t>
            </w:r>
          </w:p>
        </w:tc>
        <w:tc>
          <w:tcPr>
            <w:tcW w:w="2080" w:type="dxa"/>
            <w:tcBorders>
              <w:top w:val="single" w:sz="12" w:space="0" w:color="000000"/>
              <w:left w:val="nil" w:sz="6" w:space="0" w:color="auto"/>
              <w:bottom w:val="nil" w:sz="6" w:space="0" w:color="auto"/>
              <w:right w:val="nil" w:sz="6" w:space="0" w:color="auto"/>
            </w:tcBorders>
          </w:tcPr>
          <w:p>
            <w:pPr>
              <w:pStyle w:val="TableParagraph"/>
              <w:spacing w:line="240" w:lineRule="auto" w:before="27"/>
              <w:ind w:left="317" w:right="0"/>
              <w:jc w:val="left"/>
              <w:rPr>
                <w:rFonts w:ascii="宋体" w:hAnsi="宋体" w:cs="宋体" w:eastAsia="宋体" w:hint="default"/>
                <w:sz w:val="21"/>
                <w:szCs w:val="21"/>
              </w:rPr>
            </w:pPr>
            <w:r>
              <w:rPr>
                <w:rFonts w:ascii="宋体" w:hAnsi="宋体" w:cs="宋体" w:eastAsia="宋体" w:hint="default"/>
                <w:sz w:val="21"/>
                <w:szCs w:val="21"/>
              </w:rPr>
              <w:t>出资比例（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0" w:hRule="exact"/>
        </w:trPr>
        <w:tc>
          <w:tcPr>
            <w:tcW w:w="2504"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杨维国</w:t>
            </w:r>
          </w:p>
        </w:tc>
        <w:tc>
          <w:tcPr>
            <w:tcW w:w="438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15"/>
              <w:jc w:val="right"/>
              <w:rPr>
                <w:rFonts w:ascii="Times New Roman" w:hAnsi="Times New Roman" w:cs="Times New Roman" w:eastAsia="Times New Roman" w:hint="default"/>
                <w:sz w:val="21"/>
                <w:szCs w:val="21"/>
              </w:rPr>
            </w:pPr>
            <w:r>
              <w:rPr>
                <w:rFonts w:ascii="Times New Roman"/>
                <w:spacing w:val="-1"/>
                <w:sz w:val="21"/>
              </w:rPr>
              <w:t>6,784.00</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1"/>
                <w:szCs w:val="21"/>
              </w:rPr>
            </w:pPr>
            <w:r>
              <w:rPr>
                <w:rFonts w:ascii="Times New Roman"/>
                <w:spacing w:val="-1"/>
                <w:sz w:val="21"/>
              </w:rPr>
              <w:t>22.4565</w:t>
            </w:r>
          </w:p>
        </w:tc>
      </w:tr>
      <w:tr>
        <w:trPr>
          <w:trHeight w:val="350" w:hRule="exact"/>
        </w:trPr>
        <w:tc>
          <w:tcPr>
            <w:tcW w:w="2504"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尚卫国</w:t>
            </w:r>
          </w:p>
        </w:tc>
        <w:tc>
          <w:tcPr>
            <w:tcW w:w="438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17"/>
              <w:jc w:val="right"/>
              <w:rPr>
                <w:rFonts w:ascii="Times New Roman" w:hAnsi="Times New Roman" w:cs="Times New Roman" w:eastAsia="Times New Roman" w:hint="default"/>
                <w:sz w:val="21"/>
                <w:szCs w:val="21"/>
              </w:rPr>
            </w:pPr>
            <w:r>
              <w:rPr>
                <w:rFonts w:ascii="Times New Roman"/>
                <w:spacing w:val="-1"/>
                <w:sz w:val="21"/>
              </w:rPr>
              <w:t>1,398.72</w:t>
            </w:r>
            <w:r>
              <w:rPr>
                <w:rFonts w:ascii="Times New Roman"/>
                <w:sz w:val="21"/>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21"/>
                <w:szCs w:val="21"/>
              </w:rPr>
            </w:pPr>
            <w:r>
              <w:rPr>
                <w:rFonts w:ascii="Times New Roman"/>
                <w:spacing w:val="-1"/>
                <w:sz w:val="21"/>
              </w:rPr>
              <w:t>4.6301</w:t>
            </w:r>
            <w:r>
              <w:rPr>
                <w:rFonts w:ascii="Times New Roman"/>
                <w:sz w:val="21"/>
              </w:rPr>
            </w:r>
          </w:p>
        </w:tc>
      </w:tr>
      <w:tr>
        <w:trPr>
          <w:trHeight w:val="350" w:hRule="exact"/>
        </w:trPr>
        <w:tc>
          <w:tcPr>
            <w:tcW w:w="2504"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付秋生</w:t>
            </w:r>
          </w:p>
        </w:tc>
        <w:tc>
          <w:tcPr>
            <w:tcW w:w="438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17"/>
              <w:jc w:val="right"/>
              <w:rPr>
                <w:rFonts w:ascii="Times New Roman" w:hAnsi="Times New Roman" w:cs="Times New Roman" w:eastAsia="Times New Roman" w:hint="default"/>
                <w:sz w:val="21"/>
                <w:szCs w:val="21"/>
              </w:rPr>
            </w:pPr>
            <w:r>
              <w:rPr>
                <w:rFonts w:ascii="Times New Roman"/>
                <w:spacing w:val="-1"/>
                <w:sz w:val="21"/>
              </w:rPr>
              <w:t>1,346.88</w:t>
            </w:r>
            <w:r>
              <w:rPr>
                <w:rFonts w:ascii="Times New Roman"/>
                <w:sz w:val="21"/>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21"/>
                <w:szCs w:val="21"/>
              </w:rPr>
            </w:pPr>
            <w:r>
              <w:rPr>
                <w:rFonts w:ascii="Times New Roman"/>
                <w:spacing w:val="-1"/>
                <w:sz w:val="21"/>
              </w:rPr>
              <w:t>4.4585</w:t>
            </w:r>
            <w:r>
              <w:rPr>
                <w:rFonts w:ascii="Times New Roman"/>
                <w:sz w:val="21"/>
              </w:rPr>
            </w:r>
          </w:p>
        </w:tc>
      </w:tr>
      <w:tr>
        <w:trPr>
          <w:trHeight w:val="350" w:hRule="exact"/>
        </w:trPr>
        <w:tc>
          <w:tcPr>
            <w:tcW w:w="2504"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赵利宾</w:t>
            </w:r>
          </w:p>
        </w:tc>
        <w:tc>
          <w:tcPr>
            <w:tcW w:w="438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17"/>
              <w:jc w:val="right"/>
              <w:rPr>
                <w:rFonts w:ascii="Times New Roman" w:hAnsi="Times New Roman" w:cs="Times New Roman" w:eastAsia="Times New Roman" w:hint="default"/>
                <w:sz w:val="21"/>
                <w:szCs w:val="21"/>
              </w:rPr>
            </w:pPr>
            <w:r>
              <w:rPr>
                <w:rFonts w:ascii="Times New Roman"/>
                <w:spacing w:val="-1"/>
                <w:sz w:val="21"/>
              </w:rPr>
              <w:t>1,152.00</w:t>
            </w:r>
            <w:r>
              <w:rPr>
                <w:rFonts w:ascii="Times New Roman"/>
                <w:sz w:val="21"/>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21"/>
                <w:szCs w:val="21"/>
              </w:rPr>
            </w:pPr>
            <w:r>
              <w:rPr>
                <w:rFonts w:ascii="Times New Roman"/>
                <w:spacing w:val="-1"/>
                <w:sz w:val="21"/>
              </w:rPr>
              <w:t>3.8134</w:t>
            </w:r>
            <w:r>
              <w:rPr>
                <w:rFonts w:ascii="Times New Roman"/>
                <w:sz w:val="21"/>
              </w:rPr>
            </w:r>
          </w:p>
        </w:tc>
      </w:tr>
      <w:tr>
        <w:trPr>
          <w:trHeight w:val="327" w:hRule="exact"/>
        </w:trPr>
        <w:tc>
          <w:tcPr>
            <w:tcW w:w="2504" w:type="dxa"/>
            <w:tcBorders>
              <w:top w:val="nil" w:sz="6" w:space="0" w:color="auto"/>
              <w:left w:val="nil" w:sz="6" w:space="0" w:color="auto"/>
              <w:bottom w:val="single" w:sz="12" w:space="0" w:color="000000"/>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华梦阳</w:t>
            </w:r>
          </w:p>
        </w:tc>
        <w:tc>
          <w:tcPr>
            <w:tcW w:w="4383" w:type="dxa"/>
            <w:tcBorders>
              <w:top w:val="nil" w:sz="6" w:space="0" w:color="auto"/>
              <w:left w:val="nil" w:sz="6" w:space="0" w:color="auto"/>
              <w:bottom w:val="single" w:sz="12" w:space="0" w:color="000000"/>
              <w:right w:val="nil" w:sz="6" w:space="0" w:color="auto"/>
            </w:tcBorders>
          </w:tcPr>
          <w:p>
            <w:pPr>
              <w:pStyle w:val="TableParagraph"/>
              <w:spacing w:line="240" w:lineRule="auto" w:before="49"/>
              <w:ind w:right="317"/>
              <w:jc w:val="right"/>
              <w:rPr>
                <w:rFonts w:ascii="Times New Roman" w:hAnsi="Times New Roman" w:cs="Times New Roman" w:eastAsia="Times New Roman" w:hint="default"/>
                <w:sz w:val="21"/>
                <w:szCs w:val="21"/>
              </w:rPr>
            </w:pPr>
            <w:r>
              <w:rPr>
                <w:rFonts w:ascii="Times New Roman"/>
                <w:spacing w:val="-1"/>
                <w:sz w:val="21"/>
              </w:rPr>
              <w:t>1,152.00</w:t>
            </w:r>
            <w:r>
              <w:rPr>
                <w:rFonts w:ascii="Times New Roman"/>
                <w:sz w:val="21"/>
              </w:rPr>
            </w:r>
          </w:p>
        </w:tc>
        <w:tc>
          <w:tcPr>
            <w:tcW w:w="2080" w:type="dxa"/>
            <w:tcBorders>
              <w:top w:val="nil" w:sz="6" w:space="0" w:color="auto"/>
              <w:left w:val="nil" w:sz="6" w:space="0" w:color="auto"/>
              <w:bottom w:val="single" w:sz="12"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21"/>
                <w:szCs w:val="21"/>
              </w:rPr>
            </w:pPr>
            <w:r>
              <w:rPr>
                <w:rFonts w:ascii="Times New Roman"/>
                <w:spacing w:val="-1"/>
                <w:sz w:val="21"/>
              </w:rPr>
              <w:t>3.8134</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980" w:right="880"/>
        </w:sectPr>
      </w:pPr>
    </w:p>
    <w:p>
      <w:pPr>
        <w:spacing w:line="240" w:lineRule="auto" w:before="8"/>
        <w:rPr>
          <w:rFonts w:ascii="宋体" w:hAnsi="宋体" w:cs="宋体" w:eastAsia="宋体" w:hint="default"/>
          <w:sz w:val="25"/>
          <w:szCs w:val="25"/>
        </w:rPr>
      </w:pPr>
    </w:p>
    <w:tbl>
      <w:tblPr>
        <w:tblW w:w="0" w:type="auto"/>
        <w:jc w:val="left"/>
        <w:tblInd w:w="932" w:type="dxa"/>
        <w:tblLayout w:type="fixed"/>
        <w:tblCellMar>
          <w:top w:w="0" w:type="dxa"/>
          <w:left w:w="0" w:type="dxa"/>
          <w:bottom w:w="0" w:type="dxa"/>
          <w:right w:w="0" w:type="dxa"/>
        </w:tblCellMar>
        <w:tblLook w:val="01E0"/>
      </w:tblPr>
      <w:tblGrid>
        <w:gridCol w:w="4478"/>
        <w:gridCol w:w="2842"/>
        <w:gridCol w:w="1647"/>
      </w:tblGrid>
      <w:tr>
        <w:trPr>
          <w:trHeight w:val="393" w:hRule="exact"/>
        </w:trPr>
        <w:tc>
          <w:tcPr>
            <w:tcW w:w="4478" w:type="dxa"/>
            <w:tcBorders>
              <w:top w:val="single" w:sz="12" w:space="0" w:color="000000"/>
              <w:left w:val="nil" w:sz="6" w:space="0" w:color="auto"/>
              <w:bottom w:val="nil" w:sz="6" w:space="0" w:color="auto"/>
              <w:right w:val="nil" w:sz="6" w:space="0" w:color="auto"/>
            </w:tcBorders>
          </w:tcPr>
          <w:p>
            <w:pPr>
              <w:pStyle w:val="TableParagraph"/>
              <w:spacing w:line="240" w:lineRule="auto" w:before="27"/>
              <w:ind w:left="723" w:right="0"/>
              <w:jc w:val="left"/>
              <w:rPr>
                <w:rFonts w:ascii="宋体" w:hAnsi="宋体" w:cs="宋体" w:eastAsia="宋体" w:hint="default"/>
                <w:sz w:val="21"/>
                <w:szCs w:val="21"/>
              </w:rPr>
            </w:pPr>
            <w:r>
              <w:rPr>
                <w:rFonts w:ascii="宋体" w:hAnsi="宋体" w:cs="宋体" w:eastAsia="宋体" w:hint="default"/>
                <w:sz w:val="21"/>
                <w:szCs w:val="21"/>
              </w:rPr>
              <w:t>傅常顺</w:t>
            </w:r>
          </w:p>
        </w:tc>
        <w:tc>
          <w:tcPr>
            <w:tcW w:w="2842" w:type="dxa"/>
            <w:tcBorders>
              <w:top w:val="single" w:sz="12" w:space="0" w:color="000000"/>
              <w:left w:val="nil" w:sz="6" w:space="0" w:color="auto"/>
              <w:bottom w:val="nil" w:sz="6" w:space="0" w:color="auto"/>
              <w:right w:val="nil" w:sz="6" w:space="0" w:color="auto"/>
            </w:tcBorders>
          </w:tcPr>
          <w:p>
            <w:pPr>
              <w:pStyle w:val="TableParagraph"/>
              <w:spacing w:line="240" w:lineRule="auto" w:before="76"/>
              <w:ind w:right="750"/>
              <w:jc w:val="right"/>
              <w:rPr>
                <w:rFonts w:ascii="Times New Roman" w:hAnsi="Times New Roman" w:cs="Times New Roman" w:eastAsia="Times New Roman" w:hint="default"/>
                <w:sz w:val="21"/>
                <w:szCs w:val="21"/>
              </w:rPr>
            </w:pPr>
            <w:r>
              <w:rPr>
                <w:rFonts w:ascii="Times New Roman"/>
                <w:spacing w:val="-1"/>
                <w:sz w:val="21"/>
              </w:rPr>
              <w:t>1,152.00</w:t>
            </w:r>
            <w:r>
              <w:rPr>
                <w:rFonts w:ascii="Times New Roman"/>
                <w:sz w:val="21"/>
              </w:rPr>
            </w:r>
          </w:p>
        </w:tc>
        <w:tc>
          <w:tcPr>
            <w:tcW w:w="1647" w:type="dxa"/>
            <w:tcBorders>
              <w:top w:val="single" w:sz="12" w:space="0" w:color="000000"/>
              <w:left w:val="nil" w:sz="6" w:space="0" w:color="auto"/>
              <w:bottom w:val="nil" w:sz="6" w:space="0" w:color="auto"/>
              <w:right w:val="nil" w:sz="6" w:space="0" w:color="auto"/>
            </w:tcBorders>
          </w:tcPr>
          <w:p>
            <w:pPr>
              <w:pStyle w:val="TableParagraph"/>
              <w:spacing w:line="240" w:lineRule="auto" w:before="76"/>
              <w:ind w:right="107"/>
              <w:jc w:val="right"/>
              <w:rPr>
                <w:rFonts w:ascii="Times New Roman" w:hAnsi="Times New Roman" w:cs="Times New Roman" w:eastAsia="Times New Roman" w:hint="default"/>
                <w:sz w:val="21"/>
                <w:szCs w:val="21"/>
              </w:rPr>
            </w:pPr>
            <w:r>
              <w:rPr>
                <w:rFonts w:ascii="Times New Roman"/>
                <w:spacing w:val="-1"/>
                <w:sz w:val="21"/>
              </w:rPr>
              <w:t>3.8134</w:t>
            </w:r>
            <w:r>
              <w:rPr>
                <w:rFonts w:ascii="Times New Roman"/>
                <w:sz w:val="21"/>
              </w:rPr>
            </w:r>
          </w:p>
        </w:tc>
      </w:tr>
      <w:tr>
        <w:trPr>
          <w:trHeight w:val="350" w:hRule="exact"/>
        </w:trPr>
        <w:tc>
          <w:tcPr>
            <w:tcW w:w="4478"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朗金文</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50"/>
              <w:jc w:val="right"/>
              <w:rPr>
                <w:rFonts w:ascii="Times New Roman" w:hAnsi="Times New Roman" w:cs="Times New Roman" w:eastAsia="Times New Roman" w:hint="default"/>
                <w:sz w:val="21"/>
                <w:szCs w:val="21"/>
              </w:rPr>
            </w:pPr>
            <w:r>
              <w:rPr>
                <w:rFonts w:ascii="Times New Roman"/>
                <w:spacing w:val="-1"/>
                <w:sz w:val="21"/>
              </w:rPr>
              <w:t>1,092.00</w:t>
            </w:r>
            <w:r>
              <w:rPr>
                <w:rFonts w:ascii="Times New Roman"/>
                <w:sz w:val="21"/>
              </w:rPr>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21"/>
                <w:szCs w:val="21"/>
              </w:rPr>
            </w:pPr>
            <w:r>
              <w:rPr>
                <w:rFonts w:ascii="Times New Roman"/>
                <w:spacing w:val="-1"/>
                <w:sz w:val="21"/>
              </w:rPr>
              <w:t>3.6148</w:t>
            </w:r>
            <w:r>
              <w:rPr>
                <w:rFonts w:ascii="Times New Roman"/>
                <w:sz w:val="21"/>
              </w:rPr>
            </w:r>
          </w:p>
        </w:tc>
      </w:tr>
      <w:tr>
        <w:trPr>
          <w:trHeight w:val="350" w:hRule="exact"/>
        </w:trPr>
        <w:tc>
          <w:tcPr>
            <w:tcW w:w="4478"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杜建平</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50"/>
              <w:jc w:val="right"/>
              <w:rPr>
                <w:rFonts w:ascii="Times New Roman" w:hAnsi="Times New Roman" w:cs="Times New Roman" w:eastAsia="Times New Roman" w:hint="default"/>
                <w:sz w:val="21"/>
                <w:szCs w:val="21"/>
              </w:rPr>
            </w:pPr>
            <w:r>
              <w:rPr>
                <w:rFonts w:ascii="Times New Roman"/>
                <w:spacing w:val="-1"/>
                <w:sz w:val="21"/>
              </w:rPr>
              <w:t>1,152.00</w:t>
            </w:r>
            <w:r>
              <w:rPr>
                <w:rFonts w:ascii="Times New Roman"/>
                <w:sz w:val="21"/>
              </w:rPr>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21"/>
                <w:szCs w:val="21"/>
              </w:rPr>
            </w:pPr>
            <w:r>
              <w:rPr>
                <w:rFonts w:ascii="Times New Roman"/>
                <w:spacing w:val="-1"/>
                <w:sz w:val="21"/>
              </w:rPr>
              <w:t>3.8134</w:t>
            </w:r>
            <w:r>
              <w:rPr>
                <w:rFonts w:ascii="Times New Roman"/>
                <w:sz w:val="21"/>
              </w:rPr>
            </w:r>
          </w:p>
        </w:tc>
      </w:tr>
      <w:tr>
        <w:trPr>
          <w:trHeight w:val="350" w:hRule="exact"/>
        </w:trPr>
        <w:tc>
          <w:tcPr>
            <w:tcW w:w="4478"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葛晓阁</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50"/>
              <w:jc w:val="right"/>
              <w:rPr>
                <w:rFonts w:ascii="Times New Roman" w:hAnsi="Times New Roman" w:cs="Times New Roman" w:eastAsia="Times New Roman" w:hint="default"/>
                <w:sz w:val="21"/>
                <w:szCs w:val="21"/>
              </w:rPr>
            </w:pPr>
            <w:r>
              <w:rPr>
                <w:rFonts w:ascii="Times New Roman"/>
                <w:spacing w:val="-1"/>
                <w:sz w:val="21"/>
              </w:rPr>
              <w:t>1,152.00</w:t>
            </w:r>
            <w:r>
              <w:rPr>
                <w:rFonts w:ascii="Times New Roman"/>
                <w:sz w:val="21"/>
              </w:rPr>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21"/>
                <w:szCs w:val="21"/>
              </w:rPr>
            </w:pPr>
            <w:r>
              <w:rPr>
                <w:rFonts w:ascii="Times New Roman"/>
                <w:spacing w:val="-1"/>
                <w:sz w:val="21"/>
              </w:rPr>
              <w:t>3.8134</w:t>
            </w:r>
            <w:r>
              <w:rPr>
                <w:rFonts w:ascii="Times New Roman"/>
                <w:sz w:val="21"/>
              </w:rPr>
            </w:r>
          </w:p>
        </w:tc>
      </w:tr>
      <w:tr>
        <w:trPr>
          <w:trHeight w:val="350" w:hRule="exact"/>
        </w:trPr>
        <w:tc>
          <w:tcPr>
            <w:tcW w:w="4478"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刘恩臣</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50"/>
              <w:jc w:val="right"/>
              <w:rPr>
                <w:rFonts w:ascii="Times New Roman" w:hAnsi="Times New Roman" w:cs="Times New Roman" w:eastAsia="Times New Roman" w:hint="default"/>
                <w:sz w:val="21"/>
                <w:szCs w:val="21"/>
              </w:rPr>
            </w:pPr>
            <w:r>
              <w:rPr>
                <w:rFonts w:ascii="Times New Roman"/>
                <w:spacing w:val="-1"/>
                <w:sz w:val="21"/>
              </w:rPr>
              <w:t>1,082.00</w:t>
            </w:r>
            <w:r>
              <w:rPr>
                <w:rFonts w:ascii="Times New Roman"/>
                <w:sz w:val="21"/>
              </w:rPr>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21"/>
                <w:szCs w:val="21"/>
              </w:rPr>
            </w:pPr>
            <w:r>
              <w:rPr>
                <w:rFonts w:ascii="Times New Roman"/>
                <w:spacing w:val="-1"/>
                <w:sz w:val="21"/>
              </w:rPr>
              <w:t>3.5816</w:t>
            </w:r>
            <w:r>
              <w:rPr>
                <w:rFonts w:ascii="Times New Roman"/>
                <w:sz w:val="21"/>
              </w:rPr>
            </w:r>
          </w:p>
        </w:tc>
      </w:tr>
      <w:tr>
        <w:trPr>
          <w:trHeight w:val="350" w:hRule="exact"/>
        </w:trPr>
        <w:tc>
          <w:tcPr>
            <w:tcW w:w="4478"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刘永春</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49"/>
              <w:jc w:val="right"/>
              <w:rPr>
                <w:rFonts w:ascii="Times New Roman" w:hAnsi="Times New Roman" w:cs="Times New Roman" w:eastAsia="Times New Roman" w:hint="default"/>
                <w:sz w:val="21"/>
                <w:szCs w:val="21"/>
              </w:rPr>
            </w:pPr>
            <w:r>
              <w:rPr>
                <w:rFonts w:ascii="Times New Roman"/>
                <w:spacing w:val="-1"/>
                <w:sz w:val="21"/>
              </w:rPr>
              <w:t>506.422</w:t>
            </w:r>
            <w:r>
              <w:rPr>
                <w:rFonts w:ascii="Times New Roman"/>
                <w:sz w:val="21"/>
              </w:rPr>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1"/>
                <w:szCs w:val="21"/>
              </w:rPr>
            </w:pPr>
            <w:r>
              <w:rPr>
                <w:rFonts w:ascii="Times New Roman"/>
                <w:spacing w:val="-1"/>
                <w:sz w:val="21"/>
              </w:rPr>
              <w:t>1.6763</w:t>
            </w:r>
            <w:r>
              <w:rPr>
                <w:rFonts w:ascii="Times New Roman"/>
                <w:sz w:val="21"/>
              </w:rPr>
            </w:r>
          </w:p>
        </w:tc>
      </w:tr>
      <w:tr>
        <w:trPr>
          <w:trHeight w:val="350" w:hRule="exact"/>
        </w:trPr>
        <w:tc>
          <w:tcPr>
            <w:tcW w:w="4478"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丛伟滋</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49"/>
              <w:jc w:val="right"/>
              <w:rPr>
                <w:rFonts w:ascii="Times New Roman" w:hAnsi="Times New Roman" w:cs="Times New Roman" w:eastAsia="Times New Roman" w:hint="default"/>
                <w:sz w:val="21"/>
                <w:szCs w:val="21"/>
              </w:rPr>
            </w:pPr>
            <w:r>
              <w:rPr>
                <w:rFonts w:ascii="Times New Roman"/>
                <w:spacing w:val="-1"/>
                <w:sz w:val="21"/>
              </w:rPr>
              <w:t>506.422</w:t>
            </w:r>
            <w:r>
              <w:rPr>
                <w:rFonts w:ascii="Times New Roman"/>
                <w:sz w:val="21"/>
              </w:rPr>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21"/>
                <w:szCs w:val="21"/>
              </w:rPr>
            </w:pPr>
            <w:r>
              <w:rPr>
                <w:rFonts w:ascii="Times New Roman"/>
                <w:spacing w:val="-1"/>
                <w:sz w:val="21"/>
              </w:rPr>
              <w:t>1.6763</w:t>
            </w:r>
            <w:r>
              <w:rPr>
                <w:rFonts w:ascii="Times New Roman"/>
                <w:sz w:val="21"/>
              </w:rPr>
            </w:r>
          </w:p>
        </w:tc>
      </w:tr>
      <w:tr>
        <w:trPr>
          <w:trHeight w:val="350" w:hRule="exact"/>
        </w:trPr>
        <w:tc>
          <w:tcPr>
            <w:tcW w:w="4478" w:type="dxa"/>
            <w:tcBorders>
              <w:top w:val="nil" w:sz="6" w:space="0" w:color="auto"/>
              <w:left w:val="nil" w:sz="6" w:space="0" w:color="auto"/>
              <w:bottom w:val="nil" w:sz="6" w:space="0" w:color="auto"/>
              <w:right w:val="nil" w:sz="6" w:space="0" w:color="auto"/>
            </w:tcBorders>
          </w:tcPr>
          <w:p>
            <w:pPr>
              <w:pStyle w:val="TableParagraph"/>
              <w:tabs>
                <w:tab w:pos="1144" w:val="left" w:leader="none"/>
              </w:tabs>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李</w:t>
              <w:tab/>
              <w:t>洪</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48"/>
              <w:jc w:val="right"/>
              <w:rPr>
                <w:rFonts w:ascii="Times New Roman" w:hAnsi="Times New Roman" w:cs="Times New Roman" w:eastAsia="Times New Roman" w:hint="default"/>
                <w:sz w:val="21"/>
                <w:szCs w:val="21"/>
              </w:rPr>
            </w:pPr>
            <w:r>
              <w:rPr>
                <w:rFonts w:ascii="Times New Roman"/>
                <w:spacing w:val="-1"/>
                <w:sz w:val="21"/>
              </w:rPr>
              <w:t>22.0183</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21"/>
                <w:szCs w:val="21"/>
              </w:rPr>
            </w:pPr>
            <w:r>
              <w:rPr>
                <w:rFonts w:ascii="Times New Roman"/>
                <w:spacing w:val="-1"/>
                <w:sz w:val="21"/>
              </w:rPr>
              <w:t>0.0729</w:t>
            </w:r>
          </w:p>
        </w:tc>
      </w:tr>
      <w:tr>
        <w:trPr>
          <w:trHeight w:val="350" w:hRule="exact"/>
        </w:trPr>
        <w:tc>
          <w:tcPr>
            <w:tcW w:w="4478"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熊小洪</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48"/>
              <w:jc w:val="right"/>
              <w:rPr>
                <w:rFonts w:ascii="Times New Roman" w:hAnsi="Times New Roman" w:cs="Times New Roman" w:eastAsia="Times New Roman" w:hint="default"/>
                <w:sz w:val="21"/>
                <w:szCs w:val="21"/>
              </w:rPr>
            </w:pPr>
            <w:r>
              <w:rPr>
                <w:rFonts w:ascii="Times New Roman"/>
                <w:spacing w:val="-1"/>
                <w:sz w:val="21"/>
              </w:rPr>
              <w:t>22.0183</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1"/>
                <w:szCs w:val="21"/>
              </w:rPr>
            </w:pPr>
            <w:r>
              <w:rPr>
                <w:rFonts w:ascii="Times New Roman"/>
                <w:spacing w:val="-1"/>
                <w:sz w:val="21"/>
              </w:rPr>
              <w:t>0.0729</w:t>
            </w:r>
          </w:p>
        </w:tc>
      </w:tr>
      <w:tr>
        <w:trPr>
          <w:trHeight w:val="350" w:hRule="exact"/>
        </w:trPr>
        <w:tc>
          <w:tcPr>
            <w:tcW w:w="4478"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白海清</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48"/>
              <w:jc w:val="right"/>
              <w:rPr>
                <w:rFonts w:ascii="Times New Roman" w:hAnsi="Times New Roman" w:cs="Times New Roman" w:eastAsia="Times New Roman" w:hint="default"/>
                <w:sz w:val="21"/>
                <w:szCs w:val="21"/>
              </w:rPr>
            </w:pPr>
            <w:r>
              <w:rPr>
                <w:rFonts w:ascii="Times New Roman"/>
                <w:spacing w:val="-1"/>
                <w:sz w:val="21"/>
              </w:rPr>
              <w:t>22.0183</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21"/>
                <w:szCs w:val="21"/>
              </w:rPr>
            </w:pPr>
            <w:r>
              <w:rPr>
                <w:rFonts w:ascii="Times New Roman"/>
                <w:spacing w:val="-1"/>
                <w:sz w:val="21"/>
              </w:rPr>
              <w:t>0.0729</w:t>
            </w:r>
          </w:p>
        </w:tc>
      </w:tr>
      <w:tr>
        <w:trPr>
          <w:trHeight w:val="633" w:hRule="exact"/>
        </w:trPr>
        <w:tc>
          <w:tcPr>
            <w:tcW w:w="4478"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黄暂度</w:t>
            </w:r>
          </w:p>
          <w:p>
            <w:pPr>
              <w:pStyle w:val="TableParagraph"/>
              <w:spacing w:line="240" w:lineRule="auto" w:before="32"/>
              <w:ind w:left="737" w:right="0"/>
              <w:jc w:val="left"/>
              <w:rPr>
                <w:rFonts w:ascii="宋体" w:hAnsi="宋体" w:cs="宋体" w:eastAsia="宋体" w:hint="default"/>
                <w:sz w:val="21"/>
                <w:szCs w:val="21"/>
              </w:rPr>
            </w:pPr>
            <w:r>
              <w:rPr>
                <w:rFonts w:ascii="宋体" w:hAnsi="宋体" w:cs="宋体" w:eastAsia="宋体" w:hint="default"/>
                <w:spacing w:val="14"/>
                <w:sz w:val="21"/>
                <w:szCs w:val="21"/>
              </w:rPr>
              <w:t>郑州佳辰企业管理咨询中心</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48"/>
              <w:jc w:val="right"/>
              <w:rPr>
                <w:rFonts w:ascii="Times New Roman" w:hAnsi="Times New Roman" w:cs="Times New Roman" w:eastAsia="Times New Roman" w:hint="default"/>
                <w:sz w:val="21"/>
                <w:szCs w:val="21"/>
              </w:rPr>
            </w:pPr>
            <w:r>
              <w:rPr>
                <w:rFonts w:ascii="Times New Roman"/>
                <w:spacing w:val="-1"/>
                <w:sz w:val="21"/>
              </w:rPr>
              <w:t>22.0183</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21"/>
                <w:szCs w:val="21"/>
              </w:rPr>
            </w:pPr>
            <w:r>
              <w:rPr>
                <w:rFonts w:ascii="Times New Roman"/>
                <w:spacing w:val="-1"/>
                <w:sz w:val="21"/>
              </w:rPr>
              <w:t>0.0729</w:t>
            </w:r>
          </w:p>
        </w:tc>
      </w:tr>
      <w:tr>
        <w:trPr>
          <w:trHeight w:val="351" w:hRule="exact"/>
        </w:trPr>
        <w:tc>
          <w:tcPr>
            <w:tcW w:w="4478" w:type="dxa"/>
            <w:tcBorders>
              <w:top w:val="nil" w:sz="6" w:space="0" w:color="auto"/>
              <w:left w:val="nil" w:sz="6" w:space="0" w:color="auto"/>
              <w:bottom w:val="nil" w:sz="6" w:space="0" w:color="auto"/>
              <w:right w:val="nil" w:sz="6" w:space="0" w:color="auto"/>
            </w:tcBorders>
          </w:tcPr>
          <w:p>
            <w:pPr>
              <w:pStyle w:val="TableParagraph"/>
              <w:spacing w:line="261" w:lineRule="exact"/>
              <w:ind w:left="737" w:right="0"/>
              <w:jc w:val="left"/>
              <w:rPr>
                <w:rFonts w:ascii="宋体" w:hAnsi="宋体" w:cs="宋体" w:eastAsia="宋体" w:hint="default"/>
                <w:sz w:val="21"/>
                <w:szCs w:val="21"/>
              </w:rPr>
            </w:pPr>
            <w:r>
              <w:rPr>
                <w:rFonts w:ascii="宋体" w:hAnsi="宋体" w:cs="宋体" w:eastAsia="宋体" w:hint="default"/>
                <w:sz w:val="21"/>
                <w:szCs w:val="21"/>
              </w:rPr>
              <w:t>（有限合伙）</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49"/>
              <w:jc w:val="right"/>
              <w:rPr>
                <w:rFonts w:ascii="Times New Roman" w:hAnsi="Times New Roman" w:cs="Times New Roman" w:eastAsia="Times New Roman" w:hint="default"/>
                <w:sz w:val="21"/>
                <w:szCs w:val="21"/>
              </w:rPr>
            </w:pPr>
            <w:r>
              <w:rPr>
                <w:rFonts w:ascii="Times New Roman"/>
                <w:spacing w:val="-1"/>
                <w:sz w:val="21"/>
              </w:rPr>
              <w:t>377.5582</w:t>
            </w:r>
            <w:r>
              <w:rPr>
                <w:rFonts w:ascii="Times New Roman"/>
                <w:sz w:val="21"/>
              </w:rPr>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21"/>
                <w:szCs w:val="21"/>
              </w:rPr>
            </w:pPr>
            <w:r>
              <w:rPr>
                <w:rFonts w:ascii="Times New Roman"/>
                <w:spacing w:val="-1"/>
                <w:sz w:val="21"/>
              </w:rPr>
              <w:t>1.2498</w:t>
            </w:r>
            <w:r>
              <w:rPr>
                <w:rFonts w:ascii="Times New Roman"/>
                <w:sz w:val="21"/>
              </w:rPr>
            </w:r>
          </w:p>
        </w:tc>
      </w:tr>
      <w:tr>
        <w:trPr>
          <w:trHeight w:val="350" w:hRule="exact"/>
        </w:trPr>
        <w:tc>
          <w:tcPr>
            <w:tcW w:w="4478"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罗会军</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48"/>
              <w:jc w:val="right"/>
              <w:rPr>
                <w:rFonts w:ascii="Times New Roman" w:hAnsi="Times New Roman" w:cs="Times New Roman" w:eastAsia="Times New Roman" w:hint="default"/>
                <w:sz w:val="21"/>
                <w:szCs w:val="21"/>
              </w:rPr>
            </w:pPr>
            <w:r>
              <w:rPr>
                <w:rFonts w:ascii="Times New Roman"/>
                <w:spacing w:val="-1"/>
                <w:sz w:val="21"/>
              </w:rPr>
              <w:t>76.2173</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21"/>
                <w:szCs w:val="21"/>
              </w:rPr>
            </w:pPr>
            <w:r>
              <w:rPr>
                <w:rFonts w:ascii="Times New Roman"/>
                <w:spacing w:val="-1"/>
                <w:sz w:val="21"/>
              </w:rPr>
              <w:t>0.2523</w:t>
            </w:r>
          </w:p>
        </w:tc>
      </w:tr>
      <w:tr>
        <w:trPr>
          <w:trHeight w:val="350" w:hRule="exact"/>
        </w:trPr>
        <w:tc>
          <w:tcPr>
            <w:tcW w:w="4478" w:type="dxa"/>
            <w:tcBorders>
              <w:top w:val="nil" w:sz="6" w:space="0" w:color="auto"/>
              <w:left w:val="nil" w:sz="6" w:space="0" w:color="auto"/>
              <w:bottom w:val="nil" w:sz="6" w:space="0" w:color="auto"/>
              <w:right w:val="nil" w:sz="6" w:space="0" w:color="auto"/>
            </w:tcBorders>
          </w:tcPr>
          <w:p>
            <w:pPr>
              <w:pStyle w:val="TableParagraph"/>
              <w:tabs>
                <w:tab w:pos="1144" w:val="left" w:leader="none"/>
              </w:tabs>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柳</w:t>
              <w:tab/>
              <w:t>楠</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48"/>
              <w:jc w:val="right"/>
              <w:rPr>
                <w:rFonts w:ascii="Times New Roman" w:hAnsi="Times New Roman" w:cs="Times New Roman" w:eastAsia="Times New Roman" w:hint="default"/>
                <w:sz w:val="21"/>
                <w:szCs w:val="21"/>
              </w:rPr>
            </w:pPr>
            <w:r>
              <w:rPr>
                <w:rFonts w:ascii="Times New Roman"/>
                <w:spacing w:val="-1"/>
                <w:sz w:val="21"/>
              </w:rPr>
              <w:t>70.5716</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1"/>
                <w:szCs w:val="21"/>
              </w:rPr>
            </w:pPr>
            <w:r>
              <w:rPr>
                <w:rFonts w:ascii="Times New Roman"/>
                <w:spacing w:val="-1"/>
                <w:sz w:val="21"/>
              </w:rPr>
              <w:t>0.2336</w:t>
            </w:r>
          </w:p>
        </w:tc>
      </w:tr>
      <w:tr>
        <w:trPr>
          <w:trHeight w:val="350" w:hRule="exact"/>
        </w:trPr>
        <w:tc>
          <w:tcPr>
            <w:tcW w:w="4478" w:type="dxa"/>
            <w:tcBorders>
              <w:top w:val="nil" w:sz="6" w:space="0" w:color="auto"/>
              <w:left w:val="nil" w:sz="6" w:space="0" w:color="auto"/>
              <w:bottom w:val="nil" w:sz="6" w:space="0" w:color="auto"/>
              <w:right w:val="nil" w:sz="6" w:space="0" w:color="auto"/>
            </w:tcBorders>
          </w:tcPr>
          <w:p>
            <w:pPr>
              <w:pStyle w:val="TableParagraph"/>
              <w:spacing w:line="274" w:lineRule="exact"/>
              <w:ind w:left="723" w:right="0"/>
              <w:jc w:val="left"/>
              <w:rPr>
                <w:rFonts w:ascii="宋体" w:hAnsi="宋体" w:cs="宋体" w:eastAsia="宋体" w:hint="default"/>
                <w:sz w:val="21"/>
                <w:szCs w:val="21"/>
              </w:rPr>
            </w:pPr>
            <w:r>
              <w:rPr>
                <w:rFonts w:ascii="宋体" w:hAnsi="宋体" w:cs="宋体" w:eastAsia="宋体" w:hint="default"/>
                <w:sz w:val="21"/>
                <w:szCs w:val="21"/>
              </w:rPr>
              <w:t>吴凤辉</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48"/>
              <w:jc w:val="right"/>
              <w:rPr>
                <w:rFonts w:ascii="Times New Roman" w:hAnsi="Times New Roman" w:cs="Times New Roman" w:eastAsia="Times New Roman" w:hint="default"/>
                <w:sz w:val="21"/>
                <w:szCs w:val="21"/>
              </w:rPr>
            </w:pPr>
            <w:r>
              <w:rPr>
                <w:rFonts w:ascii="Times New Roman"/>
                <w:spacing w:val="-1"/>
                <w:sz w:val="21"/>
              </w:rPr>
              <w:t>40.2258</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21"/>
                <w:szCs w:val="21"/>
              </w:rPr>
            </w:pPr>
            <w:r>
              <w:rPr>
                <w:rFonts w:ascii="Times New Roman"/>
                <w:spacing w:val="-1"/>
                <w:sz w:val="21"/>
              </w:rPr>
              <w:t>0.1331</w:t>
            </w:r>
          </w:p>
        </w:tc>
      </w:tr>
      <w:tr>
        <w:trPr>
          <w:trHeight w:val="349" w:hRule="exact"/>
        </w:trPr>
        <w:tc>
          <w:tcPr>
            <w:tcW w:w="4478" w:type="dxa"/>
            <w:tcBorders>
              <w:top w:val="nil" w:sz="6" w:space="0" w:color="auto"/>
              <w:left w:val="nil" w:sz="6" w:space="0" w:color="auto"/>
              <w:bottom w:val="nil" w:sz="6" w:space="0" w:color="auto"/>
              <w:right w:val="nil" w:sz="6" w:space="0" w:color="auto"/>
            </w:tcBorders>
          </w:tcPr>
          <w:p>
            <w:pPr>
              <w:pStyle w:val="TableParagraph"/>
              <w:spacing w:line="290" w:lineRule="exact"/>
              <w:ind w:left="723" w:right="0"/>
              <w:jc w:val="left"/>
              <w:rPr>
                <w:rFonts w:ascii="宋体" w:hAnsi="宋体" w:cs="宋体" w:eastAsia="宋体" w:hint="default"/>
                <w:sz w:val="21"/>
                <w:szCs w:val="21"/>
              </w:rPr>
            </w:pPr>
            <w:r>
              <w:rPr>
                <w:rFonts w:ascii="宋体" w:hAnsi="宋体" w:cs="宋体" w:eastAsia="宋体" w:hint="default"/>
                <w:sz w:val="21"/>
                <w:szCs w:val="21"/>
              </w:rPr>
              <w:t>社会公众</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股股东</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48"/>
              <w:jc w:val="right"/>
              <w:rPr>
                <w:rFonts w:ascii="Times New Roman" w:hAnsi="Times New Roman" w:cs="Times New Roman" w:eastAsia="Times New Roman" w:hint="default"/>
                <w:sz w:val="21"/>
                <w:szCs w:val="21"/>
              </w:rPr>
            </w:pPr>
            <w:r>
              <w:rPr>
                <w:rFonts w:ascii="Times New Roman"/>
                <w:spacing w:val="-2"/>
                <w:sz w:val="21"/>
              </w:rPr>
              <w:t>11,080.40</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21"/>
                <w:szCs w:val="21"/>
              </w:rPr>
            </w:pPr>
            <w:r>
              <w:rPr>
                <w:rFonts w:ascii="Times New Roman"/>
                <w:spacing w:val="-1"/>
                <w:sz w:val="21"/>
              </w:rPr>
              <w:t>36.6785</w:t>
            </w:r>
          </w:p>
        </w:tc>
      </w:tr>
      <w:tr>
        <w:trPr>
          <w:trHeight w:val="329" w:hRule="exact"/>
        </w:trPr>
        <w:tc>
          <w:tcPr>
            <w:tcW w:w="4478" w:type="dxa"/>
            <w:tcBorders>
              <w:top w:val="nil" w:sz="6" w:space="0" w:color="auto"/>
              <w:left w:val="nil" w:sz="6" w:space="0" w:color="auto"/>
              <w:bottom w:val="single" w:sz="12" w:space="0" w:color="000000"/>
              <w:right w:val="nil" w:sz="6" w:space="0" w:color="auto"/>
            </w:tcBorders>
          </w:tcPr>
          <w:p>
            <w:pPr>
              <w:pStyle w:val="TableParagraph"/>
              <w:spacing w:line="240" w:lineRule="auto"/>
              <w:ind w:left="7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42" w:type="dxa"/>
            <w:tcBorders>
              <w:top w:val="nil" w:sz="6" w:space="0" w:color="auto"/>
              <w:left w:val="nil" w:sz="6" w:space="0" w:color="auto"/>
              <w:bottom w:val="single" w:sz="12" w:space="0" w:color="000000"/>
              <w:right w:val="nil" w:sz="6" w:space="0" w:color="auto"/>
            </w:tcBorders>
          </w:tcPr>
          <w:p>
            <w:pPr>
              <w:pStyle w:val="TableParagraph"/>
              <w:spacing w:line="240" w:lineRule="auto" w:before="36"/>
              <w:ind w:right="748"/>
              <w:jc w:val="right"/>
              <w:rPr>
                <w:rFonts w:ascii="Times New Roman" w:hAnsi="Times New Roman" w:cs="Times New Roman" w:eastAsia="Times New Roman" w:hint="default"/>
                <w:sz w:val="21"/>
                <w:szCs w:val="21"/>
              </w:rPr>
            </w:pPr>
            <w:r>
              <w:rPr>
                <w:rFonts w:ascii="Times New Roman"/>
                <w:spacing w:val="-1"/>
                <w:sz w:val="21"/>
              </w:rPr>
              <w:t>30,209.4901</w:t>
            </w:r>
          </w:p>
        </w:tc>
        <w:tc>
          <w:tcPr>
            <w:tcW w:w="1647" w:type="dxa"/>
            <w:tcBorders>
              <w:top w:val="nil" w:sz="6" w:space="0" w:color="auto"/>
              <w:left w:val="nil" w:sz="6" w:space="0" w:color="auto"/>
              <w:bottom w:val="single" w:sz="12" w:space="0" w:color="000000"/>
              <w:right w:val="nil" w:sz="6" w:space="0" w:color="auto"/>
            </w:tcBorders>
          </w:tcPr>
          <w:p>
            <w:pPr>
              <w:pStyle w:val="TableParagraph"/>
              <w:spacing w:line="240" w:lineRule="auto" w:before="36"/>
              <w:ind w:right="106"/>
              <w:jc w:val="right"/>
              <w:rPr>
                <w:rFonts w:ascii="Times New Roman" w:hAnsi="Times New Roman" w:cs="Times New Roman" w:eastAsia="Times New Roman" w:hint="default"/>
                <w:sz w:val="21"/>
                <w:szCs w:val="21"/>
              </w:rPr>
            </w:pPr>
            <w:r>
              <w:rPr>
                <w:rFonts w:ascii="Times New Roman"/>
                <w:spacing w:val="-1"/>
                <w:sz w:val="21"/>
              </w:rPr>
              <w:t>100.0000</w:t>
            </w:r>
          </w:p>
        </w:tc>
      </w:tr>
    </w:tbl>
    <w:p>
      <w:pPr>
        <w:spacing w:line="240" w:lineRule="auto" w:before="0"/>
        <w:rPr>
          <w:rFonts w:ascii="宋体" w:hAnsi="宋体" w:cs="宋体" w:eastAsia="宋体" w:hint="default"/>
          <w:sz w:val="20"/>
          <w:szCs w:val="20"/>
        </w:rPr>
      </w:pPr>
    </w:p>
    <w:p>
      <w:pPr>
        <w:spacing w:line="340" w:lineRule="auto" w:before="186"/>
        <w:ind w:left="871" w:right="3273" w:hanging="296"/>
        <w:jc w:val="left"/>
        <w:rPr>
          <w:rFonts w:ascii="宋体" w:hAnsi="宋体" w:cs="宋体" w:eastAsia="宋体" w:hint="default"/>
          <w:sz w:val="21"/>
          <w:szCs w:val="21"/>
        </w:rPr>
      </w:pPr>
      <w:r>
        <w:rPr/>
        <w:pict>
          <v:group style="position:absolute;margin-left:94.199997pt;margin-top:-327.545868pt;width:451.2pt;height:312.25pt;mso-position-horizontal-relative:page;mso-position-vertical-relative:paragraph;z-index:-1166440" coordorigin="1884,-6551" coordsize="9024,6245">
            <v:shape style="position:absolute;left:5434;top:-6551;width:3180;height:379" type="#_x0000_t75" stroked="false">
              <v:imagedata r:id="rId62" o:title=""/>
            </v:shape>
            <v:shape style="position:absolute;left:1884;top:-6211;width:9024;height:5904" type="#_x0000_t75" stroked="false">
              <v:imagedata r:id="rId63" o:title=""/>
            </v:shape>
            <w10:wrap type="none"/>
          </v:group>
        </w:pict>
      </w:r>
      <w:r>
        <w:rPr/>
        <w:pict>
          <v:group style="position:absolute;margin-left:87.480003pt;margin-top:45.504135pt;width:388.5pt;height:.1pt;mso-position-horizontal-relative:page;mso-position-vertical-relative:paragraph;z-index:-1166416" coordorigin="1750,910" coordsize="7770,2">
            <v:shape style="position:absolute;left:1750;top:910;width:7770;height:2" coordorigin="1750,910" coordsize="7770,0" path="m1750,910l9520,910e" filled="false" stroked="true" strokeweight=".72pt" strokecolor="#000000">
              <v:path arrowok="t"/>
            </v:shape>
            <w10:wrap type="none"/>
          </v:group>
        </w:pict>
      </w:r>
      <w:r>
        <w:rPr>
          <w:rFonts w:ascii="宋体" w:hAnsi="宋体" w:cs="宋体" w:eastAsia="宋体" w:hint="default"/>
          <w:b/>
          <w:bCs/>
          <w:sz w:val="21"/>
          <w:szCs w:val="21"/>
        </w:rPr>
        <w:t>（三）合并财务报表范围</w:t>
      </w:r>
      <w:r>
        <w:rPr>
          <w:rFonts w:ascii="宋体" w:hAnsi="宋体" w:cs="宋体" w:eastAsia="宋体" w:hint="default"/>
          <w:b/>
          <w:bCs/>
          <w:w w:val="99"/>
          <w:sz w:val="21"/>
          <w:szCs w:val="21"/>
        </w:rPr>
        <w:t> </w:t>
      </w:r>
      <w:r>
        <w:rPr>
          <w:rFonts w:ascii="宋体" w:hAnsi="宋体" w:cs="宋体" w:eastAsia="宋体" w:hint="default"/>
          <w:sz w:val="21"/>
          <w:szCs w:val="21"/>
        </w:rPr>
        <w:t>截止</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日，本公司合并财务报表范围内子公司如下：</w:t>
      </w:r>
    </w:p>
    <w:p>
      <w:pPr>
        <w:pStyle w:val="BodyText"/>
        <w:spacing w:line="224" w:lineRule="exact" w:before="0"/>
        <w:ind w:left="555" w:right="1288"/>
        <w:jc w:val="center"/>
      </w:pPr>
      <w:r>
        <w:rPr/>
        <w:t>子公司名称</w:t>
      </w:r>
    </w:p>
    <w:p>
      <w:pPr>
        <w:spacing w:line="240" w:lineRule="auto" w:before="9"/>
        <w:rPr>
          <w:rFonts w:ascii="宋体" w:hAnsi="宋体" w:cs="宋体" w:eastAsia="宋体" w:hint="default"/>
          <w:sz w:val="4"/>
          <w:szCs w:val="4"/>
        </w:rPr>
      </w:pPr>
    </w:p>
    <w:p>
      <w:pPr>
        <w:spacing w:line="30" w:lineRule="exact"/>
        <w:ind w:left="754" w:right="0" w:firstLine="0"/>
        <w:rPr>
          <w:rFonts w:ascii="宋体" w:hAnsi="宋体" w:cs="宋体" w:eastAsia="宋体" w:hint="default"/>
          <w:sz w:val="3"/>
          <w:szCs w:val="3"/>
        </w:rPr>
      </w:pPr>
      <w:r>
        <w:rPr>
          <w:rFonts w:ascii="宋体" w:hAnsi="宋体" w:cs="宋体" w:eastAsia="宋体" w:hint="default"/>
          <w:position w:val="0"/>
          <w:sz w:val="3"/>
          <w:szCs w:val="3"/>
        </w:rPr>
        <w:pict>
          <v:group style="width:390pt;height:1.5pt;mso-position-horizontal-relative:char;mso-position-vertical-relative:line" coordorigin="0,0" coordsize="7800,30">
            <v:group style="position:absolute;left:15;top:15;width:7770;height:2" coordorigin="15,15" coordsize="7770,2">
              <v:shape style="position:absolute;left:15;top:15;width:7770;height:2" coordorigin="15,15" coordsize="7770,0" path="m15,15l7785,15e" filled="false" stroked="true" strokeweight="1.5pt" strokecolor="#000000">
                <v:path arrowok="t"/>
              </v:shape>
            </v:group>
          </v:group>
        </w:pict>
      </w:r>
      <w:r>
        <w:rPr>
          <w:rFonts w:ascii="宋体" w:hAnsi="宋体" w:cs="宋体" w:eastAsia="宋体" w:hint="default"/>
          <w:position w:val="0"/>
          <w:sz w:val="3"/>
          <w:szCs w:val="3"/>
        </w:rPr>
      </w:r>
    </w:p>
    <w:p>
      <w:pPr>
        <w:spacing w:line="360" w:lineRule="auto" w:before="10"/>
        <w:ind w:left="780" w:right="6904" w:firstLine="0"/>
        <w:jc w:val="left"/>
        <w:rPr>
          <w:rFonts w:ascii="宋体" w:hAnsi="宋体" w:cs="宋体" w:eastAsia="宋体" w:hint="default"/>
          <w:sz w:val="18"/>
          <w:szCs w:val="18"/>
        </w:rPr>
      </w:pPr>
      <w:r>
        <w:rPr/>
        <w:pict>
          <v:group style="position:absolute;margin-left:87.480003pt;margin-top:16.802008pt;width:388.5pt;height:.1pt;mso-position-horizontal-relative:page;mso-position-vertical-relative:paragraph;z-index:-1166392" coordorigin="1750,336" coordsize="7770,2">
            <v:shape style="position:absolute;left:1750;top:336;width:7770;height:2" coordorigin="1750,336" coordsize="7770,0" path="m1750,336l9520,336e" filled="false" stroked="true" strokeweight="1.5pt" strokecolor="#000000">
              <v:path arrowok="t"/>
            </v:shape>
            <w10:wrap type="none"/>
          </v:group>
        </w:pict>
      </w:r>
      <w:r>
        <w:rPr/>
        <w:pict>
          <v:group style="position:absolute;margin-left:87.480003pt;margin-top:34.442005pt;width:388.5pt;height:.1pt;mso-position-horizontal-relative:page;mso-position-vertical-relative:paragraph;z-index:-1166368" coordorigin="1750,689" coordsize="7770,2">
            <v:shape style="position:absolute;left:1750;top:689;width:7770;height:2" coordorigin="1750,689" coordsize="7770,0" path="m1750,689l9520,689e" filled="false" stroked="true" strokeweight="1.5pt" strokecolor="#000000">
              <v:path arrowok="t"/>
            </v:shape>
            <w10:wrap type="none"/>
          </v:group>
        </w:pict>
      </w:r>
      <w:r>
        <w:rPr>
          <w:rFonts w:ascii="宋体" w:hAnsi="宋体" w:cs="宋体" w:eastAsia="宋体" w:hint="default"/>
          <w:sz w:val="18"/>
          <w:szCs w:val="18"/>
        </w:rPr>
        <w:t>福建新开普信息科技有限公司 北京迪科远望科技有限公司 上海树维信息科技有限公司</w:t>
      </w:r>
    </w:p>
    <w:p>
      <w:pPr>
        <w:spacing w:line="30" w:lineRule="exact"/>
        <w:ind w:left="740" w:right="0" w:firstLine="0"/>
        <w:rPr>
          <w:rFonts w:ascii="宋体" w:hAnsi="宋体" w:cs="宋体" w:eastAsia="宋体" w:hint="default"/>
          <w:sz w:val="3"/>
          <w:szCs w:val="3"/>
        </w:rPr>
      </w:pPr>
      <w:r>
        <w:rPr>
          <w:rFonts w:ascii="宋体" w:hAnsi="宋体" w:cs="宋体" w:eastAsia="宋体" w:hint="default"/>
          <w:position w:val="0"/>
          <w:sz w:val="3"/>
          <w:szCs w:val="3"/>
        </w:rPr>
        <w:pict>
          <v:group style="width:390.75pt;height:1.5pt;mso-position-horizontal-relative:char;mso-position-vertical-relative:line" coordorigin="0,0" coordsize="7815,30">
            <v:group style="position:absolute;left:15;top:15;width:7785;height:2" coordorigin="15,15" coordsize="7785,2">
              <v:shape style="position:absolute;left:15;top:15;width:7785;height:2" coordorigin="15,15" coordsize="7785,0" path="m15,15l7799,15e" filled="false" stroked="true" strokeweight="1.5pt" strokecolor="#000000">
                <v:path arrowok="t"/>
              </v:shape>
            </v:group>
          </v:group>
        </w:pict>
      </w:r>
      <w:r>
        <w:rPr>
          <w:rFonts w:ascii="宋体" w:hAnsi="宋体" w:cs="宋体" w:eastAsia="宋体" w:hint="default"/>
          <w:position w:val="0"/>
          <w:sz w:val="3"/>
          <w:szCs w:val="3"/>
        </w:rPr>
      </w:r>
    </w:p>
    <w:p>
      <w:pPr>
        <w:pStyle w:val="BodyText"/>
        <w:spacing w:line="240" w:lineRule="auto" w:before="63"/>
        <w:ind w:left="574" w:right="0"/>
        <w:jc w:val="left"/>
      </w:pPr>
      <w:r>
        <w:rPr/>
        <w:t>本期合并财务报表范围及其变化情况详见本附注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8"/>
          <w:szCs w:val="28"/>
        </w:rPr>
      </w:pPr>
    </w:p>
    <w:p>
      <w:pPr>
        <w:pStyle w:val="Heading2"/>
        <w:spacing w:line="240" w:lineRule="auto"/>
        <w:ind w:right="0"/>
        <w:jc w:val="left"/>
        <w:rPr>
          <w:b w:val="0"/>
          <w:bCs w:val="0"/>
        </w:rPr>
      </w:pP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30"/>
          <w:szCs w:val="30"/>
        </w:rPr>
      </w:pPr>
    </w:p>
    <w:p>
      <w:pPr>
        <w:pStyle w:val="BodyText"/>
        <w:spacing w:line="386" w:lineRule="auto" w:before="0"/>
        <w:ind w:left="153" w:right="248" w:firstLine="420"/>
        <w:jc w:val="both"/>
      </w:pPr>
      <w:r>
        <w:rPr>
          <w:spacing w:val="-1"/>
        </w:rPr>
        <w:t>公司根据实际发生的交易和事项，按照财政部颁布的《企业会计准则</w:t>
      </w:r>
      <w:r>
        <w:rPr>
          <w:rFonts w:ascii="Times New Roman" w:hAnsi="Times New Roman" w:cs="Times New Roman" w:eastAsia="Times New Roman" w:hint="default"/>
          <w:spacing w:val="-1"/>
        </w:rPr>
        <w:t>——</w:t>
      </w:r>
      <w:r>
        <w:rPr>
          <w:spacing w:val="-1"/>
        </w:rPr>
        <w:t>基本准则》和各项具体会计</w:t>
      </w:r>
      <w:r>
        <w:rPr/>
        <w:t> 准则、企业会计准则应用指南、企业会计准则解释及其他相关规定（以下合称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），以及中 国证券监督管理委员会《公开发行证券的公司信息披露编报规则第</w:t>
      </w:r>
      <w:r>
        <w:rPr>
          <w:rFonts w:ascii="Times New Roman" w:hAnsi="Times New Roman" w:cs="Times New Roman" w:eastAsia="Times New Roman" w:hint="default"/>
        </w:rPr>
        <w:t>15 </w:t>
      </w:r>
      <w:r>
        <w:rPr/>
        <w:t>号</w:t>
      </w:r>
      <w:r>
        <w:rPr>
          <w:rFonts w:ascii="Times New Roman" w:hAnsi="Times New Roman" w:cs="Times New Roman" w:eastAsia="Times New Roman" w:hint="default"/>
        </w:rPr>
        <w:t>——</w:t>
      </w:r>
      <w:r>
        <w:rPr/>
        <w:t>财务报告的一般规定》的披</w:t>
      </w:r>
      <w:r>
        <w:rPr>
          <w:spacing w:val="-92"/>
        </w:rPr>
        <w:t> </w:t>
      </w:r>
      <w:r>
        <w:rPr/>
        <w:t>露规定编制财务报表。</w:t>
      </w:r>
    </w:p>
    <w:p>
      <w:pPr>
        <w:spacing w:after="0" w:line="386" w:lineRule="auto"/>
        <w:jc w:val="both"/>
        <w:sectPr>
          <w:pgSz w:w="11910" w:h="16840"/>
          <w:pgMar w:header="877" w:footer="982" w:top="1100" w:bottom="1180" w:left="980" w:right="880"/>
        </w:sectPr>
      </w:pPr>
    </w:p>
    <w:p>
      <w:pPr>
        <w:spacing w:line="240" w:lineRule="auto" w:before="10"/>
        <w:rPr>
          <w:rFonts w:ascii="宋体" w:hAnsi="宋体" w:cs="宋体" w:eastAsia="宋体" w:hint="default"/>
          <w:sz w:val="20"/>
          <w:szCs w:val="20"/>
        </w:rPr>
      </w:pPr>
    </w:p>
    <w:p>
      <w:pPr>
        <w:pStyle w:val="Heading4"/>
        <w:spacing w:line="240" w:lineRule="auto" w:before="35"/>
        <w:ind w:right="0"/>
        <w:jc w:val="both"/>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3" w:right="0"/>
        <w:jc w:val="left"/>
      </w:pPr>
      <w:r>
        <w:rPr/>
        <w:t>本财务报表以持续经营为基础编制。</w:t>
      </w:r>
    </w:p>
    <w:p>
      <w:pPr>
        <w:spacing w:line="240" w:lineRule="auto" w:before="1"/>
        <w:rPr>
          <w:rFonts w:ascii="宋体" w:hAnsi="宋体" w:cs="宋体" w:eastAsia="宋体" w:hint="default"/>
          <w:sz w:val="24"/>
          <w:szCs w:val="24"/>
        </w:rPr>
      </w:pPr>
    </w:p>
    <w:p>
      <w:pPr>
        <w:pStyle w:val="Heading2"/>
        <w:spacing w:line="240" w:lineRule="auto"/>
        <w:ind w:right="0"/>
        <w:jc w:val="both"/>
        <w:rPr>
          <w:b w:val="0"/>
          <w:bCs w:val="0"/>
        </w:rPr>
      </w:pPr>
      <w:r>
        <w:rPr/>
        <w:t>五、重要会计政策及会计估计</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spacing w:line="240" w:lineRule="auto" w:before="10"/>
        <w:rPr>
          <w:rFonts w:ascii="宋体" w:hAnsi="宋体" w:cs="宋体" w:eastAsia="宋体" w:hint="default"/>
          <w:sz w:val="12"/>
          <w:szCs w:val="12"/>
        </w:rPr>
      </w:pPr>
    </w:p>
    <w:p>
      <w:pPr>
        <w:pStyle w:val="BodyText"/>
        <w:spacing w:line="408" w:lineRule="auto" w:before="0"/>
        <w:ind w:right="0" w:firstLine="420"/>
        <w:jc w:val="left"/>
      </w:pPr>
      <w:r>
        <w:rPr>
          <w:spacing w:val="-1"/>
        </w:rPr>
        <w:t>公司根据实际生产经营特点，依据相关企业会计准则的规定，对收入确认等交易和事项制定了若干项</w:t>
      </w:r>
      <w:r>
        <w:rPr/>
        <w:t> 具体会计政策和会计估计。</w:t>
      </w:r>
    </w:p>
    <w:p>
      <w:pPr>
        <w:spacing w:line="240" w:lineRule="auto" w:before="8"/>
        <w:rPr>
          <w:rFonts w:ascii="宋体" w:hAnsi="宋体" w:cs="宋体" w:eastAsia="宋体" w:hint="default"/>
          <w:sz w:val="20"/>
          <w:szCs w:val="20"/>
        </w:rPr>
      </w:pPr>
    </w:p>
    <w:p>
      <w:pPr>
        <w:pStyle w:val="Heading4"/>
        <w:spacing w:line="240" w:lineRule="auto"/>
        <w:ind w:left="153" w:right="0"/>
        <w:jc w:val="both"/>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153" w:right="0" w:firstLine="420"/>
        <w:jc w:val="left"/>
      </w:pPr>
      <w:r>
        <w:rPr>
          <w:spacing w:val="-1"/>
        </w:rPr>
        <w:t>公司所编制的财务报表符合企业会计准则的要求，真实、完整地反映了报告期公司的财务状况、经营</w:t>
      </w:r>
      <w:r>
        <w:rPr/>
        <w:t> 成果、现金流量等有关信息。</w:t>
      </w:r>
    </w:p>
    <w:p>
      <w:pPr>
        <w:spacing w:line="240" w:lineRule="auto" w:before="8"/>
        <w:rPr>
          <w:rFonts w:ascii="宋体" w:hAnsi="宋体" w:cs="宋体" w:eastAsia="宋体" w:hint="default"/>
          <w:sz w:val="20"/>
          <w:szCs w:val="20"/>
        </w:rPr>
      </w:pPr>
    </w:p>
    <w:p>
      <w:pPr>
        <w:pStyle w:val="Heading4"/>
        <w:spacing w:line="240" w:lineRule="auto"/>
        <w:ind w:left="153" w:right="0"/>
        <w:jc w:val="both"/>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3" w:right="0"/>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8"/>
        <w:rPr>
          <w:rFonts w:ascii="宋体" w:hAnsi="宋体" w:cs="宋体" w:eastAsia="宋体" w:hint="default"/>
          <w:sz w:val="24"/>
          <w:szCs w:val="24"/>
        </w:rPr>
      </w:pPr>
    </w:p>
    <w:p>
      <w:pPr>
        <w:pStyle w:val="Heading4"/>
        <w:spacing w:line="240" w:lineRule="auto"/>
        <w:ind w:left="153" w:right="0"/>
        <w:jc w:val="both"/>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3" w:right="0"/>
        <w:jc w:val="left"/>
      </w:pPr>
      <w:r>
        <w:rPr/>
        <w:t>本公司营业周期为</w:t>
      </w:r>
      <w:r>
        <w:rPr>
          <w:rFonts w:ascii="Times New Roman" w:hAnsi="Times New Roman" w:cs="Times New Roman" w:eastAsia="Times New Roman" w:hint="default"/>
        </w:rPr>
        <w:t>12</w:t>
      </w:r>
      <w:r>
        <w:rPr/>
        <w:t>个月。</w:t>
      </w:r>
    </w:p>
    <w:p>
      <w:pPr>
        <w:spacing w:line="240" w:lineRule="auto" w:before="8"/>
        <w:rPr>
          <w:rFonts w:ascii="宋体" w:hAnsi="宋体" w:cs="宋体" w:eastAsia="宋体" w:hint="default"/>
          <w:sz w:val="24"/>
          <w:szCs w:val="24"/>
        </w:rPr>
      </w:pPr>
    </w:p>
    <w:p>
      <w:pPr>
        <w:pStyle w:val="Heading4"/>
        <w:spacing w:line="240" w:lineRule="auto"/>
        <w:ind w:left="153" w:right="0"/>
        <w:jc w:val="both"/>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4" w:right="0"/>
        <w:jc w:val="left"/>
      </w:pPr>
      <w:r>
        <w:rPr/>
        <w:t>采用人民币为记账本位币。</w:t>
      </w:r>
    </w:p>
    <w:p>
      <w:pPr>
        <w:spacing w:line="690" w:lineRule="exact" w:before="31"/>
        <w:ind w:left="574"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spacing w:val="1"/>
          <w:w w:val="99"/>
          <w:sz w:val="21"/>
          <w:szCs w:val="21"/>
        </w:rPr>
        <w:t> </w:t>
      </w:r>
      <w:r>
        <w:rPr>
          <w:rFonts w:ascii="宋体" w:hAnsi="宋体" w:cs="宋体" w:eastAsia="宋体" w:hint="default"/>
          <w:spacing w:val="-6"/>
          <w:sz w:val="21"/>
          <w:szCs w:val="21"/>
        </w:rPr>
        <w:t>同一控制下企业合并：本公司在企业合并中取得的资产和负债，按照合并日在被合并方资产、负债（包</w:t>
      </w:r>
    </w:p>
    <w:p>
      <w:pPr>
        <w:pStyle w:val="BodyText"/>
        <w:spacing w:line="408" w:lineRule="auto" w:before="84"/>
        <w:ind w:left="153" w:right="151"/>
        <w:jc w:val="both"/>
      </w:pPr>
      <w:r>
        <w:rPr>
          <w:spacing w:val="-1"/>
        </w:rPr>
        <w:t>括最终控制方收购被合并方而形成的商誉）在最终控制方合并财务报表中的账面价值计量。在合并中取得</w:t>
      </w:r>
      <w:r>
        <w:rPr>
          <w:spacing w:val="-81"/>
        </w:rPr>
        <w:t> </w:t>
      </w:r>
      <w:r>
        <w:rPr>
          <w:spacing w:val="-81"/>
        </w:rPr>
      </w:r>
      <w:r>
        <w:rPr>
          <w:spacing w:val="-1"/>
        </w:rPr>
        <w:t>的净资产账面价值与支付的合并对价账面价值（或发行股份面值总额）的差额，调整资本公积中的股本溢</w:t>
      </w:r>
      <w:r>
        <w:rPr>
          <w:spacing w:val="-83"/>
        </w:rPr>
        <w:t> </w:t>
      </w:r>
      <w:r>
        <w:rPr>
          <w:spacing w:val="-83"/>
        </w:rPr>
      </w:r>
      <w:r>
        <w:rPr/>
        <w:t>价，资本公积中的股本溢价不足冲减的，调整留存收益。</w:t>
      </w:r>
    </w:p>
    <w:p>
      <w:pPr>
        <w:pStyle w:val="BodyText"/>
        <w:spacing w:line="408" w:lineRule="auto"/>
        <w:ind w:left="153" w:right="151" w:firstLine="420"/>
        <w:jc w:val="both"/>
      </w:pPr>
      <w:r>
        <w:rPr>
          <w:spacing w:val="-1"/>
        </w:rPr>
        <w:t>非同一控制下企业合并：本公司在购买日对作为企业合并对价付出的资产、发生或承担的负债按照公</w:t>
      </w:r>
      <w:r>
        <w:rPr/>
        <w:t> </w:t>
      </w:r>
      <w:r>
        <w:rPr>
          <w:spacing w:val="-1"/>
        </w:rPr>
        <w:t>允价值计量，公允价值与其账面价值的差额，计入当期损益。本公司对合并成本大于合并中取得的被购买</w:t>
      </w:r>
      <w:r>
        <w:rPr>
          <w:spacing w:val="-83"/>
        </w:rPr>
        <w:t> </w:t>
      </w:r>
      <w:r>
        <w:rPr>
          <w:spacing w:val="-83"/>
        </w:rPr>
      </w:r>
      <w:r>
        <w:rPr>
          <w:spacing w:val="-1"/>
        </w:rPr>
        <w:t>方可辨认净资产公允价值份额的差额，确认为商誉；合并成本小于合并中取得的被购买方可辨认净资产公</w:t>
      </w:r>
      <w:r>
        <w:rPr>
          <w:spacing w:val="-81"/>
        </w:rPr>
        <w:t> </w:t>
      </w:r>
      <w:r>
        <w:rPr>
          <w:spacing w:val="-81"/>
        </w:rPr>
      </w:r>
      <w:r>
        <w:rPr/>
        <w:t>允价值份额的差额，经复核后，计入当期损益。</w:t>
      </w:r>
    </w:p>
    <w:p>
      <w:pPr>
        <w:pStyle w:val="BodyText"/>
        <w:spacing w:line="240" w:lineRule="auto"/>
        <w:ind w:left="573" w:right="0"/>
        <w:jc w:val="left"/>
      </w:pPr>
      <w:r>
        <w:rPr/>
        <w:t>为企业合并发生的审计、法律服务、评估咨询等中介费用以及其他直接相关费用，于发生时计入当期</w:t>
      </w:r>
    </w:p>
    <w:p>
      <w:pPr>
        <w:spacing w:after="0" w:line="240"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240" w:lineRule="auto" w:before="35"/>
        <w:ind w:right="0"/>
        <w:jc w:val="both"/>
      </w:pPr>
      <w:r>
        <w:rPr/>
        <w:t>损益；为企业合并而发行权益性证券的交易费用，冲减权益。</w:t>
      </w:r>
    </w:p>
    <w:p>
      <w:pPr>
        <w:spacing w:line="240" w:lineRule="auto" w:before="0"/>
        <w:rPr>
          <w:rFonts w:ascii="宋体" w:hAnsi="宋体" w:cs="宋体" w:eastAsia="宋体" w:hint="default"/>
          <w:sz w:val="20"/>
          <w:szCs w:val="20"/>
        </w:rPr>
      </w:pPr>
    </w:p>
    <w:p>
      <w:pPr>
        <w:pStyle w:val="Heading4"/>
        <w:spacing w:line="240" w:lineRule="auto" w:before="154"/>
        <w:ind w:left="153"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30"/>
          <w:szCs w:val="30"/>
        </w:rPr>
      </w:pPr>
    </w:p>
    <w:p>
      <w:pPr>
        <w:pStyle w:val="BodyText"/>
        <w:spacing w:line="386" w:lineRule="auto" w:before="0"/>
        <w:ind w:left="574" w:right="0" w:hanging="8"/>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5"/>
        </w:rPr>
        <w:t> </w:t>
      </w:r>
      <w:r>
        <w:rPr>
          <w:rFonts w:ascii="宋体" w:hAnsi="宋体" w:cs="宋体" w:eastAsia="宋体" w:hint="default"/>
          <w:b/>
          <w:bCs/>
        </w:rPr>
        <w:t>合并范围</w:t>
      </w:r>
      <w:r>
        <w:rPr>
          <w:rFonts w:ascii="宋体" w:hAnsi="宋体" w:cs="宋体" w:eastAsia="宋体" w:hint="default"/>
          <w:b/>
          <w:bCs/>
          <w:spacing w:val="1"/>
          <w:w w:val="99"/>
        </w:rPr>
        <w:t> </w:t>
      </w:r>
      <w:r>
        <w:rPr>
          <w:spacing w:val="-1"/>
        </w:rPr>
        <w:t>本公司合并财务报表的合并范围以控制为基础确定，所有子公司（包括本公司所控制的被投资方可分</w:t>
      </w:r>
    </w:p>
    <w:p>
      <w:pPr>
        <w:pStyle w:val="BodyText"/>
        <w:spacing w:line="240" w:lineRule="auto" w:before="65"/>
        <w:ind w:right="0"/>
        <w:jc w:val="both"/>
      </w:pPr>
      <w:r>
        <w:rPr/>
        <w:t>割的部分）均纳入合并财务报表。</w:t>
      </w:r>
    </w:p>
    <w:p>
      <w:pPr>
        <w:spacing w:line="240" w:lineRule="auto" w:before="10"/>
        <w:rPr>
          <w:rFonts w:ascii="宋体" w:hAnsi="宋体" w:cs="宋体" w:eastAsia="宋体" w:hint="default"/>
          <w:sz w:val="14"/>
          <w:szCs w:val="14"/>
        </w:rPr>
      </w:pPr>
    </w:p>
    <w:p>
      <w:pPr>
        <w:pStyle w:val="BodyText"/>
        <w:spacing w:line="386" w:lineRule="auto" w:before="0"/>
        <w:ind w:left="574" w:right="0" w:hanging="8"/>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5"/>
        </w:rPr>
        <w:t> </w:t>
      </w:r>
      <w:r>
        <w:rPr>
          <w:rFonts w:ascii="宋体" w:hAnsi="宋体" w:cs="宋体" w:eastAsia="宋体" w:hint="default"/>
          <w:b/>
          <w:bCs/>
        </w:rPr>
        <w:t>合并程序</w:t>
      </w:r>
      <w:r>
        <w:rPr>
          <w:rFonts w:ascii="宋体" w:hAnsi="宋体" w:cs="宋体" w:eastAsia="宋体" w:hint="default"/>
          <w:b/>
          <w:bCs/>
          <w:spacing w:val="1"/>
          <w:w w:val="99"/>
        </w:rPr>
        <w:t> </w:t>
      </w:r>
      <w:r>
        <w:rPr>
          <w:spacing w:val="-1"/>
        </w:rPr>
        <w:t>本公司以自身和各子公司的财务报表为基础，根据其他有关资料，编制合并财务报表。本公司编制合</w:t>
      </w:r>
    </w:p>
    <w:p>
      <w:pPr>
        <w:pStyle w:val="BodyText"/>
        <w:spacing w:line="408" w:lineRule="auto" w:before="65"/>
        <w:ind w:right="151"/>
        <w:jc w:val="both"/>
      </w:pPr>
      <w:r>
        <w:rPr>
          <w:spacing w:val="-1"/>
        </w:rPr>
        <w:t>并财务报表，将整个企业集团视为一个会计主体，依据相关企业会计准则的确认、计量和列报要求，按照</w:t>
      </w:r>
      <w:r>
        <w:rPr>
          <w:spacing w:val="-82"/>
        </w:rPr>
        <w:t> </w:t>
      </w:r>
      <w:r>
        <w:rPr>
          <w:spacing w:val="-82"/>
        </w:rPr>
      </w:r>
      <w:r>
        <w:rPr/>
        <w:t>统一的会计政策，反映本企业集团整体财务状况、经营成果和现金流量。</w:t>
      </w:r>
    </w:p>
    <w:p>
      <w:pPr>
        <w:pStyle w:val="BodyText"/>
        <w:spacing w:line="408" w:lineRule="auto"/>
        <w:ind w:right="149" w:firstLine="420"/>
        <w:jc w:val="both"/>
      </w:pPr>
      <w:r>
        <w:rPr>
          <w:spacing w:val="-1"/>
        </w:rPr>
        <w:t>所有纳入合并财务报表合并范围的子公司所采用的会计政策、会计期间与本公司一致，如子公司采用</w:t>
      </w:r>
      <w:r>
        <w:rPr/>
        <w:t> </w:t>
      </w:r>
      <w:r>
        <w:rPr>
          <w:spacing w:val="-1"/>
        </w:rPr>
        <w:t>的会计政策、会计期间与本公司不一致的，在编制合并财务报表时，按本公司的会计政策、会计期间进行</w:t>
      </w:r>
      <w:r>
        <w:rPr>
          <w:spacing w:val="-82"/>
        </w:rPr>
        <w:t> </w:t>
      </w:r>
      <w:r>
        <w:rPr>
          <w:spacing w:val="-82"/>
        </w:rPr>
      </w:r>
      <w:r>
        <w:rPr>
          <w:spacing w:val="-1"/>
        </w:rPr>
        <w:t>必要的调整。对于非同一控制下企业合并取得的子公司，以购买日可辨认净资产公允价值为基础对其财务</w:t>
      </w:r>
      <w:r>
        <w:rPr>
          <w:spacing w:val="-81"/>
        </w:rPr>
        <w:t> </w:t>
      </w:r>
      <w:r>
        <w:rPr>
          <w:spacing w:val="-81"/>
        </w:rPr>
      </w:r>
      <w:r>
        <w:rPr>
          <w:spacing w:val="-1"/>
        </w:rPr>
        <w:t>报表进行调整。对于同一控制下企业合并取得的子公司，以其资产、负债（包括最终控制方收购该子公司</w:t>
      </w:r>
      <w:r>
        <w:rPr>
          <w:spacing w:val="-82"/>
        </w:rPr>
        <w:t> </w:t>
      </w:r>
      <w:r>
        <w:rPr>
          <w:spacing w:val="-82"/>
        </w:rPr>
      </w:r>
      <w:r>
        <w:rPr/>
        <w:t>而形成的商誉）在最终控制方财务报表中的账面价值为基础对其财务报表进行调整。</w:t>
      </w:r>
    </w:p>
    <w:p>
      <w:pPr>
        <w:pStyle w:val="BodyText"/>
        <w:spacing w:line="408" w:lineRule="auto"/>
        <w:ind w:right="149" w:firstLine="420"/>
        <w:jc w:val="both"/>
      </w:pPr>
      <w:r>
        <w:rPr>
          <w:spacing w:val="-1"/>
        </w:rPr>
        <w:t>子公司所有者权益、当期净损益和当期综合收益中属于少数股东的份额分别在合并资产负债表中所有</w:t>
      </w:r>
      <w:r>
        <w:rPr/>
        <w:t> </w:t>
      </w:r>
      <w:r>
        <w:rPr>
          <w:spacing w:val="-1"/>
        </w:rPr>
        <w:t>者权益项目下、合并利润表中净利润项目下和综合收益总额项目下单独列示。子公司少数股东分担的当期</w:t>
      </w:r>
      <w:r>
        <w:rPr>
          <w:spacing w:val="-81"/>
        </w:rPr>
        <w:t> </w:t>
      </w:r>
      <w:r>
        <w:rPr>
          <w:spacing w:val="-81"/>
        </w:rPr>
      </w:r>
      <w:r>
        <w:rPr/>
        <w:t>亏损超过了少数股东在该子公司期初所有者权益中所享有份额而形成的余额，冲减少数股东权益。</w:t>
      </w:r>
    </w:p>
    <w:p>
      <w:pPr>
        <w:pStyle w:val="BodyText"/>
        <w:spacing w:line="386" w:lineRule="auto"/>
        <w:ind w:left="574" w:right="0" w:hanging="1"/>
        <w:jc w:val="left"/>
      </w:pPr>
      <w:r>
        <w:rPr/>
        <w:t>（</w:t>
      </w:r>
      <w:r>
        <w:rPr>
          <w:rFonts w:ascii="Times New Roman" w:hAnsi="Times New Roman" w:cs="Times New Roman" w:eastAsia="Times New Roman" w:hint="default"/>
        </w:rPr>
        <w:t>1</w:t>
      </w:r>
      <w:r>
        <w:rPr/>
        <w:t>）增加子公司或业务 </w:t>
      </w:r>
      <w:r>
        <w:rPr>
          <w:spacing w:val="-1"/>
        </w:rPr>
        <w:t>在报告期内，若因同一控制下企业合并增加子公司或业务的，则调整合并资产负债表的期初数；将子</w:t>
      </w:r>
    </w:p>
    <w:p>
      <w:pPr>
        <w:pStyle w:val="BodyText"/>
        <w:spacing w:line="408" w:lineRule="auto" w:before="65"/>
        <w:ind w:right="149"/>
        <w:jc w:val="both"/>
      </w:pPr>
      <w:r>
        <w:rPr>
          <w:spacing w:val="-1"/>
        </w:rPr>
        <w:t>公司或业务合并当期期初至报告期末的收入、费用、利润纳入合并利润表；将子公司或业务合并当期期初</w:t>
      </w:r>
      <w:r>
        <w:rPr>
          <w:spacing w:val="-83"/>
        </w:rPr>
        <w:t> </w:t>
      </w:r>
      <w:r>
        <w:rPr>
          <w:spacing w:val="-83"/>
        </w:rPr>
      </w:r>
      <w:r>
        <w:rPr>
          <w:spacing w:val="-1"/>
        </w:rPr>
        <w:t>至报告期末的现金流量纳入合并现金流量表，同时对比较报表的相关项目进行调整，视同合并后的报告主</w:t>
      </w:r>
      <w:r>
        <w:rPr>
          <w:spacing w:val="-81"/>
        </w:rPr>
        <w:t> </w:t>
      </w:r>
      <w:r>
        <w:rPr>
          <w:spacing w:val="-81"/>
        </w:rPr>
      </w:r>
      <w:r>
        <w:rPr/>
        <w:t>体自最终控制方开始控制时点起一直存在。</w:t>
      </w:r>
    </w:p>
    <w:p>
      <w:pPr>
        <w:pStyle w:val="BodyText"/>
        <w:spacing w:line="408" w:lineRule="auto"/>
        <w:ind w:right="149" w:firstLine="420"/>
        <w:jc w:val="both"/>
      </w:pPr>
      <w:r>
        <w:rPr>
          <w:spacing w:val="-1"/>
        </w:rPr>
        <w:t>因追加投资等原因能够对同一控制下的被投资方实施控制的，视同参与合并的各方在最终控制方开始</w:t>
      </w:r>
      <w:r>
        <w:rPr/>
        <w:t> </w:t>
      </w:r>
      <w:r>
        <w:rPr>
          <w:spacing w:val="-1"/>
        </w:rPr>
        <w:t>控制时即以目前的状态存在进行调整。在取得被合并方控制权之前持有的股权投资，在取得原股权之日与</w:t>
      </w:r>
      <w:r>
        <w:rPr>
          <w:spacing w:val="-81"/>
        </w:rPr>
        <w:t> </w:t>
      </w:r>
      <w:r>
        <w:rPr>
          <w:spacing w:val="-81"/>
        </w:rPr>
      </w:r>
      <w:r>
        <w:rPr>
          <w:spacing w:val="-1"/>
        </w:rPr>
        <w:t>合并方和被合并方同处于同一控制之日孰晚日起至合并日之间已确认有关损益、其他综合收益以及其他净</w:t>
      </w:r>
      <w:r>
        <w:rPr>
          <w:spacing w:val="-81"/>
        </w:rPr>
        <w:t> </w:t>
      </w:r>
      <w:r>
        <w:rPr>
          <w:spacing w:val="-81"/>
        </w:rPr>
      </w:r>
      <w:r>
        <w:rPr/>
        <w:t>资产变动，分别冲减比较报表期间的期初留存收益或当期损益。</w:t>
      </w:r>
    </w:p>
    <w:p>
      <w:pPr>
        <w:pStyle w:val="BodyText"/>
        <w:spacing w:line="408" w:lineRule="auto"/>
        <w:ind w:right="149" w:firstLine="420"/>
        <w:jc w:val="both"/>
      </w:pPr>
      <w:r>
        <w:rPr>
          <w:spacing w:val="-1"/>
        </w:rPr>
        <w:t>在报告期内，若因非同一控制下企业合并增加子公司或业务的，则不调整合并资产负债表期初数；将</w:t>
      </w:r>
      <w:r>
        <w:rPr/>
        <w:t> </w:t>
      </w:r>
      <w:r>
        <w:rPr>
          <w:spacing w:val="-1"/>
        </w:rPr>
        <w:t>该子公司或业务自购买日至报告期末的收入、费用、利润纳入合并利润表；该子公司或业务自购买日至报</w:t>
      </w:r>
      <w:r>
        <w:rPr>
          <w:spacing w:val="-83"/>
        </w:rPr>
        <w:t> </w:t>
      </w:r>
      <w:r>
        <w:rPr>
          <w:spacing w:val="-83"/>
        </w:rPr>
      </w:r>
      <w:r>
        <w:rPr/>
        <w:t>告期末的现金流量纳入合并现金流量表。</w:t>
      </w:r>
    </w:p>
    <w:p>
      <w:pPr>
        <w:spacing w:after="0" w:line="408" w:lineRule="auto"/>
        <w:jc w:val="both"/>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408" w:lineRule="auto" w:before="35"/>
        <w:ind w:right="151" w:firstLine="420"/>
        <w:jc w:val="both"/>
      </w:pPr>
      <w:r>
        <w:rPr>
          <w:spacing w:val="-1"/>
        </w:rPr>
        <w:t>因追加投资等原因能够对非同一控制下的被投资方实施控制的，对于购买日之前持有的被购买方的股</w:t>
      </w:r>
      <w:r>
        <w:rPr/>
        <w:t> </w:t>
      </w:r>
      <w:r>
        <w:rPr>
          <w:spacing w:val="-1"/>
        </w:rPr>
        <w:t>权，本公司按照该股权在购买日的公允价值进行重新计量，公允价值与其账面价值的差额计入当期投资收</w:t>
      </w:r>
      <w:r>
        <w:rPr>
          <w:spacing w:val="-81"/>
        </w:rPr>
        <w:t> </w:t>
      </w:r>
      <w:r>
        <w:rPr>
          <w:spacing w:val="-81"/>
        </w:rPr>
      </w:r>
      <w:r>
        <w:rPr>
          <w:spacing w:val="-1"/>
        </w:rPr>
        <w:t>益。购买日之前持有的被购买方的股权涉及权益法核算下的其他综合收益以及除净损益、其他综合收益和</w:t>
      </w:r>
      <w:r>
        <w:rPr>
          <w:spacing w:val="-81"/>
        </w:rPr>
        <w:t> </w:t>
      </w:r>
      <w:r>
        <w:rPr>
          <w:spacing w:val="-81"/>
        </w:rPr>
      </w:r>
      <w:r>
        <w:rPr>
          <w:spacing w:val="-1"/>
        </w:rPr>
        <w:t>利润分配之外的其他所有者权益变动的，与其相关的其他综合收益、其他所有者权益变动转为购买日所属</w:t>
      </w:r>
      <w:r>
        <w:rPr>
          <w:spacing w:val="-81"/>
        </w:rPr>
        <w:t> </w:t>
      </w:r>
      <w:r>
        <w:rPr>
          <w:spacing w:val="-81"/>
        </w:rPr>
      </w:r>
      <w:r>
        <w:rPr/>
        <w:t>当期投资收益，由于被投资方重新计量设定受益计划净负债或净资产变动而产生的其他综合收益除外。</w:t>
      </w:r>
    </w:p>
    <w:p>
      <w:pPr>
        <w:pStyle w:val="BodyText"/>
        <w:spacing w:line="240" w:lineRule="auto"/>
        <w:ind w:left="574" w:right="0"/>
        <w:jc w:val="left"/>
      </w:pPr>
      <w:r>
        <w:rPr/>
        <w:t>（</w:t>
      </w:r>
      <w:r>
        <w:rPr>
          <w:rFonts w:ascii="Times New Roman" w:hAnsi="Times New Roman" w:cs="Times New Roman" w:eastAsia="Times New Roman" w:hint="default"/>
        </w:rPr>
        <w:t>2</w:t>
      </w:r>
      <w:r>
        <w:rPr/>
        <w:t>）处置子公司或业务</w:t>
      </w:r>
    </w:p>
    <w:p>
      <w:pPr>
        <w:pStyle w:val="BodyText"/>
        <w:spacing w:line="408" w:lineRule="auto" w:before="177"/>
        <w:ind w:left="574" w:right="0"/>
        <w:jc w:val="left"/>
      </w:pPr>
      <w:r>
        <w:rPr/>
        <w:t>①一般处理方法 </w:t>
      </w:r>
      <w:r>
        <w:rPr>
          <w:spacing w:val="-1"/>
        </w:rPr>
        <w:t>在报告期内，本公司处置子公司或业务，则该子公司或业务期初至处置日的收入、费用、利润纳入合</w:t>
      </w:r>
    </w:p>
    <w:p>
      <w:pPr>
        <w:pStyle w:val="BodyText"/>
        <w:spacing w:line="408" w:lineRule="auto"/>
        <w:ind w:left="574" w:right="0" w:hanging="420"/>
        <w:jc w:val="left"/>
      </w:pPr>
      <w:r>
        <w:rPr/>
        <w:t>并利润表；该子公司或业务期初至处置日的现金流量纳入合并现金流量表。 </w:t>
      </w:r>
      <w:r>
        <w:rPr>
          <w:spacing w:val="-1"/>
        </w:rPr>
        <w:t>因处置部分股权投资或其他原因丧失了对被投资方控制权时，对于处置后的剩余股权投资，本公司按</w:t>
      </w:r>
    </w:p>
    <w:p>
      <w:pPr>
        <w:pStyle w:val="BodyText"/>
        <w:spacing w:line="408" w:lineRule="auto"/>
        <w:ind w:right="149"/>
        <w:jc w:val="both"/>
      </w:pPr>
      <w:r>
        <w:rPr>
          <w:spacing w:val="-1"/>
        </w:rPr>
        <w:t>照其在丧失控制权日的公允价值进行重新计量。处置股权取得的对价与剩余股权公允价值之和，减去按原</w:t>
      </w:r>
      <w:r>
        <w:rPr>
          <w:spacing w:val="-81"/>
        </w:rPr>
        <w:t> </w:t>
      </w:r>
      <w:r>
        <w:rPr>
          <w:spacing w:val="-81"/>
        </w:rPr>
      </w:r>
      <w:r>
        <w:rPr>
          <w:spacing w:val="-1"/>
        </w:rPr>
        <w:t>持股比例计算应享有原有子公司自购买日或合并日开始持续计算的净资产的份额与商誉之和的差额，计入</w:t>
      </w:r>
      <w:r>
        <w:rPr>
          <w:spacing w:val="-81"/>
        </w:rPr>
        <w:t> </w:t>
      </w:r>
      <w:r>
        <w:rPr>
          <w:spacing w:val="-81"/>
        </w:rPr>
      </w:r>
      <w:r>
        <w:rPr>
          <w:spacing w:val="-1"/>
        </w:rPr>
        <w:t>丧失控制权当期的投资收益。与原有子公司股权投资相关的其他综合收益或除净损益、其他综合收益及利</w:t>
      </w:r>
      <w:r>
        <w:rPr>
          <w:spacing w:val="-81"/>
        </w:rPr>
        <w:t> </w:t>
      </w:r>
      <w:r>
        <w:rPr>
          <w:spacing w:val="-81"/>
        </w:rPr>
      </w:r>
      <w:r>
        <w:rPr>
          <w:spacing w:val="-1"/>
        </w:rPr>
        <w:t>润分配之外的其他所有者权益变动，在丧失控制权时转为当期投资收益，由于被投资方重新计量设定受益</w:t>
      </w:r>
      <w:r>
        <w:rPr>
          <w:spacing w:val="-81"/>
        </w:rPr>
        <w:t> </w:t>
      </w:r>
      <w:r>
        <w:rPr>
          <w:spacing w:val="-81"/>
        </w:rPr>
      </w:r>
      <w:r>
        <w:rPr/>
        <w:t>计划净负债或净资产变动而产生的其他综合收益除外。</w:t>
      </w:r>
    </w:p>
    <w:p>
      <w:pPr>
        <w:pStyle w:val="BodyText"/>
        <w:spacing w:line="408" w:lineRule="auto"/>
        <w:ind w:left="574" w:right="0"/>
        <w:jc w:val="left"/>
      </w:pPr>
      <w:r>
        <w:rPr/>
        <w:t>②分步处置子公司 </w:t>
      </w:r>
      <w:r>
        <w:rPr>
          <w:spacing w:val="-1"/>
        </w:rPr>
        <w:t>通过多次交易分步处置对子公司股权投资直至丧失控制权的，处置对子公司股权投资的各项交易的条</w:t>
      </w:r>
    </w:p>
    <w:p>
      <w:pPr>
        <w:pStyle w:val="BodyText"/>
        <w:spacing w:line="408" w:lineRule="auto"/>
        <w:ind w:right="149"/>
        <w:jc w:val="both"/>
      </w:pPr>
      <w:r>
        <w:rPr>
          <w:spacing w:val="-1"/>
        </w:rPr>
        <w:t>款、条件以及经济影响符合以下一种或多种情况，通常表明应将多次交易事项作为一揽子交易进行会计处</w:t>
      </w:r>
      <w:r>
        <w:rPr>
          <w:spacing w:val="-81"/>
        </w:rPr>
        <w:t> </w:t>
      </w:r>
      <w:r>
        <w:rPr>
          <w:spacing w:val="-81"/>
        </w:rPr>
      </w:r>
      <w:r>
        <w:rPr/>
        <w:t>理：</w:t>
      </w:r>
    </w:p>
    <w:p>
      <w:pPr>
        <w:pStyle w:val="BodyText"/>
        <w:spacing w:line="408" w:lineRule="auto"/>
        <w:ind w:left="574" w:right="0"/>
        <w:jc w:val="left"/>
      </w:pPr>
      <w:r>
        <w:rPr/>
        <w:t>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 </w:t>
      </w:r>
      <w:r>
        <w:rPr>
          <w:spacing w:val="-1"/>
        </w:rPr>
        <w:t>处置对子公司股权投资直至丧失控制权的各项交易属于一揽子交易的，本公司将各项交易作为一项处</w:t>
      </w:r>
    </w:p>
    <w:p>
      <w:pPr>
        <w:pStyle w:val="BodyText"/>
        <w:spacing w:line="408" w:lineRule="auto"/>
        <w:ind w:right="149"/>
        <w:jc w:val="both"/>
      </w:pPr>
      <w:r>
        <w:rPr>
          <w:spacing w:val="-1"/>
        </w:rPr>
        <w:t>置子公司并丧失控制权的交易进行会计处理；但是，在丧失控制权之前每一次处置价款与处置投资对应的</w:t>
      </w:r>
      <w:r>
        <w:rPr>
          <w:spacing w:val="-81"/>
        </w:rPr>
        <w:t> </w:t>
      </w:r>
      <w:r>
        <w:rPr>
          <w:spacing w:val="-81"/>
        </w:rPr>
      </w:r>
      <w:r>
        <w:rPr>
          <w:spacing w:val="-1"/>
        </w:rPr>
        <w:t>享有该子公司净资产份额的差额，在合并财务报表中确认为其他综合收益，在丧失控制权时一并转入丧失</w:t>
      </w:r>
      <w:r>
        <w:rPr>
          <w:spacing w:val="-81"/>
        </w:rPr>
        <w:t> </w:t>
      </w:r>
      <w:r>
        <w:rPr>
          <w:spacing w:val="-81"/>
        </w:rPr>
      </w:r>
      <w:r>
        <w:rPr/>
        <w:t>控制权当期的损益。</w:t>
      </w:r>
    </w:p>
    <w:p>
      <w:pPr>
        <w:pStyle w:val="BodyText"/>
        <w:spacing w:line="408" w:lineRule="auto"/>
        <w:ind w:right="149" w:firstLine="420"/>
        <w:jc w:val="both"/>
      </w:pPr>
      <w:r>
        <w:rPr>
          <w:spacing w:val="-1"/>
        </w:rPr>
        <w:t>处置对子公司股权投资直至丧失控制权的各项交易不属于一揽子交易的，在丧失控制权之前，按不丧</w:t>
      </w:r>
      <w:r>
        <w:rPr/>
        <w:t> </w:t>
      </w:r>
      <w:r>
        <w:rPr>
          <w:spacing w:val="-1"/>
        </w:rPr>
        <w:t>失控制权的情况下部分处置对子公司的股权投资的相关政策进行会计处理；在丧失控制权时，按处置子公</w:t>
      </w:r>
      <w:r>
        <w:rPr>
          <w:spacing w:val="-81"/>
        </w:rPr>
        <w:t> </w:t>
      </w:r>
      <w:r>
        <w:rPr>
          <w:spacing w:val="-81"/>
        </w:rPr>
      </w:r>
      <w:r>
        <w:rPr/>
        <w:t>司一般处理方法进行会计处理。</w:t>
      </w:r>
    </w:p>
    <w:p>
      <w:pPr>
        <w:spacing w:after="0" w:line="408" w:lineRule="auto"/>
        <w:jc w:val="both"/>
        <w:sectPr>
          <w:footerReference w:type="default" r:id="rId64"/>
          <w:pgSz w:w="11910" w:h="16840"/>
          <w:pgMar w:footer="982" w:header="877" w:top="1100" w:bottom="1180" w:left="980" w:right="980"/>
          <w:pgNumType w:start="158"/>
        </w:sectPr>
      </w:pPr>
    </w:p>
    <w:p>
      <w:pPr>
        <w:spacing w:line="240" w:lineRule="auto" w:before="8"/>
        <w:rPr>
          <w:rFonts w:ascii="宋体" w:hAnsi="宋体" w:cs="宋体" w:eastAsia="宋体" w:hint="default"/>
          <w:sz w:val="26"/>
          <w:szCs w:val="26"/>
        </w:rPr>
      </w:pPr>
    </w:p>
    <w:p>
      <w:pPr>
        <w:pStyle w:val="BodyText"/>
        <w:spacing w:line="386" w:lineRule="auto" w:before="35"/>
        <w:ind w:left="574" w:right="0" w:hanging="1"/>
        <w:jc w:val="left"/>
      </w:pPr>
      <w:r>
        <w:rPr/>
        <w:t>（</w:t>
      </w:r>
      <w:r>
        <w:rPr>
          <w:rFonts w:ascii="Times New Roman" w:hAnsi="Times New Roman" w:cs="Times New Roman" w:eastAsia="Times New Roman" w:hint="default"/>
        </w:rPr>
        <w:t>3</w:t>
      </w:r>
      <w:r>
        <w:rPr/>
        <w:t>）购买子公司少数股权 </w:t>
      </w:r>
      <w:r>
        <w:rPr>
          <w:spacing w:val="-1"/>
        </w:rPr>
        <w:t>本公司因购买少数股权新取得的长期股权投资与按照新增持股比例计算应享有子公司自购买日（或合</w:t>
      </w:r>
    </w:p>
    <w:p>
      <w:pPr>
        <w:pStyle w:val="BodyText"/>
        <w:spacing w:line="408" w:lineRule="auto" w:before="65"/>
        <w:ind w:right="0"/>
        <w:jc w:val="left"/>
      </w:pPr>
      <w:r>
        <w:rPr>
          <w:spacing w:val="-1"/>
        </w:rPr>
        <w:t>并日）开始持续计算的净资产份额之间的差额，调整合并资产负债表中的资本公积中的股本溢价，资本公</w:t>
      </w:r>
      <w:r>
        <w:rPr>
          <w:spacing w:val="-83"/>
        </w:rPr>
        <w:t> </w:t>
      </w:r>
      <w:r>
        <w:rPr>
          <w:spacing w:val="-83"/>
        </w:rPr>
      </w:r>
      <w:r>
        <w:rPr/>
        <w:t>积中的股本溢价不足冲减的，调整留存收益。</w:t>
      </w:r>
    </w:p>
    <w:p>
      <w:pPr>
        <w:pStyle w:val="BodyText"/>
        <w:spacing w:line="386" w:lineRule="auto"/>
        <w:ind w:left="574" w:right="0" w:hanging="1"/>
        <w:jc w:val="left"/>
      </w:pPr>
      <w:r>
        <w:rPr/>
        <w:t>（</w:t>
      </w:r>
      <w:r>
        <w:rPr>
          <w:rFonts w:ascii="Times New Roman" w:hAnsi="Times New Roman" w:cs="Times New Roman" w:eastAsia="Times New Roman" w:hint="default"/>
        </w:rPr>
        <w:t>4</w:t>
      </w:r>
      <w:r>
        <w:rPr/>
        <w:t>）不丧失控制权的情况下部分处置对子公司的股权投资 </w:t>
      </w:r>
      <w:r>
        <w:rPr>
          <w:spacing w:val="3"/>
        </w:rPr>
        <w:t>在不丧失控制权的情况下因部分处置对子公司的长期股权投资而取得的处置价款与处置长期股权投</w:t>
      </w:r>
    </w:p>
    <w:p>
      <w:pPr>
        <w:pStyle w:val="BodyText"/>
        <w:spacing w:line="408" w:lineRule="auto" w:before="65"/>
        <w:ind w:right="0"/>
        <w:jc w:val="left"/>
      </w:pPr>
      <w:r>
        <w:rPr>
          <w:spacing w:val="-1"/>
        </w:rPr>
        <w:t>资相对应享有子公司自购买日或合并日开始持续计算的净资产份额之间的差额，调整合并资产负债表中的</w:t>
      </w:r>
      <w:r>
        <w:rPr>
          <w:spacing w:val="-81"/>
        </w:rPr>
        <w:t> </w:t>
      </w:r>
      <w:r>
        <w:rPr>
          <w:spacing w:val="-81"/>
        </w:rPr>
      </w:r>
      <w:r>
        <w:rPr/>
        <w:t>资本公积中的股本溢价，资本公积中的股本溢价不足冲减的，调整留存收益。</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574" w:right="110"/>
        <w:jc w:val="left"/>
      </w:pPr>
      <w:r>
        <w:rPr/>
        <w:t>合营安排分为共同经营和合营企业。 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ind w:left="574" w:right="0"/>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177"/>
        <w:ind w:left="574" w:right="0"/>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177"/>
        <w:ind w:left="574" w:right="0"/>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177"/>
        <w:ind w:left="574" w:right="0"/>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240" w:lineRule="auto" w:before="177"/>
        <w:ind w:left="574" w:right="0"/>
        <w:jc w:val="left"/>
      </w:pPr>
      <w:r>
        <w:rPr/>
        <w:t>（</w:t>
      </w:r>
      <w:r>
        <w:rPr>
          <w:rFonts w:ascii="Times New Roman" w:hAnsi="Times New Roman" w:cs="Times New Roman" w:eastAsia="Times New Roman" w:hint="default"/>
        </w:rPr>
        <w:t>5</w:t>
      </w:r>
      <w:r>
        <w:rPr/>
        <w:t>）确认单独所发生的费用，以及按本公司份额确认共同经营发生的费用。</w:t>
      </w:r>
    </w:p>
    <w:p>
      <w:pPr>
        <w:spacing w:line="670" w:lineRule="atLeast" w:before="21"/>
        <w:ind w:left="574"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在编制现金流量表时，将本公司库存现金以及可以随时用于支付的存款确认为现金。将同时具备期限</w:t>
      </w:r>
    </w:p>
    <w:p>
      <w:pPr>
        <w:spacing w:line="240" w:lineRule="auto" w:before="10"/>
        <w:rPr>
          <w:rFonts w:ascii="宋体" w:hAnsi="宋体" w:cs="宋体" w:eastAsia="宋体" w:hint="default"/>
          <w:sz w:val="14"/>
          <w:szCs w:val="14"/>
        </w:rPr>
      </w:pPr>
    </w:p>
    <w:p>
      <w:pPr>
        <w:pStyle w:val="BodyText"/>
        <w:spacing w:line="408" w:lineRule="auto" w:before="0"/>
        <w:ind w:right="110"/>
        <w:jc w:val="left"/>
      </w:pPr>
      <w:r>
        <w:rPr/>
        <w:t>短（从购买日起三个月内到期）、流动性强、易于转换为已知现金、价值变动风险很小四个条件的投资， 确定为现金等价物。</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30"/>
          <w:szCs w:val="30"/>
        </w:rPr>
      </w:pPr>
    </w:p>
    <w:p>
      <w:pPr>
        <w:pStyle w:val="BodyText"/>
        <w:spacing w:line="386" w:lineRule="auto" w:before="0"/>
        <w:ind w:left="574" w:right="1790" w:hanging="8"/>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5"/>
        </w:rPr>
        <w:t> </w:t>
      </w:r>
      <w:r>
        <w:rPr>
          <w:rFonts w:ascii="宋体" w:hAnsi="宋体" w:cs="宋体" w:eastAsia="宋体" w:hint="default"/>
          <w:b/>
          <w:bCs/>
        </w:rPr>
        <w:t>外币业务</w:t>
      </w:r>
      <w:r>
        <w:rPr>
          <w:rFonts w:ascii="宋体" w:hAnsi="宋体" w:cs="宋体" w:eastAsia="宋体" w:hint="default"/>
          <w:b/>
          <w:bCs/>
          <w:spacing w:val="1"/>
          <w:w w:val="99"/>
        </w:rPr>
        <w:t> </w:t>
      </w:r>
      <w:r>
        <w:rPr/>
        <w:t>外币业务采用交易发生日的即期汇率作为折算汇率将外币金额折合成人民币记账。</w:t>
      </w:r>
    </w:p>
    <w:p>
      <w:pPr>
        <w:pStyle w:val="BodyText"/>
        <w:spacing w:line="408" w:lineRule="auto" w:before="65"/>
        <w:ind w:right="149" w:firstLine="420"/>
        <w:jc w:val="both"/>
      </w:pPr>
      <w:r>
        <w:rPr>
          <w:spacing w:val="-1"/>
        </w:rPr>
        <w:t>资产负债表日外币货币性项目余额按资产负债表日即期汇率折算，由此产生的汇兑差额，除属于与购</w:t>
      </w:r>
      <w:r>
        <w:rPr/>
        <w:t> </w:t>
      </w:r>
      <w:r>
        <w:rPr>
          <w:spacing w:val="-1"/>
        </w:rPr>
        <w:t>建符合资本化条件的资产相关的外币专门借款产生的汇兑差额按照借款费用资本化的原则处理外，均计入</w:t>
      </w:r>
      <w:r>
        <w:rPr>
          <w:spacing w:val="-81"/>
        </w:rPr>
        <w:t> </w:t>
      </w:r>
      <w:r>
        <w:rPr>
          <w:spacing w:val="-81"/>
        </w:rPr>
      </w:r>
      <w:r>
        <w:rPr/>
        <w:t>当期损益。</w:t>
      </w:r>
    </w:p>
    <w:p>
      <w:pPr>
        <w:spacing w:after="0" w:line="408" w:lineRule="auto"/>
        <w:jc w:val="both"/>
        <w:sectPr>
          <w:footerReference w:type="default" r:id="rId65"/>
          <w:pgSz w:w="11910" w:h="16840"/>
          <w:pgMar w:footer="982" w:header="877" w:top="1100" w:bottom="1180" w:left="980" w:right="980"/>
          <w:pgNumType w:start="159"/>
        </w:sectPr>
      </w:pPr>
    </w:p>
    <w:p>
      <w:pPr>
        <w:spacing w:line="240" w:lineRule="auto" w:before="8"/>
        <w:rPr>
          <w:rFonts w:ascii="宋体" w:hAnsi="宋体" w:cs="宋体" w:eastAsia="宋体" w:hint="default"/>
          <w:sz w:val="26"/>
          <w:szCs w:val="26"/>
        </w:rPr>
      </w:pPr>
    </w:p>
    <w:p>
      <w:pPr>
        <w:spacing w:line="386" w:lineRule="auto" w:before="35"/>
        <w:ind w:left="574" w:right="95"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外币财务报表的折算</w:t>
      </w:r>
      <w:r>
        <w:rPr>
          <w:rFonts w:ascii="宋体" w:hAnsi="宋体" w:cs="宋体" w:eastAsia="宋体" w:hint="default"/>
          <w:b/>
          <w:bCs/>
          <w:spacing w:val="1"/>
          <w:w w:val="99"/>
          <w:sz w:val="21"/>
          <w:szCs w:val="21"/>
        </w:rPr>
        <w:t> </w:t>
      </w:r>
      <w:r>
        <w:rPr>
          <w:rFonts w:ascii="宋体" w:hAnsi="宋体" w:cs="宋体" w:eastAsia="宋体" w:hint="default"/>
          <w:sz w:val="21"/>
          <w:szCs w:val="21"/>
        </w:rPr>
        <w:t>资产负债表中的资产和负债项目，采用资产负债表日的即期汇率折算；所有者权益项目除</w:t>
      </w:r>
      <w:r>
        <w:rPr>
          <w:rFonts w:ascii="Times New Roman" w:hAnsi="Times New Roman" w:cs="Times New Roman" w:eastAsia="Times New Roman" w:hint="default"/>
          <w:sz w:val="21"/>
          <w:szCs w:val="21"/>
        </w:rPr>
        <w:t>“</w:t>
      </w:r>
      <w:r>
        <w:rPr>
          <w:rFonts w:ascii="宋体" w:hAnsi="宋体" w:cs="宋体" w:eastAsia="宋体" w:hint="default"/>
          <w:sz w:val="21"/>
          <w:szCs w:val="21"/>
        </w:rPr>
        <w:t>未分配利</w:t>
      </w:r>
    </w:p>
    <w:p>
      <w:pPr>
        <w:pStyle w:val="BodyText"/>
        <w:spacing w:line="386" w:lineRule="auto" w:before="35"/>
        <w:ind w:left="153" w:right="95"/>
        <w:jc w:val="left"/>
      </w:pPr>
      <w:r>
        <w:rPr/>
        <w:t>润</w:t>
      </w:r>
      <w:r>
        <w:rPr>
          <w:rFonts w:ascii="Times New Roman" w:hAnsi="Times New Roman" w:cs="Times New Roman" w:eastAsia="Times New Roman" w:hint="default"/>
        </w:rPr>
        <w:t>”</w:t>
      </w:r>
      <w:r>
        <w:rPr/>
        <w:t>项目外，其他项目采用发生时的即期汇率折算。利润表中的收入和费用项目，采用交易发生日的即期</w:t>
      </w:r>
      <w:r>
        <w:rPr>
          <w:spacing w:val="-23"/>
        </w:rPr>
        <w:t> </w:t>
      </w:r>
      <w:r>
        <w:rPr>
          <w:spacing w:val="-23"/>
        </w:rPr>
      </w:r>
      <w:r>
        <w:rPr/>
        <w:t>汇率折算。</w:t>
      </w:r>
    </w:p>
    <w:p>
      <w:pPr>
        <w:pStyle w:val="BodyText"/>
        <w:spacing w:line="408" w:lineRule="auto" w:before="65"/>
        <w:ind w:left="153" w:right="95" w:firstLine="420"/>
        <w:jc w:val="left"/>
      </w:pPr>
      <w:r>
        <w:rPr>
          <w:spacing w:val="-1"/>
        </w:rPr>
        <w:t>处置境外经营时，将与该境外经营相关的外币财务报表折算差额，自所有者权益项目转入处置当期损</w:t>
      </w:r>
      <w:r>
        <w:rPr/>
        <w:t> 益。</w:t>
      </w:r>
    </w:p>
    <w:p>
      <w:pPr>
        <w:spacing w:line="240" w:lineRule="auto" w:before="8"/>
        <w:rPr>
          <w:rFonts w:ascii="宋体" w:hAnsi="宋体" w:cs="宋体" w:eastAsia="宋体" w:hint="default"/>
          <w:sz w:val="20"/>
          <w:szCs w:val="20"/>
        </w:rPr>
      </w:pPr>
    </w:p>
    <w:p>
      <w:pPr>
        <w:pStyle w:val="Heading4"/>
        <w:spacing w:line="240" w:lineRule="auto"/>
        <w:ind w:left="153" w:right="95"/>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573" w:right="95"/>
        <w:jc w:val="left"/>
      </w:pPr>
      <w:r>
        <w:rPr/>
        <w:t>金融工具包括金融资产、金融负债和权益工具。</w:t>
      </w:r>
    </w:p>
    <w:p>
      <w:pPr>
        <w:spacing w:line="240" w:lineRule="auto" w:before="10"/>
        <w:rPr>
          <w:rFonts w:ascii="宋体" w:hAnsi="宋体" w:cs="宋体" w:eastAsia="宋体" w:hint="default"/>
          <w:sz w:val="14"/>
          <w:szCs w:val="14"/>
        </w:rPr>
      </w:pPr>
    </w:p>
    <w:p>
      <w:pPr>
        <w:pStyle w:val="BodyText"/>
        <w:spacing w:line="386" w:lineRule="auto" w:before="0"/>
        <w:ind w:left="573" w:right="95" w:hanging="8"/>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4"/>
        </w:rPr>
        <w:t> </w:t>
      </w:r>
      <w:r>
        <w:rPr>
          <w:rFonts w:ascii="宋体" w:hAnsi="宋体" w:cs="宋体" w:eastAsia="宋体" w:hint="default"/>
          <w:b/>
          <w:bCs/>
        </w:rPr>
        <w:t>金融工具的分类</w:t>
      </w:r>
      <w:r>
        <w:rPr>
          <w:rFonts w:ascii="宋体" w:hAnsi="宋体" w:cs="宋体" w:eastAsia="宋体" w:hint="default"/>
          <w:b/>
          <w:bCs/>
          <w:w w:val="99"/>
        </w:rPr>
        <w:t> </w:t>
      </w:r>
      <w:r>
        <w:rPr>
          <w:spacing w:val="-1"/>
        </w:rPr>
        <w:t>金融资产和金融负债于初始确认时分类为：以公允价值计量且其变动计入当期损益的金融资产或金融</w:t>
      </w:r>
    </w:p>
    <w:p>
      <w:pPr>
        <w:pStyle w:val="BodyText"/>
        <w:spacing w:line="408" w:lineRule="auto" w:before="65"/>
        <w:ind w:left="153" w:right="95"/>
        <w:jc w:val="left"/>
      </w:pPr>
      <w:r>
        <w:rPr>
          <w:spacing w:val="-1"/>
        </w:rPr>
        <w:t>负债，包括交易性金融资产或金融负债和直接指定为以公允价值计量且其变动计入当期损益的金融资产或</w:t>
      </w:r>
      <w:r>
        <w:rPr>
          <w:spacing w:val="-81"/>
        </w:rPr>
        <w:t> </w:t>
      </w:r>
      <w:r>
        <w:rPr>
          <w:spacing w:val="-81"/>
        </w:rPr>
      </w:r>
      <w:r>
        <w:rPr/>
        <w:t>金融负债；持有至到期投资；应收款项；可供出售金融资产；其他金融负债等。</w:t>
      </w:r>
    </w:p>
    <w:p>
      <w:pPr>
        <w:pStyle w:val="Heading4"/>
        <w:spacing w:line="240" w:lineRule="auto" w:before="46"/>
        <w:ind w:left="566" w:right="95"/>
        <w:jc w:val="left"/>
        <w:rPr>
          <w:b w:val="0"/>
          <w:bCs w:val="0"/>
        </w:rPr>
      </w:pPr>
      <w:r>
        <w:rPr>
          <w:rFonts w:ascii="Times New Roman" w:hAnsi="Times New Roman" w:cs="Times New Roman" w:eastAsia="Times New Roman" w:hint="default"/>
        </w:rPr>
        <w:t>2</w:t>
      </w:r>
      <w:r>
        <w:rPr/>
        <w:t>、</w:t>
      </w:r>
      <w:r>
        <w:rPr>
          <w:spacing w:val="2"/>
        </w:rPr>
        <w:t> </w:t>
      </w:r>
      <w:r>
        <w:rPr/>
        <w:t>金融工具的确认依据和计量方法</w:t>
      </w:r>
      <w:r>
        <w:rPr>
          <w:b w:val="0"/>
          <w:bCs w:val="0"/>
        </w:rPr>
      </w:r>
    </w:p>
    <w:p>
      <w:pPr>
        <w:pStyle w:val="BodyText"/>
        <w:spacing w:line="386" w:lineRule="auto" w:before="177"/>
        <w:ind w:left="573" w:right="95" w:hanging="1"/>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1"/>
        </w:rPr>
        <w:t>取得时以公允价值（扣除已宣告但尚未发放的现金股利或已到付息期但尚未领取的债券利息）作为初</w:t>
      </w:r>
    </w:p>
    <w:p>
      <w:pPr>
        <w:pStyle w:val="BodyText"/>
        <w:spacing w:line="408" w:lineRule="auto" w:before="65"/>
        <w:ind w:left="573" w:right="591" w:hanging="420"/>
        <w:jc w:val="left"/>
      </w:pPr>
      <w:r>
        <w:rPr/>
        <w:t>始确认金额，相关的交易费用计入当期损益。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98" w:lineRule="auto"/>
        <w:ind w:left="574" w:right="95" w:hanging="1"/>
        <w:jc w:val="left"/>
      </w:pPr>
      <w:r>
        <w:rPr/>
        <w:t>（</w:t>
      </w:r>
      <w:r>
        <w:rPr>
          <w:rFonts w:ascii="Times New Roman" w:hAnsi="Times New Roman" w:cs="Times New Roman" w:eastAsia="Times New Roman" w:hint="default"/>
        </w:rPr>
        <w:t>2</w:t>
      </w:r>
      <w:r>
        <w:rPr/>
        <w:t>）持有至到期投资 </w:t>
      </w:r>
      <w:r>
        <w:rPr>
          <w:spacing w:val="-3"/>
        </w:rPr>
        <w:t>取得时按公允价值（扣除已到付息期但尚未领取的债券利息）和相关交易费用之和作为初始确认金额。</w:t>
      </w:r>
      <w:r>
        <w:rPr>
          <w:spacing w:val="-99"/>
        </w:rPr>
        <w:t> </w:t>
      </w:r>
      <w:r>
        <w:rPr>
          <w:spacing w:val="-99"/>
        </w:rPr>
      </w:r>
      <w:r>
        <w:rPr/>
        <w:t>持有期间按照摊余成本和实际利率（如实际利率与票面利率差别较小的，按票面利率）计算确认利息</w:t>
      </w:r>
    </w:p>
    <w:p>
      <w:pPr>
        <w:pStyle w:val="BodyText"/>
        <w:spacing w:line="408" w:lineRule="auto" w:before="54"/>
        <w:ind w:left="574" w:right="800" w:hanging="420"/>
        <w:jc w:val="left"/>
      </w:pPr>
      <w:r>
        <w:rPr/>
        <w:t>收入，计入投资收益。实际利率在取得时确定，在该预期存续期间或适用的更短期间内保持不变。 处置时，将所取得价款与该投资账面价值之间的差额计入投资收益。</w:t>
      </w:r>
    </w:p>
    <w:p>
      <w:pPr>
        <w:pStyle w:val="BodyText"/>
        <w:spacing w:line="386" w:lineRule="auto"/>
        <w:ind w:left="574" w:right="95" w:hanging="1"/>
        <w:jc w:val="left"/>
      </w:pPr>
      <w:r>
        <w:rPr/>
        <w:t>（</w:t>
      </w:r>
      <w:r>
        <w:rPr>
          <w:rFonts w:ascii="Times New Roman" w:hAnsi="Times New Roman" w:cs="Times New Roman" w:eastAsia="Times New Roman" w:hint="default"/>
        </w:rPr>
        <w:t>3</w:t>
      </w:r>
      <w:r>
        <w:rPr/>
        <w:t>）应收款项 </w:t>
      </w:r>
      <w:r>
        <w:rPr>
          <w:spacing w:val="-1"/>
        </w:rPr>
        <w:t>公司对外销售商品或提供劳务形成的应收债权，以及公司持有的其他企业的不包括在活跃市场上有报</w:t>
      </w:r>
    </w:p>
    <w:p>
      <w:pPr>
        <w:pStyle w:val="BodyText"/>
        <w:spacing w:line="408" w:lineRule="auto" w:before="65"/>
        <w:ind w:right="95"/>
        <w:jc w:val="left"/>
      </w:pPr>
      <w:r>
        <w:rPr>
          <w:spacing w:val="-1"/>
        </w:rPr>
        <w:t>价的债务工具的债权，包括应收账款、其他应收款等，以向购货方应收的合同或协议价款作为初始确认金</w:t>
      </w:r>
      <w:r>
        <w:rPr>
          <w:spacing w:val="-83"/>
        </w:rPr>
        <w:t> </w:t>
      </w:r>
      <w:r>
        <w:rPr>
          <w:spacing w:val="-83"/>
        </w:rPr>
      </w:r>
      <w:r>
        <w:rPr/>
        <w:t>额；具有融资性质的，按其现值进行初始确认。</w:t>
      </w:r>
    </w:p>
    <w:p>
      <w:pPr>
        <w:pStyle w:val="BodyText"/>
        <w:spacing w:line="240" w:lineRule="auto"/>
        <w:ind w:left="574" w:right="95"/>
        <w:jc w:val="left"/>
      </w:pPr>
      <w:r>
        <w:rPr/>
        <w:t>收回或处置时，将取得的价款与该应收款项账面价值之间的差额计入当期损益。</w:t>
      </w:r>
    </w:p>
    <w:p>
      <w:pPr>
        <w:spacing w:line="240" w:lineRule="auto" w:before="10"/>
        <w:rPr>
          <w:rFonts w:ascii="宋体" w:hAnsi="宋体" w:cs="宋体" w:eastAsia="宋体" w:hint="default"/>
          <w:sz w:val="14"/>
          <w:szCs w:val="14"/>
        </w:rPr>
      </w:pPr>
    </w:p>
    <w:p>
      <w:pPr>
        <w:pStyle w:val="BodyText"/>
        <w:spacing w:line="240" w:lineRule="auto" w:before="0"/>
        <w:ind w:left="574" w:right="95"/>
        <w:jc w:val="left"/>
      </w:pPr>
      <w:r>
        <w:rPr/>
        <w:t>（</w:t>
      </w:r>
      <w:r>
        <w:rPr>
          <w:rFonts w:ascii="Times New Roman" w:hAnsi="Times New Roman" w:cs="Times New Roman" w:eastAsia="Times New Roman" w:hint="default"/>
        </w:rPr>
        <w:t>4</w:t>
      </w:r>
      <w:r>
        <w:rPr/>
        <w:t>）可供出售金融资产</w:t>
      </w:r>
    </w:p>
    <w:p>
      <w:pPr>
        <w:spacing w:after="0" w:line="240"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408" w:lineRule="auto" w:before="35"/>
        <w:ind w:right="151" w:firstLine="420"/>
        <w:jc w:val="both"/>
      </w:pPr>
      <w:r>
        <w:rPr>
          <w:spacing w:val="-1"/>
        </w:rPr>
        <w:t>取得时按公允价值（扣除已宣告但尚未发放的现金股利或已到付息期但尚未领取的债券利息）和相关</w:t>
      </w:r>
      <w:r>
        <w:rPr/>
        <w:t> 交易费用之和作为初始确认金额。</w:t>
      </w:r>
    </w:p>
    <w:p>
      <w:pPr>
        <w:pStyle w:val="BodyText"/>
        <w:spacing w:line="408" w:lineRule="auto"/>
        <w:ind w:left="153" w:right="150" w:firstLine="420"/>
        <w:jc w:val="both"/>
      </w:pPr>
      <w:r>
        <w:rPr>
          <w:spacing w:val="-1"/>
        </w:rPr>
        <w:t>持有期间将取得的利息或现金股利确认为投资收益。期末以公允价值计量且将公允价值变动计入其他</w:t>
      </w:r>
      <w:r>
        <w:rPr/>
        <w:t> </w:t>
      </w:r>
      <w:r>
        <w:rPr>
          <w:spacing w:val="-1"/>
        </w:rPr>
        <w:t>综合收益。但是，在活跃市场中没有报价且其公允价值不能可靠计量的权益工具投资，以及与该权益工具</w:t>
      </w:r>
      <w:r>
        <w:rPr>
          <w:spacing w:val="-83"/>
        </w:rPr>
        <w:t> </w:t>
      </w:r>
      <w:r>
        <w:rPr>
          <w:spacing w:val="-83"/>
        </w:rPr>
      </w:r>
      <w:r>
        <w:rPr/>
        <w:t>挂钩并须通过交付该权益工具结算的衍生金融资产，按照成本计量。</w:t>
      </w:r>
    </w:p>
    <w:p>
      <w:pPr>
        <w:pStyle w:val="BodyText"/>
        <w:spacing w:line="408" w:lineRule="auto"/>
        <w:ind w:left="153" w:right="151" w:firstLine="420"/>
        <w:jc w:val="both"/>
      </w:pPr>
      <w:r>
        <w:rPr>
          <w:spacing w:val="-1"/>
        </w:rPr>
        <w:t>处置时，将取得的价款与该金融资产账面价值之间的差额，计入投资损益；同时，将原直接计入其他</w:t>
      </w:r>
      <w:r>
        <w:rPr/>
        <w:t> 综合收益的公允价值变动累计额对应处置部分的金额转出，计入当期损益。</w:t>
      </w:r>
    </w:p>
    <w:p>
      <w:pPr>
        <w:spacing w:line="398" w:lineRule="auto" w:before="46"/>
        <w:ind w:left="566" w:right="1588" w:firstLine="7"/>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）其他金融负债 按其公允价值和相关交易费用之和作为初始确认金额。采用摊余成本进行后续计量。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 金融资产转移的确认依据和计量方法</w:t>
      </w:r>
      <w:r>
        <w:rPr>
          <w:rFonts w:ascii="宋体" w:hAnsi="宋体" w:cs="宋体" w:eastAsia="宋体" w:hint="default"/>
          <w:sz w:val="21"/>
          <w:szCs w:val="21"/>
        </w:rPr>
      </w:r>
    </w:p>
    <w:p>
      <w:pPr>
        <w:pStyle w:val="BodyText"/>
        <w:spacing w:line="408" w:lineRule="auto" w:before="24"/>
        <w:ind w:right="149" w:firstLine="420"/>
        <w:jc w:val="both"/>
      </w:pPr>
      <w:r>
        <w:rPr>
          <w:spacing w:val="-1"/>
        </w:rPr>
        <w:t>公司发生金融资产转移时，如已将金融资产所有权上几乎所有的风险和报酬转移给转入方，则终止确</w:t>
      </w:r>
      <w:r>
        <w:rPr/>
        <w:t> 认该金融资产；如保留了金融资产所有权上几乎所有的风险和报酬的，则不终止确认该金融资产。</w:t>
      </w:r>
    </w:p>
    <w:p>
      <w:pPr>
        <w:pStyle w:val="BodyText"/>
        <w:spacing w:line="408" w:lineRule="auto"/>
        <w:ind w:right="149" w:firstLine="420"/>
        <w:jc w:val="both"/>
      </w:pPr>
      <w:r>
        <w:rPr>
          <w:spacing w:val="-1"/>
        </w:rPr>
        <w:t>在判断金融资产转移是否满足上述金融资产终止确认条件时，采用实质重于形式的原则。公司将金融</w:t>
      </w:r>
      <w:r>
        <w:rPr/>
        <w:t> </w:t>
      </w:r>
      <w:r>
        <w:rPr>
          <w:spacing w:val="-1"/>
        </w:rPr>
        <w:t>资产转移区分为金融资产整体转移和部分转移。金融资产整体转移满足终止确认条件的，将下列两项金额</w:t>
      </w:r>
      <w:r>
        <w:rPr>
          <w:spacing w:val="-81"/>
        </w:rPr>
        <w:t> </w:t>
      </w:r>
      <w:r>
        <w:rPr>
          <w:spacing w:val="-81"/>
        </w:rPr>
      </w:r>
      <w:r>
        <w:rPr/>
        <w:t>的差额计入当期损益：</w:t>
      </w:r>
    </w:p>
    <w:p>
      <w:pPr>
        <w:pStyle w:val="BodyText"/>
        <w:spacing w:line="240" w:lineRule="auto"/>
        <w:ind w:left="574" w:right="0"/>
        <w:jc w:val="left"/>
      </w:pPr>
      <w:r>
        <w:rPr/>
        <w:t>（</w:t>
      </w:r>
      <w:r>
        <w:rPr>
          <w:rFonts w:ascii="Times New Roman" w:hAnsi="Times New Roman" w:cs="Times New Roman" w:eastAsia="Times New Roman" w:hint="default"/>
        </w:rPr>
        <w:t>1</w:t>
      </w:r>
      <w:r>
        <w:rPr/>
        <w:t>）所转移金融资产的账面价值；</w:t>
      </w:r>
    </w:p>
    <w:p>
      <w:pPr>
        <w:pStyle w:val="BodyText"/>
        <w:spacing w:line="386" w:lineRule="auto" w:before="177"/>
        <w:ind w:right="147" w:firstLine="420"/>
        <w:jc w:val="both"/>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w:t>
      </w:r>
      <w:r>
        <w:rPr>
          <w:spacing w:val="2"/>
        </w:rPr>
        <w:t> </w:t>
      </w:r>
      <w:r>
        <w:rPr/>
        <w:t>为可供出售金融资产的情形）之和。</w:t>
      </w:r>
    </w:p>
    <w:p>
      <w:pPr>
        <w:pStyle w:val="BodyText"/>
        <w:spacing w:line="408" w:lineRule="auto" w:before="65"/>
        <w:ind w:right="149" w:firstLine="420"/>
        <w:jc w:val="both"/>
      </w:pPr>
      <w:r>
        <w:rPr>
          <w:spacing w:val="-1"/>
        </w:rPr>
        <w:t>金融资产部分转移满足终止确认条件的，将所转移金融资产整体的账面价值，在终止确认部分和未终</w:t>
      </w:r>
      <w:r>
        <w:rPr/>
        <w:t> 止确认部分之间，按照各自的相对公允价值进行分摊，并将下列两项金额的差额计入当期损益：</w:t>
      </w:r>
    </w:p>
    <w:p>
      <w:pPr>
        <w:pStyle w:val="BodyText"/>
        <w:spacing w:line="240" w:lineRule="auto"/>
        <w:ind w:left="574" w:right="0"/>
        <w:jc w:val="left"/>
      </w:pPr>
      <w:r>
        <w:rPr/>
        <w:t>（</w:t>
      </w:r>
      <w:r>
        <w:rPr>
          <w:rFonts w:ascii="Times New Roman" w:hAnsi="Times New Roman" w:cs="Times New Roman" w:eastAsia="Times New Roman" w:hint="default"/>
        </w:rPr>
        <w:t>1</w:t>
      </w:r>
      <w:r>
        <w:rPr/>
        <w:t>）终止确认部分的账面价值；</w:t>
      </w:r>
    </w:p>
    <w:p>
      <w:pPr>
        <w:pStyle w:val="BodyText"/>
        <w:spacing w:line="386" w:lineRule="auto" w:before="177"/>
        <w:ind w:right="147" w:firstLine="420"/>
        <w:jc w:val="both"/>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w:t>
      </w:r>
      <w:r>
        <w:rPr>
          <w:spacing w:val="2"/>
        </w:rPr>
        <w:t> </w:t>
      </w:r>
      <w:r>
        <w:rPr/>
        <w:t>金额（涉及转移的金融资产为可供出售金融资产的情形）之和。</w:t>
      </w:r>
    </w:p>
    <w:p>
      <w:pPr>
        <w:pStyle w:val="BodyText"/>
        <w:spacing w:line="398" w:lineRule="auto" w:before="65"/>
        <w:ind w:left="566" w:right="137" w:firstLine="7"/>
        <w:jc w:val="left"/>
      </w:pPr>
      <w:r>
        <w:rPr/>
        <w:t>金融资产转移不满足终止确认条件的，继续确认该金融资产，所收到的对价确认为一项金融负债。 </w:t>
      </w:r>
      <w:r>
        <w:rPr>
          <w:rFonts w:ascii="Times New Roman" w:hAnsi="Times New Roman" w:cs="Times New Roman" w:eastAsia="Times New Roman" w:hint="default"/>
          <w:b/>
          <w:bCs/>
        </w:rPr>
        <w:t>4</w:t>
      </w:r>
      <w:r>
        <w:rPr>
          <w:rFonts w:ascii="宋体" w:hAnsi="宋体" w:cs="宋体" w:eastAsia="宋体" w:hint="default"/>
          <w:b/>
          <w:bCs/>
        </w:rPr>
        <w:t>、</w:t>
      </w:r>
      <w:r>
        <w:rPr>
          <w:rFonts w:ascii="宋体" w:hAnsi="宋体" w:cs="宋体" w:eastAsia="宋体" w:hint="default"/>
          <w:b/>
          <w:bCs/>
          <w:spacing w:val="4"/>
        </w:rPr>
        <w:t> </w:t>
      </w:r>
      <w:r>
        <w:rPr>
          <w:rFonts w:ascii="宋体" w:hAnsi="宋体" w:cs="宋体" w:eastAsia="宋体" w:hint="default"/>
          <w:b/>
          <w:bCs/>
        </w:rPr>
        <w:t>金融负债终止确认条件</w:t>
      </w:r>
      <w:r>
        <w:rPr>
          <w:rFonts w:ascii="宋体" w:hAnsi="宋体" w:cs="宋体" w:eastAsia="宋体" w:hint="default"/>
          <w:b/>
          <w:bCs/>
          <w:w w:val="99"/>
        </w:rPr>
        <w:t> </w:t>
      </w:r>
      <w:r>
        <w:rPr>
          <w:spacing w:val="-1"/>
        </w:rPr>
        <w:t>金融负债的现时义务全部或部分已经解除的，则终止确认该金融负债或其一部分；本公司若与债权人</w:t>
      </w:r>
    </w:p>
    <w:p>
      <w:pPr>
        <w:pStyle w:val="BodyText"/>
        <w:spacing w:line="408" w:lineRule="auto" w:before="54"/>
        <w:ind w:right="0"/>
        <w:jc w:val="left"/>
      </w:pPr>
      <w:r>
        <w:rPr>
          <w:spacing w:val="-1"/>
        </w:rPr>
        <w:t>签定协议，以承担新金融负债方式替换现存金融负债，且新金融负债与现存金融负债的合同条款实质上不</w:t>
      </w:r>
      <w:r>
        <w:rPr>
          <w:spacing w:val="-81"/>
        </w:rPr>
        <w:t> </w:t>
      </w:r>
      <w:r>
        <w:rPr>
          <w:spacing w:val="-81"/>
        </w:rPr>
      </w:r>
      <w:r>
        <w:rPr/>
        <w:t>同的，则终止确认现存金融负债，并同时确认新金融负债。</w:t>
      </w:r>
    </w:p>
    <w:p>
      <w:pPr>
        <w:pStyle w:val="BodyText"/>
        <w:spacing w:line="408" w:lineRule="auto"/>
        <w:ind w:right="149" w:firstLine="420"/>
        <w:jc w:val="both"/>
      </w:pPr>
      <w:r>
        <w:rPr>
          <w:spacing w:val="-1"/>
        </w:rPr>
        <w:t>对现存金融负债全部或部分合同条款作出实质性修改的，则终止确认现存金融负债或其一部分，同时</w:t>
      </w:r>
      <w:r>
        <w:rPr/>
        <w:t> 将修改条款后的金融负债确认为一项新金融负债。</w:t>
      </w:r>
    </w:p>
    <w:p>
      <w:pPr>
        <w:spacing w:after="0" w:line="408" w:lineRule="auto"/>
        <w:jc w:val="both"/>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408" w:lineRule="auto" w:before="35"/>
        <w:ind w:right="151" w:firstLine="420"/>
        <w:jc w:val="both"/>
      </w:pPr>
      <w:r>
        <w:rPr>
          <w:spacing w:val="-1"/>
        </w:rPr>
        <w:t>金融负债全部或部分终止确认时，终止确认的金融负债账面价值与支付对价（包括转出的非现金资产</w:t>
      </w:r>
      <w:r>
        <w:rPr/>
        <w:t> 或承担的新金融负债）之间的差额，计入当期损益。</w:t>
      </w:r>
    </w:p>
    <w:p>
      <w:pPr>
        <w:pStyle w:val="BodyText"/>
        <w:spacing w:line="408" w:lineRule="auto"/>
        <w:ind w:left="153" w:right="151" w:firstLine="420"/>
        <w:jc w:val="both"/>
      </w:pPr>
      <w:r>
        <w:rPr>
          <w:spacing w:val="-1"/>
        </w:rPr>
        <w:t>本公司若回购部分金融负债的，在回购日按照继续确认部分与终止确认部分的相对公允价值，将该金</w:t>
      </w:r>
      <w:r>
        <w:rPr/>
        <w:t> </w:t>
      </w:r>
      <w:r>
        <w:rPr>
          <w:spacing w:val="-1"/>
        </w:rPr>
        <w:t>融负债整体的账面价值进行分配。分配给终止确认部分的账面价值与支付的对价（包括转出的非现金资产</w:t>
      </w:r>
      <w:r>
        <w:rPr>
          <w:spacing w:val="-81"/>
        </w:rPr>
        <w:t> </w:t>
      </w:r>
      <w:r>
        <w:rPr>
          <w:spacing w:val="-81"/>
        </w:rPr>
      </w:r>
      <w:r>
        <w:rPr/>
        <w:t>或承担的新金融负债）之间的差额，计入当期损益。</w:t>
      </w:r>
    </w:p>
    <w:p>
      <w:pPr>
        <w:spacing w:line="386" w:lineRule="auto" w:before="46"/>
        <w:ind w:left="573" w:right="0"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金融资产和金融负债公允价值的确定方法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存在活跃市场的金融工具，以活跃市场中的报价确定其公允价值。不存在活跃市场的金融工具，采用</w:t>
      </w:r>
    </w:p>
    <w:p>
      <w:pPr>
        <w:pStyle w:val="BodyText"/>
        <w:spacing w:line="408" w:lineRule="auto" w:before="65"/>
        <w:ind w:left="153" w:right="128"/>
        <w:jc w:val="both"/>
      </w:pPr>
      <w:r>
        <w:rPr>
          <w:spacing w:val="-1"/>
        </w:rPr>
        <w:t>估值技术确定其公允价值。在估值时，本公司采用在当前情况下适用并且有足够可利用数据和其他信息支</w:t>
      </w:r>
      <w:r>
        <w:rPr>
          <w:spacing w:val="-81"/>
        </w:rPr>
        <w:t> </w:t>
      </w:r>
      <w:r>
        <w:rPr>
          <w:spacing w:val="-81"/>
        </w:rPr>
      </w:r>
      <w:r>
        <w:rPr/>
        <w:t>持的估值技术，选择与市场参与者在相关资产或负债的交易中所考虑的资产或负债特征相一致的输入值， </w:t>
      </w:r>
      <w:r>
        <w:rPr>
          <w:spacing w:val="-1"/>
        </w:rPr>
        <w:t>并优先使用相关可观察输入值。只有在相关可观察输入值无法取得或取得不切实可行的情况下，才使用不</w:t>
      </w:r>
      <w:r>
        <w:rPr>
          <w:spacing w:val="-81"/>
        </w:rPr>
        <w:t> </w:t>
      </w:r>
      <w:r>
        <w:rPr>
          <w:spacing w:val="-81"/>
        </w:rPr>
      </w:r>
      <w:r>
        <w:rPr/>
        <w:t>可观察输入值。</w:t>
      </w:r>
    </w:p>
    <w:p>
      <w:pPr>
        <w:spacing w:line="386" w:lineRule="auto" w:before="46"/>
        <w:ind w:left="573" w:right="0"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金融资产（不含应收款项）减值的测试方法及会计处理方法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除以公允价值计量且其变动计入当期损益的金融资产外，本公司于资产负债表日对金融资产的账面价</w:t>
      </w:r>
    </w:p>
    <w:p>
      <w:pPr>
        <w:pStyle w:val="BodyText"/>
        <w:spacing w:line="240" w:lineRule="auto" w:before="65"/>
        <w:ind w:left="153" w:right="0"/>
        <w:jc w:val="both"/>
      </w:pPr>
      <w:r>
        <w:rPr/>
        <w:t>值进行检查，如果有客观证据表明某项金融资产发生减值的，计提减值准备。</w:t>
      </w:r>
    </w:p>
    <w:p>
      <w:pPr>
        <w:spacing w:line="240" w:lineRule="auto" w:before="10"/>
        <w:rPr>
          <w:rFonts w:ascii="宋体" w:hAnsi="宋体" w:cs="宋体" w:eastAsia="宋体" w:hint="default"/>
          <w:sz w:val="14"/>
          <w:szCs w:val="14"/>
        </w:rPr>
      </w:pPr>
    </w:p>
    <w:p>
      <w:pPr>
        <w:pStyle w:val="BodyText"/>
        <w:spacing w:line="386" w:lineRule="auto" w:before="0"/>
        <w:ind w:left="574" w:right="0" w:hanging="1"/>
        <w:jc w:val="left"/>
      </w:pPr>
      <w:r>
        <w:rPr/>
        <w:t>（</w:t>
      </w:r>
      <w:r>
        <w:rPr>
          <w:rFonts w:ascii="Times New Roman" w:hAnsi="Times New Roman" w:cs="Times New Roman" w:eastAsia="Times New Roman" w:hint="default"/>
        </w:rPr>
        <w:t>1</w:t>
      </w:r>
      <w:r>
        <w:rPr/>
        <w:t>）可供出售金融资产的减值准备： </w:t>
      </w:r>
      <w:r>
        <w:rPr>
          <w:spacing w:val="-1"/>
        </w:rPr>
        <w:t>期末如果可供出售金融资产的公允价值发生严重下降，或在综合考虑各种相关因素后，预期这种下降</w:t>
      </w:r>
    </w:p>
    <w:p>
      <w:pPr>
        <w:pStyle w:val="BodyText"/>
        <w:spacing w:line="408" w:lineRule="auto" w:before="65"/>
        <w:ind w:right="149"/>
        <w:jc w:val="both"/>
      </w:pPr>
      <w:r>
        <w:rPr>
          <w:spacing w:val="-1"/>
        </w:rPr>
        <w:t>趋势属于非暂时性的，就认定其已发生减值，将原直接计入所有者权益的公允价值下降形成的累计损失一</w:t>
      </w:r>
      <w:r>
        <w:rPr>
          <w:spacing w:val="-81"/>
        </w:rPr>
        <w:t> </w:t>
      </w:r>
      <w:r>
        <w:rPr>
          <w:spacing w:val="-81"/>
        </w:rPr>
      </w:r>
      <w:r>
        <w:rPr/>
        <w:t>并转出，确认减值损失。</w:t>
      </w:r>
    </w:p>
    <w:p>
      <w:pPr>
        <w:pStyle w:val="BodyText"/>
        <w:spacing w:line="408" w:lineRule="auto"/>
        <w:ind w:right="151" w:firstLine="420"/>
        <w:jc w:val="both"/>
      </w:pPr>
      <w:r>
        <w:rPr>
          <w:spacing w:val="-1"/>
        </w:rPr>
        <w:t>对于已确认减值损失的可供出售债务工具，在随后的会计期间公允价值已上升且客观上与确认原减值</w:t>
      </w:r>
      <w:r>
        <w:rPr/>
        <w:t> 损失确认后发生的事项有关的，原确认的减值损失予以转回，计入当期损益。</w:t>
      </w:r>
    </w:p>
    <w:p>
      <w:pPr>
        <w:pStyle w:val="BodyText"/>
        <w:spacing w:line="391" w:lineRule="auto"/>
        <w:ind w:left="574" w:right="2864"/>
        <w:jc w:val="left"/>
      </w:pPr>
      <w:r>
        <w:rPr/>
        <w:t>可供出售权益工具投资发生的减值损失，不通过损益转回。 本公司对可供出售权益工具投资的公允价值下跌</w:t>
      </w:r>
      <w:r>
        <w:rPr>
          <w:rFonts w:ascii="Times New Roman" w:hAnsi="Times New Roman" w:cs="Times New Roman" w:eastAsia="Times New Roman" w:hint="default"/>
        </w:rPr>
        <w:t>“</w:t>
      </w:r>
      <w:r>
        <w:rPr/>
        <w:t>严重</w:t>
      </w:r>
      <w:r>
        <w:rPr>
          <w:rFonts w:ascii="Times New Roman" w:hAnsi="Times New Roman" w:cs="Times New Roman" w:eastAsia="Times New Roman" w:hint="default"/>
        </w:rPr>
        <w:t>”</w:t>
      </w:r>
      <w:r>
        <w:rPr/>
        <w:t>的标准为： 公允价值下跌幅度累计超过</w:t>
      </w:r>
      <w:r>
        <w:rPr>
          <w:rFonts w:ascii="Times New Roman" w:hAnsi="Times New Roman" w:cs="Times New Roman" w:eastAsia="Times New Roman" w:hint="default"/>
        </w:rPr>
        <w:t>20%</w:t>
      </w:r>
      <w:r>
        <w:rPr/>
        <w:t>。 本公司对可供出售权益工具投资的公允价值下跌</w:t>
      </w:r>
      <w:r>
        <w:rPr>
          <w:rFonts w:ascii="Times New Roman" w:hAnsi="Times New Roman" w:cs="Times New Roman" w:eastAsia="Times New Roman" w:hint="default"/>
        </w:rPr>
        <w:t>“</w:t>
      </w:r>
      <w:r>
        <w:rPr/>
        <w:t>非暂时性</w:t>
      </w:r>
      <w:r>
        <w:rPr>
          <w:rFonts w:ascii="Times New Roman" w:hAnsi="Times New Roman" w:cs="Times New Roman" w:eastAsia="Times New Roman" w:hint="default"/>
        </w:rPr>
        <w:t>”</w:t>
      </w:r>
      <w:r>
        <w:rPr/>
        <w:t>的标准为： 公允价值连续下跌时间超过</w:t>
      </w:r>
      <w:r>
        <w:rPr>
          <w:rFonts w:ascii="Times New Roman" w:hAnsi="Times New Roman" w:cs="Times New Roman" w:eastAsia="Times New Roman" w:hint="default"/>
        </w:rPr>
        <w:t>12</w:t>
      </w:r>
      <w:r>
        <w:rPr/>
        <w:t>个月。</w:t>
      </w:r>
    </w:p>
    <w:p>
      <w:pPr>
        <w:pStyle w:val="BodyText"/>
        <w:spacing w:line="386" w:lineRule="auto" w:before="30"/>
        <w:ind w:left="574" w:right="2840" w:hanging="1"/>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after="0" w:line="386"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万元以上的应收账款及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万元以上的其他应收款确认为单项金额重大的应收款项。</w:t>
            </w:r>
          </w:p>
        </w:tc>
      </w:tr>
      <w:tr>
        <w:trPr>
          <w:trHeight w:val="358" w:hRule="exact"/>
        </w:trPr>
        <w:tc>
          <w:tcPr>
            <w:tcW w:w="4784" w:type="dxa"/>
            <w:tcBorders>
              <w:top w:val="single" w:sz="4" w:space="0" w:color="000000"/>
              <w:left w:val="single" w:sz="4" w:space="0" w:color="000000"/>
              <w:bottom w:val="nil" w:sz="6" w:space="0" w:color="auto"/>
              <w:right w:val="single" w:sz="4" w:space="0" w:color="000000"/>
            </w:tcBorders>
            <w:shd w:val="clear" w:color="auto" w:fill="D3D3D3"/>
          </w:tcPr>
          <w:p>
            <w:pPr/>
          </w:p>
        </w:tc>
        <w:tc>
          <w:tcPr>
            <w:tcW w:w="4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本公司对单项金额重大的应收款项单独进行减值测试，如有</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客观证据表明其已发生减值，按预计未来现金流量现值低于</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其账面价值的差额计提坏账准备，计入当期损益。单独测试</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未发生减值的应收款项，将其归入相应信用风险特征组合计</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提坏账准备。其中，合并范围内的关联方、押金、保证金不</w:t>
            </w:r>
          </w:p>
        </w:tc>
      </w:tr>
      <w:tr>
        <w:trPr>
          <w:trHeight w:val="313"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计提坏账；其他关联方及非关联方的应收款项，以账龄为信</w:t>
            </w:r>
          </w:p>
        </w:tc>
      </w:tr>
      <w:tr>
        <w:trPr>
          <w:trHeight w:val="356" w:hRule="exact"/>
        </w:trPr>
        <w:tc>
          <w:tcPr>
            <w:tcW w:w="4784" w:type="dxa"/>
            <w:tcBorders>
              <w:top w:val="nil" w:sz="6" w:space="0" w:color="auto"/>
              <w:left w:val="single" w:sz="4" w:space="0" w:color="000000"/>
              <w:bottom w:val="single" w:sz="4" w:space="0" w:color="000000"/>
              <w:right w:val="single" w:sz="4" w:space="0" w:color="000000"/>
            </w:tcBorders>
            <w:shd w:val="clear" w:color="auto" w:fill="D3D3D3"/>
          </w:tcPr>
          <w:p>
            <w:pPr/>
          </w:p>
        </w:tc>
        <w:tc>
          <w:tcPr>
            <w:tcW w:w="47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用风险组合，按账龄分析法计提坏账准备。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合并范围内关联方及保证金组合</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30.00%</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4" w:right="65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合并范围内关联方及保证金组合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4"/>
        <w:rPr>
          <w:rFonts w:ascii="宋体" w:hAnsi="宋体" w:cs="宋体" w:eastAsia="宋体" w:hint="default"/>
          <w:b/>
          <w:bCs/>
          <w:sz w:val="25"/>
          <w:szCs w:val="25"/>
        </w:rPr>
      </w:pPr>
    </w:p>
    <w:p>
      <w:pPr>
        <w:spacing w:line="734" w:lineRule="exact"/>
        <w:ind w:left="144" w:right="0" w:firstLine="0"/>
        <w:rPr>
          <w:rFonts w:ascii="宋体" w:hAnsi="宋体" w:cs="宋体" w:eastAsia="宋体" w:hint="default"/>
          <w:sz w:val="20"/>
          <w:szCs w:val="20"/>
        </w:rPr>
      </w:pPr>
      <w:r>
        <w:rPr>
          <w:rFonts w:ascii="宋体" w:hAnsi="宋体" w:cs="宋体" w:eastAsia="宋体" w:hint="default"/>
          <w:position w:val="-14"/>
          <w:sz w:val="20"/>
          <w:szCs w:val="20"/>
        </w:rPr>
        <w:pict>
          <v:group style="width:479.35pt;height:36.75pt;mso-position-horizontal-relative:char;mso-position-vertical-relative:line" coordorigin="0,0" coordsize="9587,735">
            <v:group style="position:absolute;left:14;top:16;width:4774;height:156" coordorigin="14,16" coordsize="4774,156">
              <v:shape style="position:absolute;left:14;top:16;width:4774;height:156" coordorigin="14,16" coordsize="4774,156" path="m14,172l4788,172,4788,16,14,16,14,172xe" filled="true" fillcolor="#d3d3d3" stroked="false">
                <v:path arrowok="t"/>
                <v:fill type="solid"/>
              </v:shape>
            </v:group>
            <v:group style="position:absolute;left:14;top:563;width:4774;height:156" coordorigin="14,563" coordsize="4774,156">
              <v:shape style="position:absolute;left:14;top:563;width:4774;height:156" coordorigin="14,563" coordsize="4774,156" path="m14,719l4788,719,4788,563,14,563,14,719xe" filled="true" fillcolor="#d3d3d3" stroked="false">
                <v:path arrowok="t"/>
                <v:fill type="solid"/>
              </v:shape>
            </v:group>
            <v:group style="position:absolute;left:37;top:172;width:4728;height:392" coordorigin="37,172" coordsize="4728,392">
              <v:shape style="position:absolute;left:37;top:172;width:4728;height:392" coordorigin="37,172" coordsize="4728,392" path="m37,563l4765,563,4765,172,37,172,37,563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725" coordorigin="10,5" coordsize="2,725">
              <v:shape style="position:absolute;left:10;top:5;width:2;height:725" coordorigin="10,5" coordsize="0,725" path="m10,5l10,730e" filled="false" stroked="true" strokeweight=".48001pt" strokecolor="#000000">
                <v:path arrowok="t"/>
              </v:shape>
            </v:group>
            <v:group style="position:absolute;left:5;top:725;width:4785;height:2" coordorigin="5,725" coordsize="4785,2">
              <v:shape style="position:absolute;left:5;top:725;width:4785;height:2" coordorigin="5,725" coordsize="4785,0" path="m5,725l4789,725e" filled="false" stroked="true" strokeweight=".47998pt" strokecolor="#000000">
                <v:path arrowok="t"/>
              </v:shape>
            </v:group>
            <v:group style="position:absolute;left:4794;top:14;width:2;height:716" coordorigin="4794,14" coordsize="2,716">
              <v:shape style="position:absolute;left:4794;top:14;width:2;height:716" coordorigin="4794,14" coordsize="0,716" path="m4794,14l4794,730e" filled="false" stroked="true" strokeweight=".48001pt" strokecolor="#000000">
                <v:path arrowok="t"/>
              </v:shape>
            </v:group>
            <v:group style="position:absolute;left:4799;top:725;width:4774;height:2" coordorigin="4799,725" coordsize="4774,2">
              <v:shape style="position:absolute;left:4799;top:725;width:4774;height:2" coordorigin="4799,725" coordsize="4774,0" path="m4799,725l9572,725e" filled="false" stroked="true" strokeweight=".47998pt" strokecolor="#000000">
                <v:path arrowok="t"/>
              </v:shape>
            </v:group>
            <v:group style="position:absolute;left:9577;top:5;width:2;height:725" coordorigin="9577,5" coordsize="2,725">
              <v:shape style="position:absolute;left:9577;top:5;width:2;height:725" coordorigin="9577,5" coordsize="0,725" path="m9577,5l9577,730e" filled="false" stroked="true" strokeweight=".47998pt" strokecolor="#000000">
                <v:path arrowok="t"/>
              </v:shape>
              <v:shape style="position:absolute;left:10;top:10;width:4784;height:716" type="#_x0000_t202" filled="false" stroked="false">
                <v:textbox inset="0,0,0,0">
                  <w:txbxContent>
                    <w:p>
                      <w:pPr>
                        <w:spacing w:line="240" w:lineRule="auto" w:before="4"/>
                        <w:rPr>
                          <w:rFonts w:ascii="宋体" w:hAnsi="宋体" w:cs="宋体" w:eastAsia="宋体" w:hint="default"/>
                          <w:b/>
                          <w:bCs/>
                          <w:sz w:val="16"/>
                          <w:szCs w:val="16"/>
                        </w:rPr>
                      </w:pPr>
                    </w:p>
                    <w:p>
                      <w:pPr>
                        <w:spacing w:before="0"/>
                        <w:ind w:left="27" w:right="0" w:firstLine="0"/>
                        <w:jc w:val="left"/>
                        <w:rPr>
                          <w:rFonts w:ascii="宋体" w:hAnsi="宋体" w:cs="宋体" w:eastAsia="宋体" w:hint="default"/>
                          <w:sz w:val="18"/>
                          <w:szCs w:val="18"/>
                        </w:rPr>
                      </w:pPr>
                      <w:r>
                        <w:rPr>
                          <w:rFonts w:ascii="宋体" w:hAnsi="宋体" w:cs="宋体" w:eastAsia="宋体" w:hint="default"/>
                          <w:sz w:val="18"/>
                          <w:szCs w:val="18"/>
                        </w:rPr>
                        <w:t>坏账准备的计提方法</w:t>
                      </w:r>
                    </w:p>
                  </w:txbxContent>
                </v:textbox>
                <w10:wrap type="none"/>
              </v:shape>
              <v:shape style="position:absolute;left:4793;top:10;width:4784;height:716" type="#_x0000_t202" filled="false" stroked="false">
                <v:textbox inset="0,0,0,0">
                  <w:txbxContent>
                    <w:p>
                      <w:pPr>
                        <w:spacing w:line="316" w:lineRule="auto" w:before="57"/>
                        <w:ind w:left="28" w:right="73" w:firstLine="0"/>
                        <w:jc w:val="left"/>
                        <w:rPr>
                          <w:rFonts w:ascii="宋体" w:hAnsi="宋体" w:cs="宋体" w:eastAsia="宋体" w:hint="default"/>
                          <w:sz w:val="18"/>
                          <w:szCs w:val="18"/>
                        </w:rPr>
                      </w:pPr>
                      <w:r>
                        <w:rPr>
                          <w:rFonts w:ascii="宋体" w:hAnsi="宋体" w:cs="宋体" w:eastAsia="宋体" w:hint="default"/>
                          <w:sz w:val="18"/>
                          <w:szCs w:val="18"/>
                        </w:rPr>
                        <w:t>如果有客观证据表明其发生了减值的应收款项，单独确认减 值损失。</w:t>
                      </w:r>
                    </w:p>
                  </w:txbxContent>
                </v:textbox>
                <w10:wrap type="none"/>
              </v:shape>
            </v:group>
          </v:group>
        </w:pict>
      </w:r>
      <w:r>
        <w:rPr>
          <w:rFonts w:ascii="宋体" w:hAnsi="宋体" w:cs="宋体" w:eastAsia="宋体" w:hint="default"/>
          <w:position w:val="-14"/>
          <w:sz w:val="20"/>
          <w:szCs w:val="20"/>
        </w:rPr>
      </w:r>
    </w:p>
    <w:p>
      <w:pPr>
        <w:spacing w:after="0" w:line="734" w:lineRule="exact"/>
        <w:rPr>
          <w:rFonts w:ascii="宋体" w:hAnsi="宋体" w:cs="宋体" w:eastAsia="宋体" w:hint="default"/>
          <w:sz w:val="20"/>
          <w:szCs w:val="20"/>
        </w:rPr>
        <w:sectPr>
          <w:pgSz w:w="11910" w:h="16840"/>
          <w:pgMar w:header="877" w:footer="982" w:top="1100" w:bottom="1180" w:left="980" w:right="980"/>
        </w:sectPr>
      </w:pPr>
    </w:p>
    <w:p>
      <w:pPr>
        <w:spacing w:line="240" w:lineRule="auto" w:before="10"/>
        <w:rPr>
          <w:rFonts w:ascii="宋体" w:hAnsi="宋体" w:cs="宋体" w:eastAsia="宋体" w:hint="default"/>
          <w:b/>
          <w:bCs/>
          <w:sz w:val="20"/>
          <w:szCs w:val="20"/>
        </w:rPr>
      </w:pPr>
    </w:p>
    <w:p>
      <w:pPr>
        <w:pStyle w:val="Heading4"/>
        <w:spacing w:line="240" w:lineRule="auto" w:before="35"/>
        <w:ind w:right="0"/>
        <w:jc w:val="both"/>
        <w:rPr>
          <w:b w:val="0"/>
          <w:bCs w:val="0"/>
        </w:rPr>
      </w:pP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30"/>
          <w:szCs w:val="30"/>
        </w:rPr>
      </w:pPr>
    </w:p>
    <w:p>
      <w:pPr>
        <w:spacing w:line="398" w:lineRule="auto" w:before="0"/>
        <w:ind w:left="573" w:right="3261"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存货的分类</w:t>
      </w:r>
      <w:r>
        <w:rPr>
          <w:rFonts w:ascii="宋体" w:hAnsi="宋体" w:cs="宋体" w:eastAsia="宋体" w:hint="default"/>
          <w:b/>
          <w:bCs/>
          <w:w w:val="99"/>
          <w:sz w:val="21"/>
          <w:szCs w:val="21"/>
        </w:rPr>
        <w:t> </w:t>
      </w:r>
      <w:r>
        <w:rPr>
          <w:rFonts w:ascii="宋体" w:hAnsi="宋体" w:cs="宋体" w:eastAsia="宋体" w:hint="default"/>
          <w:sz w:val="21"/>
          <w:szCs w:val="21"/>
        </w:rPr>
        <w:t>存货分类为：原材料、在产品及半成品、发出商品、库存商品等。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sz w:val="21"/>
          <w:szCs w:val="21"/>
        </w:rPr>
      </w:r>
    </w:p>
    <w:p>
      <w:pPr>
        <w:pStyle w:val="BodyText"/>
        <w:spacing w:line="240" w:lineRule="auto" w:before="24"/>
        <w:ind w:left="574" w:right="0"/>
        <w:jc w:val="left"/>
      </w:pPr>
      <w:r>
        <w:rPr/>
        <w:t>存货发出时按加权平均法计价。</w:t>
      </w:r>
    </w:p>
    <w:p>
      <w:pPr>
        <w:spacing w:line="240" w:lineRule="auto" w:before="10"/>
        <w:rPr>
          <w:rFonts w:ascii="宋体" w:hAnsi="宋体" w:cs="宋体" w:eastAsia="宋体" w:hint="default"/>
          <w:sz w:val="14"/>
          <w:szCs w:val="14"/>
        </w:rPr>
      </w:pPr>
    </w:p>
    <w:p>
      <w:pPr>
        <w:spacing w:line="398" w:lineRule="auto" w:before="0"/>
        <w:ind w:left="574" w:right="0"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spacing w:val="1"/>
          <w:w w:val="99"/>
          <w:sz w:val="21"/>
          <w:szCs w:val="21"/>
        </w:rPr>
        <w:t> </w:t>
      </w:r>
      <w:r>
        <w:rPr>
          <w:rFonts w:ascii="宋体" w:hAnsi="宋体" w:cs="宋体" w:eastAsia="宋体" w:hint="default"/>
          <w:sz w:val="21"/>
          <w:szCs w:val="21"/>
        </w:rPr>
        <w:t>期末对存货进行全面清查后，按存货的成本与可变现净值孰低提取或调整存货跌价准备。 </w:t>
      </w:r>
      <w:r>
        <w:rPr>
          <w:rFonts w:ascii="宋体" w:hAnsi="宋体" w:cs="宋体" w:eastAsia="宋体" w:hint="default"/>
          <w:spacing w:val="-1"/>
          <w:sz w:val="21"/>
          <w:szCs w:val="21"/>
        </w:rPr>
        <w:t>产成品、库存商品和用于出售的材料等直接用于出售的商品存货，在正常生产经营过程中，以该存货</w:t>
      </w:r>
    </w:p>
    <w:p>
      <w:pPr>
        <w:pStyle w:val="BodyText"/>
        <w:spacing w:line="408" w:lineRule="auto" w:before="54"/>
        <w:ind w:right="149"/>
        <w:jc w:val="both"/>
      </w:pPr>
      <w:r>
        <w:rPr>
          <w:spacing w:val="-1"/>
        </w:rPr>
        <w:t>的估计售价减去估计的销售费用和相关税费后的金额，确定其可变现净值；需要经过加工的材料存货，在</w:t>
      </w:r>
      <w:r>
        <w:rPr>
          <w:spacing w:val="-83"/>
        </w:rPr>
        <w:t> </w:t>
      </w:r>
      <w:r>
        <w:rPr>
          <w:spacing w:val="-83"/>
        </w:rPr>
      </w:r>
      <w:r>
        <w:rPr>
          <w:spacing w:val="-1"/>
        </w:rPr>
        <w:t>正常生产经营过程中，以所生产的产成品的估计售价减去至完工时估计将要发生的成本、估计的销售费用</w:t>
      </w:r>
      <w:r>
        <w:rPr>
          <w:spacing w:val="-81"/>
        </w:rPr>
        <w:t> </w:t>
      </w:r>
      <w:r>
        <w:rPr>
          <w:spacing w:val="-81"/>
        </w:rPr>
      </w:r>
      <w:r>
        <w:rPr>
          <w:spacing w:val="-1"/>
        </w:rPr>
        <w:t>和相关税费后的金额，确定其可变现净值；为执行销售合同或者劳务合同而持有的存货，其可变现净值以</w:t>
      </w:r>
      <w:r>
        <w:rPr>
          <w:spacing w:val="-83"/>
        </w:rPr>
        <w:t> </w:t>
      </w:r>
      <w:r>
        <w:rPr>
          <w:spacing w:val="-83"/>
        </w:rPr>
      </w:r>
      <w:r>
        <w:rPr>
          <w:spacing w:val="-1"/>
        </w:rPr>
        <w:t>合同价格为基础计算，若持有存货的数量多于销售合同订购数量的，超出部分的存货的可变现净值以一般</w:t>
      </w:r>
      <w:r>
        <w:rPr>
          <w:spacing w:val="-81"/>
        </w:rPr>
        <w:t> </w:t>
      </w:r>
      <w:r>
        <w:rPr>
          <w:spacing w:val="-81"/>
        </w:rPr>
      </w:r>
      <w:r>
        <w:rPr/>
        <w:t>销售价格为基础计算。</w:t>
      </w:r>
    </w:p>
    <w:p>
      <w:pPr>
        <w:pStyle w:val="BodyText"/>
        <w:spacing w:line="408" w:lineRule="auto"/>
        <w:ind w:right="151" w:firstLine="420"/>
        <w:jc w:val="both"/>
      </w:pPr>
      <w:r>
        <w:rPr>
          <w:spacing w:val="-1"/>
        </w:rPr>
        <w:t>期末按照单个存货项目计提存货跌价准备；但对于数量繁多、单价较低的存货，按照存货类别计提存</w:t>
      </w:r>
      <w:r>
        <w:rPr/>
        <w:t> </w:t>
      </w:r>
      <w:r>
        <w:rPr>
          <w:spacing w:val="-1"/>
        </w:rPr>
        <w:t>货跌价准备；与在同一地区生产和销售的产品系列相关、具有相同或类似最终用途或目的，且难以与其他</w:t>
      </w:r>
      <w:r>
        <w:rPr>
          <w:spacing w:val="-83"/>
        </w:rPr>
        <w:t> </w:t>
      </w:r>
      <w:r>
        <w:rPr>
          <w:spacing w:val="-83"/>
        </w:rPr>
      </w:r>
      <w:r>
        <w:rPr/>
        <w:t>项目分开计量的存货，则合并计提存货跌价准备。</w:t>
      </w:r>
    </w:p>
    <w:p>
      <w:pPr>
        <w:pStyle w:val="BodyText"/>
        <w:spacing w:line="408" w:lineRule="auto"/>
        <w:ind w:right="149" w:firstLine="420"/>
        <w:jc w:val="both"/>
      </w:pPr>
      <w:r>
        <w:rPr>
          <w:spacing w:val="-1"/>
        </w:rPr>
        <w:t>以前减记存货价值的影响因素已经消失的，减记的金额予以恢复，并在原已计提的存货跌价准备金额</w:t>
      </w:r>
      <w:r>
        <w:rPr/>
        <w:t> 内转回，转回的金额计入当期损益。</w:t>
      </w:r>
    </w:p>
    <w:p>
      <w:pPr>
        <w:spacing w:line="386" w:lineRule="auto" w:before="46"/>
        <w:ind w:left="574" w:right="7459"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存货的盘存制度</w:t>
      </w:r>
      <w:r>
        <w:rPr>
          <w:rFonts w:ascii="宋体" w:hAnsi="宋体" w:cs="宋体" w:eastAsia="宋体" w:hint="default"/>
          <w:b/>
          <w:bCs/>
          <w:w w:val="99"/>
          <w:sz w:val="21"/>
          <w:szCs w:val="21"/>
        </w:rPr>
        <w:t> </w:t>
      </w:r>
      <w:r>
        <w:rPr>
          <w:rFonts w:ascii="宋体" w:hAnsi="宋体" w:cs="宋体" w:eastAsia="宋体" w:hint="default"/>
          <w:sz w:val="21"/>
          <w:szCs w:val="21"/>
        </w:rPr>
        <w:t>采用永续盘存制。</w:t>
      </w:r>
    </w:p>
    <w:p>
      <w:pPr>
        <w:spacing w:line="386" w:lineRule="auto" w:before="65"/>
        <w:ind w:left="574" w:right="2630"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低值易耗品和包装物的摊销方法</w:t>
      </w:r>
      <w:r>
        <w:rPr>
          <w:rFonts w:ascii="宋体" w:hAnsi="宋体" w:cs="宋体" w:eastAsia="宋体" w:hint="default"/>
          <w:b/>
          <w:bCs/>
          <w:spacing w:val="1"/>
          <w:w w:val="99"/>
          <w:sz w:val="21"/>
          <w:szCs w:val="21"/>
        </w:rPr>
        <w:t> </w:t>
      </w:r>
      <w:r>
        <w:rPr>
          <w:rFonts w:ascii="宋体" w:hAnsi="宋体" w:cs="宋体" w:eastAsia="宋体" w:hint="default"/>
          <w:sz w:val="21"/>
          <w:szCs w:val="21"/>
        </w:rPr>
        <w:t>低值易耗品于领用时采用一次转销法；包装物于领用时采用一次转销法。</w:t>
      </w:r>
    </w:p>
    <w:p>
      <w:pPr>
        <w:spacing w:line="240" w:lineRule="auto" w:before="0"/>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574" w:right="0"/>
        <w:jc w:val="left"/>
      </w:pPr>
      <w:r>
        <w:rPr/>
        <w:t>本公司将同时满足下列条件的组成部分（或非流动资产）确认为持有待售：</w:t>
      </w:r>
    </w:p>
    <w:p>
      <w:pPr>
        <w:spacing w:line="240" w:lineRule="auto" w:before="10"/>
        <w:rPr>
          <w:rFonts w:ascii="宋体" w:hAnsi="宋体" w:cs="宋体" w:eastAsia="宋体" w:hint="default"/>
          <w:sz w:val="14"/>
          <w:szCs w:val="14"/>
        </w:rPr>
      </w:pPr>
    </w:p>
    <w:p>
      <w:pPr>
        <w:pStyle w:val="BodyText"/>
        <w:spacing w:line="240" w:lineRule="auto" w:before="0"/>
        <w:ind w:left="469" w:right="0"/>
        <w:jc w:val="left"/>
      </w:pPr>
      <w:r>
        <w:rPr/>
        <w:t>（</w:t>
      </w:r>
      <w:r>
        <w:rPr>
          <w:rFonts w:ascii="Times New Roman" w:hAnsi="Times New Roman" w:cs="Times New Roman" w:eastAsia="Times New Roman" w:hint="default"/>
        </w:rPr>
        <w:t>1</w:t>
      </w:r>
      <w:r>
        <w:rPr/>
        <w:t>）该组成部分必须在其当前状况下仅根据出售此类组成部分的惯常条款即可立即出售；</w:t>
      </w:r>
    </w:p>
    <w:p>
      <w:pPr>
        <w:pStyle w:val="BodyText"/>
        <w:spacing w:line="386" w:lineRule="auto" w:before="177"/>
        <w:ind w:right="147" w:firstLine="420"/>
        <w:jc w:val="both"/>
      </w:pPr>
      <w:r>
        <w:rPr/>
        <w:t>（</w:t>
      </w:r>
      <w:r>
        <w:rPr>
          <w:rFonts w:ascii="Times New Roman" w:hAnsi="Times New Roman" w:cs="Times New Roman" w:eastAsia="Times New Roman" w:hint="default"/>
        </w:rPr>
        <w:t>2</w:t>
      </w:r>
      <w:r>
        <w:rPr/>
        <w:t>）公司已经就处置该组成部分（或非流动资产）作出决议，如按规定需得到股东批准的，已经取</w:t>
      </w:r>
      <w:r>
        <w:rPr>
          <w:spacing w:val="2"/>
        </w:rPr>
        <w:t> </w:t>
      </w:r>
      <w:r>
        <w:rPr/>
        <w:t>得股东大会或相应权力机构的批准；</w:t>
      </w:r>
    </w:p>
    <w:p>
      <w:pPr>
        <w:pStyle w:val="BodyText"/>
        <w:spacing w:line="240" w:lineRule="auto" w:before="65"/>
        <w:ind w:left="574" w:right="0"/>
        <w:jc w:val="left"/>
      </w:pPr>
      <w:r>
        <w:rPr/>
        <w:t>（</w:t>
      </w:r>
      <w:r>
        <w:rPr>
          <w:rFonts w:ascii="Times New Roman" w:hAnsi="Times New Roman" w:cs="Times New Roman" w:eastAsia="Times New Roman" w:hint="default"/>
        </w:rPr>
        <w:t>3</w:t>
      </w:r>
      <w:r>
        <w:rPr/>
        <w:t>）公司已与受让方签订了不可撤销的转让协议；</w:t>
      </w:r>
    </w:p>
    <w:p>
      <w:pPr>
        <w:spacing w:after="0" w:line="240"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240" w:lineRule="auto" w:before="35"/>
        <w:ind w:left="574" w:right="0"/>
        <w:jc w:val="left"/>
      </w:pPr>
      <w:r>
        <w:rPr/>
        <w:t>（</w:t>
      </w:r>
      <w:r>
        <w:rPr>
          <w:rFonts w:ascii="Times New Roman" w:hAnsi="Times New Roman" w:cs="Times New Roman" w:eastAsia="Times New Roman" w:hint="default"/>
        </w:rPr>
        <w:t>4</w:t>
      </w:r>
      <w:r>
        <w:rPr/>
        <w:t>）该项转让将在一年内完成。</w:t>
      </w:r>
    </w:p>
    <w:p>
      <w:pPr>
        <w:spacing w:line="240" w:lineRule="auto" w:before="8"/>
        <w:rPr>
          <w:rFonts w:ascii="宋体" w:hAnsi="宋体" w:cs="宋体" w:eastAsia="宋体" w:hint="default"/>
          <w:sz w:val="30"/>
          <w:szCs w:val="30"/>
        </w:rPr>
      </w:pPr>
    </w:p>
    <w:p>
      <w:pPr>
        <w:pStyle w:val="Heading4"/>
        <w:spacing w:line="240" w:lineRule="auto"/>
        <w:ind w:right="0"/>
        <w:jc w:val="both"/>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30"/>
          <w:szCs w:val="30"/>
        </w:rPr>
      </w:pPr>
    </w:p>
    <w:p>
      <w:pPr>
        <w:pStyle w:val="Heading4"/>
        <w:spacing w:line="240" w:lineRule="auto"/>
        <w:ind w:left="566" w:right="0"/>
        <w:jc w:val="left"/>
        <w:rPr>
          <w:b w:val="0"/>
          <w:bCs w:val="0"/>
        </w:rPr>
      </w:pPr>
      <w:r>
        <w:rPr>
          <w:rFonts w:ascii="Times New Roman" w:hAnsi="Times New Roman" w:cs="Times New Roman" w:eastAsia="Times New Roman" w:hint="default"/>
        </w:rPr>
        <w:t>1</w:t>
      </w:r>
      <w:r>
        <w:rPr/>
        <w:t>、</w:t>
      </w:r>
      <w:r>
        <w:rPr>
          <w:spacing w:val="2"/>
        </w:rPr>
        <w:t> </w:t>
      </w:r>
      <w:r>
        <w:rPr/>
        <w:t>投资成本的确定</w:t>
      </w:r>
      <w:r>
        <w:rPr>
          <w:b w:val="0"/>
          <w:bCs w:val="0"/>
        </w:rPr>
      </w:r>
    </w:p>
    <w:p>
      <w:pPr>
        <w:pStyle w:val="BodyText"/>
        <w:spacing w:line="386" w:lineRule="auto" w:before="177"/>
        <w:ind w:left="574" w:right="0" w:hanging="1"/>
        <w:jc w:val="left"/>
      </w:pPr>
      <w:r>
        <w:rPr/>
        <w:t>（</w:t>
      </w:r>
      <w:r>
        <w:rPr>
          <w:rFonts w:ascii="Times New Roman" w:hAnsi="Times New Roman" w:cs="Times New Roman" w:eastAsia="Times New Roman" w:hint="default"/>
        </w:rPr>
        <w:t>1</w:t>
      </w:r>
      <w:r>
        <w:rPr/>
        <w:t>）企业合并形成的长期股权投资 </w:t>
      </w:r>
      <w:r>
        <w:rPr>
          <w:spacing w:val="-1"/>
        </w:rPr>
        <w:t>共同控制，是指按照相关约定对某项安排所共有的控制，并且该安排的相关活动必须经过分享控制权</w:t>
      </w:r>
    </w:p>
    <w:p>
      <w:pPr>
        <w:pStyle w:val="BodyText"/>
        <w:spacing w:line="408" w:lineRule="auto" w:before="65"/>
        <w:ind w:right="149"/>
        <w:jc w:val="both"/>
      </w:pPr>
      <w:r>
        <w:rPr>
          <w:spacing w:val="-1"/>
        </w:rPr>
        <w:t>的参与方一致同意后才能决策。本公司与其他合营方一同对被投资单位实施共同控制且对被投资单位净资</w:t>
      </w:r>
      <w:r>
        <w:rPr>
          <w:spacing w:val="-81"/>
        </w:rPr>
        <w:t> </w:t>
      </w:r>
      <w:r>
        <w:rPr>
          <w:spacing w:val="-81"/>
        </w:rPr>
      </w:r>
      <w:r>
        <w:rPr/>
        <w:t>产享有权利的，被投资单位为本公司的合营企业。</w:t>
      </w:r>
    </w:p>
    <w:p>
      <w:pPr>
        <w:pStyle w:val="BodyText"/>
        <w:spacing w:line="408" w:lineRule="auto"/>
        <w:ind w:right="0" w:firstLine="420"/>
        <w:jc w:val="left"/>
      </w:pPr>
      <w:r>
        <w:rPr>
          <w:spacing w:val="-1"/>
        </w:rPr>
        <w:t>重大影响，是指对一个企业的财务和经营决策有参与决策的权力，但并不能够控制或者与其他方一起</w:t>
      </w:r>
      <w:r>
        <w:rPr/>
        <w:t> 共同控制这些政策的制定。本能够对被投资单位施加重大影响的，被投资单位为本公司联营企业。</w:t>
      </w:r>
    </w:p>
    <w:p>
      <w:pPr>
        <w:pStyle w:val="Heading4"/>
        <w:spacing w:line="240" w:lineRule="auto" w:before="46"/>
        <w:ind w:left="671" w:right="0"/>
        <w:jc w:val="left"/>
        <w:rPr>
          <w:b w:val="0"/>
          <w:bCs w:val="0"/>
        </w:rPr>
      </w:pPr>
      <w:r>
        <w:rPr>
          <w:rFonts w:ascii="Times New Roman" w:hAnsi="Times New Roman" w:cs="Times New Roman" w:eastAsia="Times New Roman" w:hint="default"/>
        </w:rPr>
        <w:t>2</w:t>
      </w:r>
      <w:r>
        <w:rPr/>
        <w:t>、初始投资成本的确定</w:t>
      </w:r>
      <w:r>
        <w:rPr>
          <w:b w:val="0"/>
          <w:bCs w:val="0"/>
        </w:rPr>
      </w:r>
    </w:p>
    <w:p>
      <w:pPr>
        <w:pStyle w:val="BodyText"/>
        <w:spacing w:line="386" w:lineRule="auto" w:before="177"/>
        <w:ind w:left="574" w:right="0" w:hanging="1"/>
        <w:jc w:val="left"/>
      </w:pPr>
      <w:r>
        <w:rPr/>
        <w:t>（</w:t>
      </w:r>
      <w:r>
        <w:rPr>
          <w:rFonts w:ascii="Times New Roman" w:hAnsi="Times New Roman" w:cs="Times New Roman" w:eastAsia="Times New Roman" w:hint="default"/>
        </w:rPr>
        <w:t>1</w:t>
      </w:r>
      <w:r>
        <w:rPr/>
        <w:t>）企业合并形成的长期股权投资 </w:t>
      </w:r>
      <w:r>
        <w:rPr>
          <w:spacing w:val="-1"/>
        </w:rPr>
        <w:t>同一控制下的企业合并：公司以支付现金、转让非现金资产或承担债务方式以及以发行权益性证券作</w:t>
      </w:r>
    </w:p>
    <w:p>
      <w:pPr>
        <w:pStyle w:val="BodyText"/>
        <w:spacing w:line="408" w:lineRule="auto" w:before="65"/>
        <w:ind w:right="149"/>
        <w:jc w:val="both"/>
      </w:pPr>
      <w:r>
        <w:rPr>
          <w:spacing w:val="-1"/>
        </w:rPr>
        <w:t>为合并对价的，在合并日按照取得被合并方所有者权益在最终控制方合并财务报表中的账面价值的份额作</w:t>
      </w:r>
      <w:r>
        <w:rPr>
          <w:spacing w:val="-81"/>
        </w:rPr>
        <w:t> </w:t>
      </w:r>
      <w:r>
        <w:rPr>
          <w:spacing w:val="-81"/>
        </w:rPr>
      </w:r>
      <w:r>
        <w:rPr>
          <w:spacing w:val="-1"/>
        </w:rPr>
        <w:t>为长期股权投资的初始投资成本。因追加投资等原因能够对同一控制下的被投资单位实施控制的，在合并</w:t>
      </w:r>
      <w:r>
        <w:rPr>
          <w:spacing w:val="-81"/>
        </w:rPr>
        <w:t> </w:t>
      </w:r>
      <w:r>
        <w:rPr>
          <w:spacing w:val="-81"/>
        </w:rPr>
      </w:r>
      <w:r>
        <w:rPr>
          <w:spacing w:val="-1"/>
        </w:rPr>
        <w:t>日根据合并后应享有被合并方净资产在最终控制方合并财务报表中的账面价值的份额，确定长期股权投资</w:t>
      </w:r>
      <w:r>
        <w:rPr>
          <w:spacing w:val="-81"/>
        </w:rPr>
        <w:t> </w:t>
      </w:r>
      <w:r>
        <w:rPr>
          <w:spacing w:val="-81"/>
        </w:rPr>
      </w:r>
      <w:r>
        <w:rPr>
          <w:spacing w:val="-1"/>
        </w:rPr>
        <w:t>的初始投资成本。合并日长期股权投资的初始投资成本，与达到合并前的长期股权投资账面价值加上合并</w:t>
      </w:r>
      <w:r>
        <w:rPr>
          <w:spacing w:val="-81"/>
        </w:rPr>
        <w:t> </w:t>
      </w:r>
      <w:r>
        <w:rPr>
          <w:spacing w:val="-81"/>
        </w:rPr>
      </w:r>
      <w:r>
        <w:rPr>
          <w:spacing w:val="-1"/>
        </w:rPr>
        <w:t>日进一步取得股份新支付对价的账面价值之和的差额，调整股本溢价，股本溢价不足冲减的，冲减留存收</w:t>
      </w:r>
      <w:r>
        <w:rPr>
          <w:spacing w:val="-83"/>
        </w:rPr>
        <w:t> </w:t>
      </w:r>
      <w:r>
        <w:rPr>
          <w:spacing w:val="-83"/>
        </w:rPr>
      </w:r>
      <w:r>
        <w:rPr/>
        <w:t>益。</w:t>
      </w:r>
    </w:p>
    <w:p>
      <w:pPr>
        <w:pStyle w:val="BodyText"/>
        <w:spacing w:line="408" w:lineRule="auto"/>
        <w:ind w:right="149" w:firstLine="420"/>
        <w:jc w:val="both"/>
      </w:pPr>
      <w:r>
        <w:rPr>
          <w:spacing w:val="-1"/>
        </w:rPr>
        <w:t>非同一控制下的企业合并：公司按照购买日确定的合并成本作为长期股权投资的初始投资成本。因追</w:t>
      </w:r>
      <w:r>
        <w:rPr/>
        <w:t> </w:t>
      </w:r>
      <w:r>
        <w:rPr>
          <w:spacing w:val="-1"/>
        </w:rPr>
        <w:t>加投资等原因能够对非同一控制下的被投资单位实施控制的，按照原持有的股权投资账面价值加上新增投</w:t>
      </w:r>
      <w:r>
        <w:rPr>
          <w:spacing w:val="-81"/>
        </w:rPr>
        <w:t> </w:t>
      </w:r>
      <w:r>
        <w:rPr>
          <w:spacing w:val="-81"/>
        </w:rPr>
      </w:r>
      <w:r>
        <w:rPr/>
        <w:t>资成本之和，作为改按成本法核算的初始投资成本。</w:t>
      </w:r>
    </w:p>
    <w:p>
      <w:pPr>
        <w:pStyle w:val="BodyText"/>
        <w:spacing w:line="400" w:lineRule="auto"/>
        <w:ind w:left="574" w:right="0" w:hanging="1"/>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1"/>
        </w:rPr>
        <w:t>在非货币性资产交换具备商业实质和换入资产或换出资产的公允价值能够可靠计量的前提下，非货币</w:t>
      </w:r>
    </w:p>
    <w:p>
      <w:pPr>
        <w:pStyle w:val="BodyText"/>
        <w:spacing w:line="408" w:lineRule="auto" w:before="52"/>
        <w:ind w:right="149"/>
        <w:jc w:val="both"/>
      </w:pPr>
      <w:r>
        <w:rPr>
          <w:spacing w:val="-1"/>
        </w:rPr>
        <w:t>性资产交换换入的长期股权投资以换出资产的公允价值和应支付的相关税费确定其初始投资成本，除非有</w:t>
      </w:r>
      <w:r>
        <w:rPr>
          <w:spacing w:val="-81"/>
        </w:rPr>
        <w:t> </w:t>
      </w:r>
      <w:r>
        <w:rPr>
          <w:spacing w:val="-81"/>
        </w:rPr>
      </w:r>
      <w:r>
        <w:rPr>
          <w:spacing w:val="-1"/>
        </w:rPr>
        <w:t>确凿证据表明换入资产的公允价值更加可靠；不满足上述前提的非货币性资产交换，以换出资产的账面价</w:t>
      </w:r>
      <w:r>
        <w:rPr>
          <w:spacing w:val="-81"/>
        </w:rPr>
        <w:t> </w:t>
      </w:r>
      <w:r>
        <w:rPr>
          <w:spacing w:val="-81"/>
        </w:rPr>
      </w:r>
      <w:r>
        <w:rPr/>
        <w:t>值和应支付的相关税费作为换入长期股权投资的初始投资成本。</w:t>
      </w:r>
    </w:p>
    <w:p>
      <w:pPr>
        <w:pStyle w:val="BodyText"/>
        <w:spacing w:line="240" w:lineRule="auto"/>
        <w:ind w:left="574" w:right="0"/>
        <w:jc w:val="left"/>
      </w:pPr>
      <w:r>
        <w:rPr/>
        <w:t>通过债务重组取得的长期股权投资，其初始投资成本按照公允价值为基础确定。</w:t>
      </w:r>
    </w:p>
    <w:p>
      <w:pPr>
        <w:spacing w:after="0" w:line="240"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Heading4"/>
        <w:spacing w:line="240" w:lineRule="auto" w:before="35"/>
        <w:ind w:left="566" w:right="0"/>
        <w:jc w:val="left"/>
        <w:rPr>
          <w:b w:val="0"/>
          <w:bCs w:val="0"/>
        </w:rPr>
      </w:pPr>
      <w:r>
        <w:rPr>
          <w:rFonts w:ascii="Times New Roman" w:hAnsi="Times New Roman" w:cs="Times New Roman" w:eastAsia="Times New Roman" w:hint="default"/>
        </w:rPr>
        <w:t>3</w:t>
      </w:r>
      <w:r>
        <w:rPr/>
        <w:t>、</w:t>
      </w:r>
      <w:r>
        <w:rPr>
          <w:spacing w:val="1"/>
        </w:rPr>
        <w:t> </w:t>
      </w:r>
      <w:r>
        <w:rPr/>
        <w:t>后续计量及损益确认方法</w:t>
      </w:r>
      <w:r>
        <w:rPr>
          <w:b w:val="0"/>
          <w:bCs w:val="0"/>
        </w:rPr>
      </w:r>
    </w:p>
    <w:p>
      <w:pPr>
        <w:pStyle w:val="BodyText"/>
        <w:spacing w:line="386" w:lineRule="auto" w:before="177"/>
        <w:ind w:left="574" w:right="0" w:hanging="1"/>
        <w:jc w:val="left"/>
      </w:pPr>
      <w:r>
        <w:rPr/>
        <w:t>（</w:t>
      </w:r>
      <w:r>
        <w:rPr>
          <w:rFonts w:ascii="Times New Roman" w:hAnsi="Times New Roman" w:cs="Times New Roman" w:eastAsia="Times New Roman" w:hint="default"/>
        </w:rPr>
        <w:t>1</w:t>
      </w:r>
      <w:r>
        <w:rPr/>
        <w:t>）成本法核算的长期股权投资 </w:t>
      </w:r>
      <w:r>
        <w:rPr>
          <w:spacing w:val="-1"/>
        </w:rPr>
        <w:t>公司对子公司的长期股权投资，采用成本法核算。除取得投资时实际支付的价款或对价中包含的已宣</w:t>
      </w:r>
    </w:p>
    <w:p>
      <w:pPr>
        <w:pStyle w:val="BodyText"/>
        <w:spacing w:line="408" w:lineRule="auto" w:before="65"/>
        <w:ind w:right="0"/>
        <w:jc w:val="left"/>
      </w:pPr>
      <w:r>
        <w:rPr>
          <w:spacing w:val="-1"/>
        </w:rPr>
        <w:t>告但尚未发放的现金股利或利润外，公司按照享有被投资单位宣告发放的现金股利或利润确认当期投资收</w:t>
      </w:r>
      <w:r>
        <w:rPr>
          <w:spacing w:val="-81"/>
        </w:rPr>
        <w:t> </w:t>
      </w:r>
      <w:r>
        <w:rPr>
          <w:spacing w:val="-81"/>
        </w:rPr>
      </w:r>
      <w:r>
        <w:rPr/>
        <w:t>益。</w:t>
      </w:r>
    </w:p>
    <w:p>
      <w:pPr>
        <w:pStyle w:val="BodyText"/>
        <w:spacing w:line="386" w:lineRule="auto"/>
        <w:ind w:left="574" w:right="0" w:hanging="1"/>
        <w:jc w:val="left"/>
      </w:pPr>
      <w:r>
        <w:rPr/>
        <w:t>（</w:t>
      </w:r>
      <w:r>
        <w:rPr>
          <w:rFonts w:ascii="Times New Roman" w:hAnsi="Times New Roman" w:cs="Times New Roman" w:eastAsia="Times New Roman" w:hint="default"/>
        </w:rPr>
        <w:t>2</w:t>
      </w:r>
      <w:r>
        <w:rPr/>
        <w:t>）权益法核算的长期股权投资 </w:t>
      </w:r>
      <w:r>
        <w:rPr>
          <w:spacing w:val="-1"/>
        </w:rPr>
        <w:t>对联营企业和合营企业的长期股权投资，采用权益法核算。初始投资成本大于投资时应享有被投资单</w:t>
      </w:r>
    </w:p>
    <w:p>
      <w:pPr>
        <w:pStyle w:val="BodyText"/>
        <w:spacing w:line="408" w:lineRule="auto" w:before="65"/>
        <w:ind w:right="0"/>
        <w:jc w:val="left"/>
      </w:pPr>
      <w:r>
        <w:rPr>
          <w:spacing w:val="-1"/>
        </w:rPr>
        <w:t>位可辨认净资产公允价值份额的差额，不调整长期股权投资的初始投资成本；初始投资成本小于投资时应</w:t>
      </w:r>
      <w:r>
        <w:rPr>
          <w:spacing w:val="-81"/>
        </w:rPr>
        <w:t> </w:t>
      </w:r>
      <w:r>
        <w:rPr>
          <w:spacing w:val="-81"/>
        </w:rPr>
      </w:r>
      <w:r>
        <w:rPr/>
        <w:t>享有被投资单位可辨认净资产公允价值份额的差额，计入当期损益。</w:t>
      </w:r>
    </w:p>
    <w:p>
      <w:pPr>
        <w:pStyle w:val="BodyText"/>
        <w:spacing w:line="408" w:lineRule="auto"/>
        <w:ind w:right="149" w:firstLine="420"/>
        <w:jc w:val="both"/>
      </w:pPr>
      <w:r>
        <w:rPr>
          <w:spacing w:val="-1"/>
        </w:rPr>
        <w:t>公司按照应享有或应分担的被投资单位实现的净损益和其他综合收益的份额，分别确认投资收益和其</w:t>
      </w:r>
      <w:r>
        <w:rPr/>
        <w:t> </w:t>
      </w:r>
      <w:r>
        <w:rPr>
          <w:spacing w:val="-1"/>
        </w:rPr>
        <w:t>他综合收益，同时调整长期股权投资的账面价值；按照被投资单位宣告分派的利润或现金股利计算应享有</w:t>
      </w:r>
      <w:r>
        <w:rPr>
          <w:spacing w:val="-81"/>
        </w:rPr>
        <w:t> </w:t>
      </w:r>
      <w:r>
        <w:rPr>
          <w:spacing w:val="-81"/>
        </w:rPr>
      </w:r>
      <w:r>
        <w:rPr>
          <w:spacing w:val="-1"/>
        </w:rPr>
        <w:t>的部分，相应减少长期股权投资的账面价值；对于被投资单位除净损益、其他综合收益和利润分配以外所</w:t>
      </w:r>
      <w:r>
        <w:rPr>
          <w:spacing w:val="-83"/>
        </w:rPr>
        <w:t> </w:t>
      </w:r>
      <w:r>
        <w:rPr>
          <w:spacing w:val="-83"/>
        </w:rPr>
      </w:r>
      <w:r>
        <w:rPr/>
        <w:t>有者权益的其他变动，调整长期股权投资的账面价值并计入所有者权益。</w:t>
      </w:r>
    </w:p>
    <w:p>
      <w:pPr>
        <w:pStyle w:val="BodyText"/>
        <w:spacing w:line="408" w:lineRule="auto"/>
        <w:ind w:right="147" w:firstLine="420"/>
        <w:jc w:val="both"/>
      </w:pPr>
      <w:r>
        <w:rPr>
          <w:spacing w:val="3"/>
        </w:rPr>
        <w:t>在确认应享有被投资单位净损益的份额时，以取得投资时被投资单位可辨认净资产的公允价值为基</w:t>
      </w:r>
      <w:r>
        <w:rPr/>
        <w:t> </w:t>
      </w:r>
      <w:r>
        <w:rPr>
          <w:spacing w:val="-1"/>
        </w:rPr>
        <w:t>础，并按照公司的会计政策及会计期间，对被投资单位的净利润进行调整后确认。在持有投资期间，被投</w:t>
      </w:r>
      <w:r>
        <w:rPr>
          <w:spacing w:val="-82"/>
        </w:rPr>
        <w:t> </w:t>
      </w:r>
      <w:r>
        <w:rPr>
          <w:spacing w:val="-82"/>
        </w:rPr>
      </w:r>
      <w:r>
        <w:rPr>
          <w:spacing w:val="-1"/>
        </w:rPr>
        <w:t>资单位编制合并财务报表的，以合并财务报表中的净利润、其他综合收益和其他所有者权益变动中归属于</w:t>
      </w:r>
      <w:r>
        <w:rPr>
          <w:spacing w:val="-81"/>
        </w:rPr>
        <w:t> </w:t>
      </w:r>
      <w:r>
        <w:rPr>
          <w:spacing w:val="-81"/>
        </w:rPr>
      </w:r>
      <w:r>
        <w:rPr/>
        <w:t>被投资单位的金额为基础进行核算。</w:t>
      </w:r>
    </w:p>
    <w:p>
      <w:pPr>
        <w:pStyle w:val="BodyText"/>
        <w:spacing w:line="403" w:lineRule="auto"/>
        <w:ind w:right="147" w:firstLine="420"/>
        <w:jc w:val="both"/>
      </w:pPr>
      <w:r>
        <w:rPr>
          <w:spacing w:val="3"/>
        </w:rPr>
        <w:t>公司与联营企业、合营企业之间发生的未实现内部交易损益按照应享有的比例计算归属于公司的部</w:t>
      </w:r>
      <w:r>
        <w:rPr/>
        <w:t> </w:t>
      </w:r>
      <w:r>
        <w:rPr>
          <w:spacing w:val="-1"/>
        </w:rPr>
        <w:t>分，予以抵销，在此基础上确认投资收益。与被投资单位发生的未实现内部交易损失，属于资产减值损失</w:t>
      </w:r>
      <w:r>
        <w:rPr>
          <w:spacing w:val="-82"/>
        </w:rPr>
        <w:t> </w:t>
      </w:r>
      <w:r>
        <w:rPr>
          <w:spacing w:val="-82"/>
        </w:rPr>
      </w:r>
      <w:r>
        <w:rPr>
          <w:spacing w:val="-1"/>
        </w:rPr>
        <w:t>的，全额确认。公司与联营企业、合营企业之间发生投出或出售资产的交易，该资产构成业务的，按照本</w:t>
      </w:r>
      <w:r>
        <w:rPr>
          <w:spacing w:val="-83"/>
        </w:rPr>
        <w:t> </w:t>
      </w:r>
      <w:r>
        <w:rPr>
          <w:spacing w:val="-83"/>
        </w:rPr>
      </w:r>
      <w:r>
        <w:rPr>
          <w:spacing w:val="-2"/>
        </w:rPr>
        <w:t>附注</w:t>
      </w:r>
      <w:r>
        <w:rPr>
          <w:rFonts w:ascii="Times New Roman" w:hAnsi="Times New Roman" w:cs="Times New Roman" w:eastAsia="Times New Roman" w:hint="default"/>
          <w:spacing w:val="-2"/>
        </w:rPr>
        <w:t>“</w:t>
      </w:r>
      <w:r>
        <w:rPr>
          <w:spacing w:val="-2"/>
        </w:rPr>
        <w:t>三、（五）同一控制下和非同一控制下企业合并的会计处理方法</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三、（六）合并财务报表的编制</w:t>
      </w:r>
      <w:r>
        <w:rPr/>
        <w:t> 方法</w:t>
      </w:r>
      <w:r>
        <w:rPr>
          <w:rFonts w:ascii="Times New Roman" w:hAnsi="Times New Roman" w:cs="Times New Roman" w:eastAsia="Times New Roman" w:hint="default"/>
        </w:rPr>
        <w:t>”</w:t>
      </w:r>
      <w:r>
        <w:rPr/>
        <w:t>中披露的相关政策进行会计处理。</w:t>
      </w:r>
    </w:p>
    <w:p>
      <w:pPr>
        <w:pStyle w:val="BodyText"/>
        <w:spacing w:line="408" w:lineRule="auto" w:before="19"/>
        <w:ind w:right="149" w:firstLine="420"/>
        <w:jc w:val="both"/>
      </w:pPr>
      <w:r>
        <w:rPr>
          <w:spacing w:val="-1"/>
        </w:rPr>
        <w:t>在公司确认应分担被投资单位发生的亏损时，按照以下顺序进行处理：首先，冲减长期股权投资的账</w:t>
      </w:r>
      <w:r>
        <w:rPr/>
        <w:t> </w:t>
      </w:r>
      <w:r>
        <w:rPr>
          <w:spacing w:val="-1"/>
        </w:rPr>
        <w:t>面价值。其次，长期股权投资的账面价值不足以冲减的，以其他实质上构成对被投资单位净投资的长期权</w:t>
      </w:r>
      <w:r>
        <w:rPr>
          <w:spacing w:val="-83"/>
        </w:rPr>
        <w:t> </w:t>
      </w:r>
      <w:r>
        <w:rPr>
          <w:spacing w:val="-83"/>
        </w:rPr>
      </w:r>
      <w:r>
        <w:rPr>
          <w:spacing w:val="-1"/>
        </w:rPr>
        <w:t>益账面价值为限继续确认投资损失，冲减长期应收项目等的账面价值。最后，经过上述处理，按照投资合</w:t>
      </w:r>
      <w:r>
        <w:rPr>
          <w:spacing w:val="-82"/>
        </w:rPr>
        <w:t> </w:t>
      </w:r>
      <w:r>
        <w:rPr>
          <w:spacing w:val="-82"/>
        </w:rPr>
      </w:r>
      <w:r>
        <w:rPr/>
        <w:t>同或协议约定企业仍承担额外义务的，按预计承担的义务确认预计负债，计入当期投资损失。</w:t>
      </w:r>
    </w:p>
    <w:p>
      <w:pPr>
        <w:pStyle w:val="BodyText"/>
        <w:spacing w:line="386" w:lineRule="auto"/>
        <w:ind w:left="574" w:right="2630" w:hanging="1"/>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408" w:lineRule="auto" w:before="65"/>
        <w:ind w:right="149" w:firstLine="420"/>
        <w:jc w:val="both"/>
      </w:pPr>
      <w:r>
        <w:rPr>
          <w:spacing w:val="-1"/>
        </w:rPr>
        <w:t>采用权益法核算的长期股权投资，在处置该项投资时，采用与被投资单位直接处置相关资产或负债相</w:t>
      </w:r>
      <w:r>
        <w:rPr/>
        <w:t> </w:t>
      </w:r>
      <w:r>
        <w:rPr>
          <w:spacing w:val="-1"/>
        </w:rPr>
        <w:t>同的基础，按相应比例对原计入其他综合收益的部分进行会计处理。因被投资单位除净损益、其他综合收</w:t>
      </w:r>
    </w:p>
    <w:p>
      <w:pPr>
        <w:spacing w:after="0" w:line="408" w:lineRule="auto"/>
        <w:jc w:val="both"/>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408" w:lineRule="auto" w:before="35"/>
        <w:ind w:right="0"/>
        <w:jc w:val="left"/>
      </w:pPr>
      <w:r>
        <w:rPr>
          <w:spacing w:val="-1"/>
        </w:rPr>
        <w:t>益和利润分配以外的其他所有者权益变动而确认的所有者权益，按比例结转入当期损益，由于被投资方重</w:t>
      </w:r>
      <w:r>
        <w:rPr>
          <w:spacing w:val="-81"/>
        </w:rPr>
        <w:t> </w:t>
      </w:r>
      <w:r>
        <w:rPr>
          <w:spacing w:val="-81"/>
        </w:rPr>
      </w:r>
      <w:r>
        <w:rPr/>
        <w:t>新计量设定受益计划净负债或净资产变动而产生的其他综合收益除外。</w:t>
      </w:r>
    </w:p>
    <w:p>
      <w:pPr>
        <w:pStyle w:val="BodyText"/>
        <w:spacing w:line="408" w:lineRule="auto"/>
        <w:ind w:left="153" w:right="151" w:firstLine="420"/>
        <w:jc w:val="both"/>
      </w:pPr>
      <w:r>
        <w:rPr>
          <w:spacing w:val="-1"/>
        </w:rPr>
        <w:t>因处置部分股权投资等原因丧失了对被投资单位的共同控制或重大影响的，处置后的剩余股权改按金</w:t>
      </w:r>
      <w:r>
        <w:rPr/>
        <w:t> </w:t>
      </w:r>
      <w:r>
        <w:rPr>
          <w:spacing w:val="-1"/>
        </w:rPr>
        <w:t>融工具确认和计量准则核算，其在丧失共同控制或重大影响之日的公允价值与账面价值之间的差额计入当</w:t>
      </w:r>
      <w:r>
        <w:rPr>
          <w:spacing w:val="-81"/>
        </w:rPr>
        <w:t> </w:t>
      </w:r>
      <w:r>
        <w:rPr>
          <w:spacing w:val="-81"/>
        </w:rPr>
      </w:r>
      <w:r>
        <w:rPr>
          <w:spacing w:val="-1"/>
        </w:rPr>
        <w:t>期损益。原股权投资因采用权益法核算而确认的其他综合收益，在终止采用权益法核算时采用与被投资单</w:t>
      </w:r>
      <w:r>
        <w:rPr>
          <w:spacing w:val="-81"/>
        </w:rPr>
        <w:t> </w:t>
      </w:r>
      <w:r>
        <w:rPr>
          <w:spacing w:val="-81"/>
        </w:rPr>
      </w:r>
      <w:r>
        <w:rPr>
          <w:spacing w:val="-1"/>
        </w:rPr>
        <w:t>位直接处置相关资产或负债相同的基础进行会计处理。因被投资方除净损益、其他综合收益和利润分配以</w:t>
      </w:r>
      <w:r>
        <w:rPr>
          <w:spacing w:val="-81"/>
        </w:rPr>
        <w:t> </w:t>
      </w:r>
      <w:r>
        <w:rPr>
          <w:spacing w:val="-81"/>
        </w:rPr>
      </w:r>
      <w:r>
        <w:rPr/>
        <w:t>外的其他所有者权益变动而确认的所有者权益，在终止采用权益法核算时全部转入当期损益。</w:t>
      </w:r>
    </w:p>
    <w:p>
      <w:pPr>
        <w:pStyle w:val="BodyText"/>
        <w:spacing w:line="408" w:lineRule="auto"/>
        <w:ind w:left="153" w:right="151" w:firstLine="420"/>
        <w:jc w:val="both"/>
      </w:pPr>
      <w:r>
        <w:rPr>
          <w:spacing w:val="-1"/>
        </w:rPr>
        <w:t>因处置部分股权投资等原因丧失了对被投资单位控制权的，在编制个别财务报表时，处置后的剩余股</w:t>
      </w:r>
      <w:r>
        <w:rPr/>
        <w:t> </w:t>
      </w:r>
      <w:r>
        <w:rPr>
          <w:spacing w:val="-1"/>
        </w:rPr>
        <w:t>权能够对被投资单位实施共同控制或重大影响的，改按权益法核算，并对该剩余股权视同自取得时即采用</w:t>
      </w:r>
      <w:r>
        <w:rPr>
          <w:spacing w:val="-81"/>
        </w:rPr>
        <w:t> </w:t>
      </w:r>
      <w:r>
        <w:rPr>
          <w:spacing w:val="-81"/>
        </w:rPr>
      </w:r>
      <w:r>
        <w:rPr>
          <w:spacing w:val="-1"/>
        </w:rPr>
        <w:t>权益法核算进行调整；处置后的剩余股权不能对被投资单位实施共同控制或施加重大影响的，改按金融工</w:t>
      </w:r>
      <w:r>
        <w:rPr>
          <w:spacing w:val="-81"/>
        </w:rPr>
        <w:t> </w:t>
      </w:r>
      <w:r>
        <w:rPr>
          <w:spacing w:val="-81"/>
        </w:rPr>
      </w:r>
      <w:r>
        <w:rPr>
          <w:spacing w:val="-1"/>
        </w:rPr>
        <w:t>具确认和计量准则的有关规定进行会计处理，其在丧失控制之日的公允价值与账面价值间的差额计入当期</w:t>
      </w:r>
      <w:r>
        <w:rPr>
          <w:spacing w:val="-81"/>
        </w:rPr>
        <w:t> </w:t>
      </w:r>
      <w:r>
        <w:rPr>
          <w:spacing w:val="-81"/>
        </w:rPr>
      </w:r>
      <w:r>
        <w:rPr/>
        <w:t>损益。</w:t>
      </w:r>
    </w:p>
    <w:p>
      <w:pPr>
        <w:pStyle w:val="BodyText"/>
        <w:spacing w:line="408" w:lineRule="auto"/>
        <w:ind w:left="153" w:right="151" w:firstLine="420"/>
        <w:jc w:val="both"/>
      </w:pPr>
      <w:r>
        <w:rPr>
          <w:spacing w:val="-1"/>
        </w:rPr>
        <w:t>处置的股权是因追加投资等原因通过企业合并取得的，在编制个别财务报表时，处置后的剩余股权采</w:t>
      </w:r>
      <w:r>
        <w:rPr/>
        <w:t> </w:t>
      </w:r>
      <w:r>
        <w:rPr>
          <w:spacing w:val="-1"/>
        </w:rPr>
        <w:t>用成本法或权益法核算的，购买日之前持有的股权投资因采用权益法核算而确认的其他综合收益和其他所</w:t>
      </w:r>
      <w:r>
        <w:rPr>
          <w:spacing w:val="-81"/>
        </w:rPr>
        <w:t> </w:t>
      </w:r>
      <w:r>
        <w:rPr>
          <w:spacing w:val="-81"/>
        </w:rPr>
      </w:r>
      <w:r>
        <w:rPr>
          <w:spacing w:val="-1"/>
        </w:rPr>
        <w:t>有者权益按比例结转；处置后的剩余股权改按金融工具确认和计量准则进行会计处理的，其他综合收益和</w:t>
      </w:r>
      <w:r>
        <w:rPr>
          <w:spacing w:val="-81"/>
        </w:rPr>
        <w:t> </w:t>
      </w:r>
      <w:r>
        <w:rPr>
          <w:spacing w:val="-81"/>
        </w:rPr>
      </w:r>
      <w:r>
        <w:rPr/>
        <w:t>其他所有者权益全部结转。</w:t>
      </w:r>
    </w:p>
    <w:p>
      <w:pPr>
        <w:spacing w:line="240" w:lineRule="auto" w:before="8"/>
        <w:rPr>
          <w:rFonts w:ascii="宋体" w:hAnsi="宋体" w:cs="宋体" w:eastAsia="宋体" w:hint="default"/>
          <w:sz w:val="20"/>
          <w:szCs w:val="20"/>
        </w:rPr>
      </w:pPr>
    </w:p>
    <w:p>
      <w:pPr>
        <w:pStyle w:val="Heading4"/>
        <w:spacing w:line="240" w:lineRule="auto"/>
        <w:ind w:left="153" w:right="0"/>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spacing w:line="360" w:lineRule="auto" w:before="0"/>
        <w:ind w:left="153" w:right="7971"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408" w:lineRule="auto" w:before="77"/>
        <w:ind w:right="128" w:firstLine="420"/>
        <w:jc w:val="both"/>
      </w:pPr>
      <w:r>
        <w:rPr/>
        <w:t>投资性房地产是指为赚取租金或资本增值，或两者兼有而持有的房地产，包括已出租的土地使用权、 </w:t>
      </w:r>
      <w:r>
        <w:rPr>
          <w:spacing w:val="-1"/>
        </w:rPr>
        <w:t>持有并准备增值后转让的土地使用权、已出租的建筑物（含自行建造或开发活动完成后用于出租的建筑物</w:t>
      </w:r>
      <w:r>
        <w:rPr>
          <w:spacing w:val="-81"/>
        </w:rPr>
        <w:t> </w:t>
      </w:r>
      <w:r>
        <w:rPr>
          <w:spacing w:val="-81"/>
        </w:rPr>
      </w:r>
      <w:r>
        <w:rPr/>
        <w:t>以及正在建造或开发过程中将来用于出租的建筑物）。</w:t>
      </w:r>
    </w:p>
    <w:p>
      <w:pPr>
        <w:pStyle w:val="BodyText"/>
        <w:spacing w:line="408" w:lineRule="auto"/>
        <w:ind w:left="153" w:right="150" w:firstLine="420"/>
        <w:jc w:val="both"/>
      </w:pPr>
      <w:r>
        <w:rPr>
          <w:spacing w:val="-1"/>
        </w:rPr>
        <w:t>公司对现有投资性房地产采用成本模式计量。对按照成本模式计量的投资性房地产－出租用建筑物采</w:t>
      </w:r>
      <w:r>
        <w:rPr/>
        <w:t> 用与本公司固定资产相同的折旧政策，出租用土地使用权按与无形资产相同的摊销政策执行。</w:t>
      </w:r>
    </w:p>
    <w:p>
      <w:pPr>
        <w:spacing w:line="240" w:lineRule="auto" w:before="8"/>
        <w:rPr>
          <w:rFonts w:ascii="宋体" w:hAnsi="宋体" w:cs="宋体" w:eastAsia="宋体" w:hint="default"/>
          <w:sz w:val="20"/>
          <w:szCs w:val="20"/>
        </w:rPr>
      </w:pPr>
    </w:p>
    <w:p>
      <w:pPr>
        <w:pStyle w:val="Heading4"/>
        <w:spacing w:line="240" w:lineRule="auto"/>
        <w:ind w:left="153" w:right="0"/>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573" w:right="0"/>
        <w:jc w:val="left"/>
      </w:pPr>
      <w:r>
        <w:rPr/>
        <w:t>固定资产指为生产商品、提供劳务、出租或经营管理而持有，并且使用寿命超过一个会计年度的有形</w:t>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26"/>
          <w:szCs w:val="26"/>
        </w:rPr>
      </w:pPr>
    </w:p>
    <w:p>
      <w:pPr>
        <w:pStyle w:val="BodyText"/>
        <w:spacing w:line="240" w:lineRule="auto" w:before="35"/>
        <w:ind w:right="0"/>
        <w:jc w:val="left"/>
      </w:pPr>
      <w:r>
        <w:rPr/>
        <w:t>资产。固定资产在同时满足下列条件时予以确认：</w:t>
      </w:r>
    </w:p>
    <w:p>
      <w:pPr>
        <w:spacing w:line="240" w:lineRule="auto" w:before="10"/>
        <w:rPr>
          <w:rFonts w:ascii="宋体" w:hAnsi="宋体" w:cs="宋体" w:eastAsia="宋体" w:hint="default"/>
          <w:sz w:val="17"/>
          <w:szCs w:val="17"/>
        </w:rPr>
      </w:pPr>
    </w:p>
    <w:p>
      <w:pPr>
        <w:pStyle w:val="BodyText"/>
        <w:spacing w:line="240" w:lineRule="auto" w:before="0"/>
        <w:ind w:left="573" w:right="0"/>
        <w:jc w:val="left"/>
      </w:pPr>
      <w:r>
        <w:rPr/>
        <w:t>（</w:t>
      </w:r>
      <w:r>
        <w:rPr>
          <w:rFonts w:ascii="Times New Roman" w:hAnsi="Times New Roman" w:cs="Times New Roman" w:eastAsia="Times New Roman" w:hint="default"/>
        </w:rPr>
        <w:t>1</w:t>
      </w:r>
      <w:r>
        <w:rPr/>
        <w:t>）与该固定资产有关的经济利益很可能流入企业；</w:t>
      </w:r>
    </w:p>
    <w:p>
      <w:pPr>
        <w:spacing w:line="240" w:lineRule="auto" w:before="9"/>
        <w:rPr>
          <w:rFonts w:ascii="宋体" w:hAnsi="宋体" w:cs="宋体" w:eastAsia="宋体" w:hint="default"/>
          <w:sz w:val="16"/>
          <w:szCs w:val="16"/>
        </w:rPr>
      </w:pPr>
    </w:p>
    <w:p>
      <w:pPr>
        <w:pStyle w:val="BodyText"/>
        <w:spacing w:line="240" w:lineRule="auto" w:before="0"/>
        <w:ind w:left="574" w:right="0"/>
        <w:jc w:val="left"/>
      </w:pPr>
      <w:r>
        <w:rPr/>
        <w:t>（</w:t>
      </w:r>
      <w:r>
        <w:rPr>
          <w:rFonts w:ascii="Times New Roman" w:hAnsi="Times New Roman" w:cs="Times New Roman" w:eastAsia="Times New Roman" w:hint="default"/>
        </w:rPr>
        <w:t>2</w:t>
      </w:r>
      <w:r>
        <w:rPr/>
        <w:t>）该固定资产的成本能够可靠地计量。</w:t>
      </w:r>
    </w:p>
    <w:p>
      <w:pPr>
        <w:spacing w:line="240" w:lineRule="auto" w:before="6"/>
        <w:rPr>
          <w:rFonts w:ascii="宋体" w:hAnsi="宋体" w:cs="宋体" w:eastAsia="宋体" w:hint="default"/>
          <w:sz w:val="30"/>
          <w:szCs w:val="30"/>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9.50-19.00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9.50-19.00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9.50-19.00</w:t>
            </w:r>
          </w:p>
        </w:tc>
      </w:tr>
    </w:tbl>
    <w:p>
      <w:pPr>
        <w:pStyle w:val="BodyText"/>
        <w:spacing w:line="408" w:lineRule="auto" w:before="63"/>
        <w:ind w:right="151" w:firstLine="420"/>
        <w:jc w:val="both"/>
      </w:pPr>
      <w:r>
        <w:rPr>
          <w:spacing w:val="-1"/>
        </w:rPr>
        <w:t>固定资产折旧采用年限平均法分类计提，根据固定资产类别、预计使用寿命和预计净残值率确定折旧</w:t>
      </w:r>
      <w:r>
        <w:rPr/>
        <w:t> </w:t>
      </w:r>
      <w:r>
        <w:rPr>
          <w:spacing w:val="-1"/>
        </w:rPr>
        <w:t>率。如固定资产各组成部分的使用寿命不同或者以不同方式为企业提供经济利益，则选择不同折旧率或折</w:t>
      </w:r>
      <w:r>
        <w:rPr>
          <w:spacing w:val="-81"/>
        </w:rPr>
        <w:t> </w:t>
      </w:r>
      <w:r>
        <w:rPr>
          <w:spacing w:val="-81"/>
        </w:rPr>
      </w:r>
      <w:r>
        <w:rPr/>
        <w:t>旧方法，分别计提折旧。</w:t>
      </w:r>
    </w:p>
    <w:p>
      <w:pPr>
        <w:pStyle w:val="BodyText"/>
        <w:spacing w:line="240" w:lineRule="auto"/>
        <w:ind w:left="573" w:right="0"/>
        <w:jc w:val="left"/>
      </w:pPr>
      <w:r>
        <w:rPr/>
        <w:t>新建的母公司办公楼和子公司福建新开普办公楼是按</w:t>
      </w:r>
      <w:r>
        <w:rPr>
          <w:rFonts w:ascii="Times New Roman" w:hAnsi="Times New Roman" w:cs="Times New Roman" w:eastAsia="Times New Roman" w:hint="default"/>
        </w:rPr>
        <w:t>40-50</w:t>
      </w:r>
      <w:r>
        <w:rPr/>
        <w:t>年折旧年限计提折旧。</w:t>
      </w:r>
    </w:p>
    <w:p>
      <w:pPr>
        <w:spacing w:line="670" w:lineRule="atLeast" w:before="21"/>
        <w:ind w:left="573" w:right="1371"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b/>
          <w:bCs/>
          <w:spacing w:val="1"/>
          <w:w w:val="99"/>
          <w:sz w:val="21"/>
          <w:szCs w:val="21"/>
        </w:rPr>
        <w:t> </w:t>
      </w:r>
      <w:r>
        <w:rPr>
          <w:rFonts w:ascii="宋体" w:hAnsi="宋体" w:cs="宋体" w:eastAsia="宋体" w:hint="default"/>
          <w:sz w:val="21"/>
          <w:szCs w:val="21"/>
        </w:rPr>
        <w:t>公司与租赁方所签订的租赁协议条款中规定了下列条件之一的，确认为融资租入资产：</w:t>
      </w:r>
    </w:p>
    <w:p>
      <w:pPr>
        <w:spacing w:line="240" w:lineRule="auto" w:before="10"/>
        <w:rPr>
          <w:rFonts w:ascii="宋体" w:hAnsi="宋体" w:cs="宋体" w:eastAsia="宋体" w:hint="default"/>
          <w:sz w:val="17"/>
          <w:szCs w:val="17"/>
        </w:rPr>
      </w:pPr>
    </w:p>
    <w:p>
      <w:pPr>
        <w:pStyle w:val="BodyText"/>
        <w:spacing w:line="240" w:lineRule="auto" w:before="0"/>
        <w:ind w:left="573" w:right="0"/>
        <w:jc w:val="left"/>
      </w:pPr>
      <w:r>
        <w:rPr/>
        <w:t>（</w:t>
      </w:r>
      <w:r>
        <w:rPr>
          <w:rFonts w:ascii="Times New Roman" w:hAnsi="Times New Roman" w:cs="Times New Roman" w:eastAsia="Times New Roman" w:hint="default"/>
        </w:rPr>
        <w:t>1</w:t>
      </w:r>
      <w:r>
        <w:rPr/>
        <w:t>）租赁期满后租赁资产的所有权归属于本公司；</w:t>
      </w:r>
    </w:p>
    <w:p>
      <w:pPr>
        <w:spacing w:line="240" w:lineRule="auto" w:before="9"/>
        <w:rPr>
          <w:rFonts w:ascii="宋体" w:hAnsi="宋体" w:cs="宋体" w:eastAsia="宋体" w:hint="default"/>
          <w:sz w:val="16"/>
          <w:szCs w:val="16"/>
        </w:rPr>
      </w:pPr>
    </w:p>
    <w:p>
      <w:pPr>
        <w:pStyle w:val="BodyText"/>
        <w:spacing w:line="240" w:lineRule="auto" w:before="0"/>
        <w:ind w:left="574" w:right="0"/>
        <w:jc w:val="left"/>
      </w:pPr>
      <w:r>
        <w:rPr/>
        <w:t>（</w:t>
      </w:r>
      <w:r>
        <w:rPr>
          <w:rFonts w:ascii="Times New Roman" w:hAnsi="Times New Roman" w:cs="Times New Roman" w:eastAsia="Times New Roman" w:hint="default"/>
        </w:rPr>
        <w:t>2</w:t>
      </w:r>
      <w:r>
        <w:rPr/>
        <w:t>）公司具有购买资产的选择权，购买价款远低于行使选择权时该资产的公允价值；</w:t>
      </w:r>
    </w:p>
    <w:p>
      <w:pPr>
        <w:spacing w:line="240" w:lineRule="auto" w:before="8"/>
        <w:rPr>
          <w:rFonts w:ascii="宋体" w:hAnsi="宋体" w:cs="宋体" w:eastAsia="宋体" w:hint="default"/>
          <w:sz w:val="16"/>
          <w:szCs w:val="16"/>
        </w:rPr>
      </w:pPr>
    </w:p>
    <w:p>
      <w:pPr>
        <w:pStyle w:val="BodyText"/>
        <w:spacing w:line="240" w:lineRule="auto" w:before="0"/>
        <w:ind w:left="574" w:right="0"/>
        <w:jc w:val="left"/>
      </w:pPr>
      <w:r>
        <w:rPr/>
        <w:t>（</w:t>
      </w:r>
      <w:r>
        <w:rPr>
          <w:rFonts w:ascii="Times New Roman" w:hAnsi="Times New Roman" w:cs="Times New Roman" w:eastAsia="Times New Roman" w:hint="default"/>
        </w:rPr>
        <w:t>3</w:t>
      </w:r>
      <w:r>
        <w:rPr/>
        <w:t>）租赁期占所租赁资产使用寿命的大部分；</w:t>
      </w:r>
    </w:p>
    <w:p>
      <w:pPr>
        <w:spacing w:line="240" w:lineRule="auto" w:before="6"/>
        <w:rPr>
          <w:rFonts w:ascii="宋体" w:hAnsi="宋体" w:cs="宋体" w:eastAsia="宋体" w:hint="default"/>
          <w:sz w:val="16"/>
          <w:szCs w:val="16"/>
        </w:rPr>
      </w:pPr>
    </w:p>
    <w:p>
      <w:pPr>
        <w:pStyle w:val="BodyText"/>
        <w:spacing w:line="398" w:lineRule="auto" w:before="0"/>
        <w:ind w:right="0" w:firstLine="420"/>
        <w:jc w:val="left"/>
      </w:pPr>
      <w:r>
        <w:rPr/>
        <w:t>（</w:t>
      </w:r>
      <w:r>
        <w:rPr>
          <w:rFonts w:ascii="Times New Roman" w:hAnsi="Times New Roman" w:cs="Times New Roman" w:eastAsia="Times New Roman" w:hint="default"/>
        </w:rPr>
        <w:t>4</w:t>
      </w:r>
      <w:r>
        <w:rPr/>
        <w:t>）租赁开始日的最低租赁付款额现值，与该资产的公允价值不存在较大的差异。公司在承租开始 </w:t>
      </w:r>
      <w:r>
        <w:rPr>
          <w:spacing w:val="-1"/>
        </w:rPr>
        <w:t>日，将租赁资产公允价值与最低租赁付款额现值两者中较低者作为租入资产的入账价值，将最低租赁付款</w:t>
      </w:r>
      <w:r>
        <w:rPr>
          <w:spacing w:val="-81"/>
        </w:rPr>
        <w:t> </w:t>
      </w:r>
      <w:r>
        <w:rPr>
          <w:spacing w:val="-81"/>
        </w:rPr>
      </w:r>
      <w:r>
        <w:rPr/>
        <w:t>额作为长期应付款的入账价值，其差额作为未确认的融资费。</w:t>
      </w:r>
    </w:p>
    <w:p>
      <w:pPr>
        <w:pStyle w:val="BodyText"/>
        <w:spacing w:line="410" w:lineRule="auto" w:before="94"/>
        <w:ind w:right="149" w:firstLine="420"/>
        <w:jc w:val="both"/>
      </w:pPr>
      <w:r>
        <w:rPr>
          <w:spacing w:val="-1"/>
        </w:rPr>
        <w:t>融资租赁方式租入的固定资产，能合理确定租赁期届满时将会取得租赁资产所有权的，在租赁资产尚</w:t>
      </w:r>
      <w:r>
        <w:rPr/>
        <w:t> </w:t>
      </w:r>
      <w:r>
        <w:rPr>
          <w:spacing w:val="-1"/>
        </w:rPr>
        <w:t>可使用年限内计提折旧；无法合理确定租赁期届满时能够取得租赁资产所有权的，在租赁期与租赁资产尚</w:t>
      </w:r>
      <w:r>
        <w:rPr>
          <w:spacing w:val="-81"/>
        </w:rPr>
        <w:t> </w:t>
      </w:r>
      <w:r>
        <w:rPr>
          <w:spacing w:val="-81"/>
        </w:rPr>
      </w:r>
      <w:r>
        <w:rPr/>
        <w:t>可使用年限两者中较短的期间内计提折旧。</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30"/>
          <w:szCs w:val="30"/>
        </w:rPr>
      </w:pPr>
    </w:p>
    <w:p>
      <w:pPr>
        <w:spacing w:line="386" w:lineRule="auto" w:before="0"/>
        <w:ind w:left="574" w:right="6410"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在建工程的类别</w:t>
      </w:r>
      <w:r>
        <w:rPr>
          <w:rFonts w:ascii="宋体" w:hAnsi="宋体" w:cs="宋体" w:eastAsia="宋体" w:hint="default"/>
          <w:b/>
          <w:bCs/>
          <w:w w:val="99"/>
          <w:sz w:val="21"/>
          <w:szCs w:val="21"/>
        </w:rPr>
        <w:t> </w:t>
      </w:r>
      <w:r>
        <w:rPr>
          <w:rFonts w:ascii="宋体" w:hAnsi="宋体" w:cs="宋体" w:eastAsia="宋体" w:hint="default"/>
          <w:sz w:val="21"/>
          <w:szCs w:val="21"/>
        </w:rPr>
        <w:t>在建工程以立项项目分类核算。</w:t>
      </w:r>
    </w:p>
    <w:p>
      <w:pPr>
        <w:spacing w:after="0" w:line="386" w:lineRule="auto"/>
        <w:jc w:val="left"/>
        <w:rPr>
          <w:rFonts w:ascii="宋体" w:hAnsi="宋体" w:cs="宋体" w:eastAsia="宋体" w:hint="default"/>
          <w:sz w:val="21"/>
          <w:szCs w:val="21"/>
        </w:rPr>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spacing w:line="386" w:lineRule="auto" w:before="35"/>
        <w:ind w:left="574" w:right="110"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在建工程结转为固定资产的标准和时点</w:t>
      </w:r>
      <w:r>
        <w:rPr>
          <w:rFonts w:ascii="宋体" w:hAnsi="宋体" w:cs="宋体" w:eastAsia="宋体" w:hint="default"/>
          <w:b/>
          <w:bCs/>
          <w:w w:val="99"/>
          <w:sz w:val="21"/>
          <w:szCs w:val="21"/>
        </w:rPr>
        <w:t> </w:t>
      </w:r>
      <w:r>
        <w:rPr>
          <w:rFonts w:ascii="宋体" w:hAnsi="宋体" w:cs="宋体" w:eastAsia="宋体" w:hint="default"/>
          <w:sz w:val="21"/>
          <w:szCs w:val="21"/>
        </w:rPr>
        <w:t>在建工程项目按建造该项资产达到预定可使用状态前所发生的全部支出，作为固定资产的入账价值。</w:t>
      </w:r>
    </w:p>
    <w:p>
      <w:pPr>
        <w:pStyle w:val="BodyText"/>
        <w:spacing w:line="408" w:lineRule="auto" w:before="65"/>
        <w:ind w:right="151"/>
        <w:jc w:val="both"/>
      </w:pPr>
      <w:r>
        <w:rPr>
          <w:spacing w:val="-1"/>
        </w:rPr>
        <w:t>所建造的固定资产在建工程已达到预定可使用状态，但尚未办理竣工决算的，自达到预定可使用状态之日</w:t>
      </w:r>
      <w:r>
        <w:rPr>
          <w:spacing w:val="-81"/>
        </w:rPr>
        <w:t> </w:t>
      </w:r>
      <w:r>
        <w:rPr>
          <w:spacing w:val="-81"/>
        </w:rPr>
      </w:r>
      <w:r>
        <w:rPr>
          <w:spacing w:val="-1"/>
        </w:rPr>
        <w:t>起，根据工程预算、造价或者工程实际成本等，按估计的价值转入固定资产，并按本公司固定资产折旧政</w:t>
      </w:r>
      <w:r>
        <w:rPr>
          <w:spacing w:val="-82"/>
        </w:rPr>
        <w:t> </w:t>
      </w:r>
      <w:r>
        <w:rPr>
          <w:spacing w:val="-82"/>
        </w:rPr>
      </w:r>
      <w:r>
        <w:rPr>
          <w:spacing w:val="-1"/>
        </w:rPr>
        <w:t>策计提固定资产的折旧，待办理竣工决算后，再按实际成本调整原来的暂估价值，但不调整原已计提的折</w:t>
      </w:r>
      <w:r>
        <w:rPr>
          <w:spacing w:val="-83"/>
        </w:rPr>
        <w:t> </w:t>
      </w:r>
      <w:r>
        <w:rPr>
          <w:spacing w:val="-83"/>
        </w:rPr>
      </w:r>
      <w:r>
        <w:rPr/>
        <w:t>旧额。</w:t>
      </w:r>
    </w:p>
    <w:p>
      <w:pPr>
        <w:spacing w:line="398" w:lineRule="auto" w:before="46"/>
        <w:ind w:left="574" w:right="0"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在建工程的减值测试方法、减值准备计提方法</w:t>
      </w:r>
      <w:r>
        <w:rPr>
          <w:rFonts w:ascii="宋体" w:hAnsi="宋体" w:cs="宋体" w:eastAsia="宋体" w:hint="default"/>
          <w:b/>
          <w:bCs/>
          <w:w w:val="99"/>
          <w:sz w:val="21"/>
          <w:szCs w:val="21"/>
        </w:rPr>
        <w:t> </w:t>
      </w:r>
      <w:r>
        <w:rPr>
          <w:rFonts w:ascii="宋体" w:hAnsi="宋体" w:cs="宋体" w:eastAsia="宋体" w:hint="default"/>
          <w:sz w:val="21"/>
          <w:szCs w:val="21"/>
        </w:rPr>
        <w:t>公司在每期末判断在建工程是否存在可能发生减值的迹象。 </w:t>
      </w:r>
      <w:r>
        <w:rPr>
          <w:rFonts w:ascii="宋体" w:hAnsi="宋体" w:cs="宋体" w:eastAsia="宋体" w:hint="default"/>
          <w:spacing w:val="-1"/>
          <w:sz w:val="21"/>
          <w:szCs w:val="21"/>
        </w:rPr>
        <w:t>在建工程存在减值迹象的，估计其可收回金额。有迹象表明一项在建工程可能发生减值的，企业以单</w:t>
      </w:r>
    </w:p>
    <w:p>
      <w:pPr>
        <w:pStyle w:val="BodyText"/>
        <w:spacing w:line="408" w:lineRule="auto" w:before="54"/>
        <w:ind w:right="151"/>
        <w:jc w:val="both"/>
      </w:pPr>
      <w:r>
        <w:rPr>
          <w:spacing w:val="-1"/>
        </w:rPr>
        <w:t>项在建工程为基础估计其可收回金额。企业难以对单项在建工程的可收回金额进行估计的，以该在建工程</w:t>
      </w:r>
      <w:r>
        <w:rPr>
          <w:spacing w:val="-81"/>
        </w:rPr>
        <w:t> </w:t>
      </w:r>
      <w:r>
        <w:rPr>
          <w:spacing w:val="-81"/>
        </w:rPr>
      </w:r>
      <w:r>
        <w:rPr/>
        <w:t>所属的资产组为基础确定资产组的可收回金额。</w:t>
      </w:r>
    </w:p>
    <w:p>
      <w:pPr>
        <w:pStyle w:val="BodyText"/>
        <w:spacing w:line="408" w:lineRule="auto"/>
        <w:ind w:right="0" w:firstLine="420"/>
        <w:jc w:val="left"/>
      </w:pPr>
      <w:r>
        <w:rPr>
          <w:spacing w:val="3"/>
        </w:rPr>
        <w:t>可收回金额根据在建工程的公允价值减去处置费用后的净额与在建工程预计未来现金流量的现值两</w:t>
      </w:r>
      <w:r>
        <w:rPr/>
        <w:t> 者之间较高者确定。</w:t>
      </w:r>
    </w:p>
    <w:p>
      <w:pPr>
        <w:pStyle w:val="BodyText"/>
        <w:spacing w:line="408" w:lineRule="auto"/>
        <w:ind w:right="0" w:firstLine="420"/>
        <w:jc w:val="left"/>
      </w:pPr>
      <w:r>
        <w:rPr>
          <w:spacing w:val="-1"/>
        </w:rPr>
        <w:t>当在建工程的可收回金额低于其账面价值的，将在建工程的账面价值减记至可收回金额，减记的金额</w:t>
      </w:r>
      <w:r>
        <w:rPr/>
        <w:t> 确认为在建工程减值损失，计入当期损益，同时计提相应的在建工程减值准备。</w:t>
      </w:r>
    </w:p>
    <w:p>
      <w:pPr>
        <w:pStyle w:val="BodyText"/>
        <w:spacing w:line="240" w:lineRule="auto"/>
        <w:ind w:left="574" w:right="0"/>
        <w:jc w:val="left"/>
      </w:pPr>
      <w:r>
        <w:rPr/>
        <w:t>在建工程的减值损失一经确认，在以后会计期间不再转回。</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30"/>
          <w:szCs w:val="30"/>
        </w:rPr>
      </w:pPr>
    </w:p>
    <w:p>
      <w:pPr>
        <w:pStyle w:val="BodyText"/>
        <w:spacing w:line="398" w:lineRule="auto" w:before="0"/>
        <w:ind w:left="574" w:right="0" w:hanging="8"/>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4"/>
        </w:rPr>
        <w:t> </w:t>
      </w:r>
      <w:r>
        <w:rPr>
          <w:rFonts w:ascii="宋体" w:hAnsi="宋体" w:cs="宋体" w:eastAsia="宋体" w:hint="default"/>
          <w:b/>
          <w:bCs/>
        </w:rPr>
        <w:t>借款费用资本化的确认原则</w:t>
      </w:r>
      <w:r>
        <w:rPr>
          <w:rFonts w:ascii="宋体" w:hAnsi="宋体" w:cs="宋体" w:eastAsia="宋体" w:hint="default"/>
          <w:b/>
          <w:bCs/>
          <w:w w:val="99"/>
        </w:rPr>
        <w:t> </w:t>
      </w:r>
      <w:r>
        <w:rPr/>
        <w:t>借款费用，包括借款利息、折价或者溢价的摊销、辅助费用以及因外币借款而发生的汇兑差额等。 </w:t>
      </w:r>
      <w:r>
        <w:rPr>
          <w:spacing w:val="-1"/>
        </w:rPr>
        <w:t>公司发生的借款费用，可直接归属于符合资本化条件的资产的购建或者生产的，予以资本化，计入相</w:t>
      </w:r>
    </w:p>
    <w:p>
      <w:pPr>
        <w:pStyle w:val="BodyText"/>
        <w:spacing w:line="408" w:lineRule="auto" w:before="54"/>
        <w:ind w:left="574" w:right="0" w:hanging="420"/>
        <w:jc w:val="left"/>
      </w:pPr>
      <w:r>
        <w:rPr/>
        <w:t>关资产成本；其他借款费用，在发生时根据其发生额确认为费用，计入当期损益。 </w:t>
      </w:r>
      <w:r>
        <w:rPr>
          <w:spacing w:val="-1"/>
        </w:rPr>
        <w:t>符合资本化条件的资产，是指需要经过相当长时间的购建或者生产活动才能达到预定可使用或者可销</w:t>
      </w:r>
    </w:p>
    <w:p>
      <w:pPr>
        <w:pStyle w:val="BodyText"/>
        <w:spacing w:line="408" w:lineRule="auto"/>
        <w:ind w:left="574" w:right="5150" w:hanging="420"/>
        <w:jc w:val="left"/>
      </w:pPr>
      <w:r>
        <w:rPr/>
        <w:t>售状态的固定资产、投资性房地产和存货等资产。 借款费用同时满足下列条件时开始资本化：</w:t>
      </w:r>
    </w:p>
    <w:p>
      <w:pPr>
        <w:pStyle w:val="BodyText"/>
        <w:spacing w:line="386" w:lineRule="auto"/>
        <w:ind w:right="0" w:firstLine="42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w:t>
      </w:r>
      <w:r>
        <w:rPr>
          <w:spacing w:val="2"/>
        </w:rPr>
        <w:t> </w:t>
      </w:r>
      <w:r>
        <w:rPr/>
        <w:t>非现金资产或者承担带息债务形式发生的支出；</w:t>
      </w:r>
    </w:p>
    <w:p>
      <w:pPr>
        <w:pStyle w:val="BodyText"/>
        <w:spacing w:line="240" w:lineRule="auto" w:before="65"/>
        <w:ind w:left="574" w:right="0"/>
        <w:jc w:val="left"/>
      </w:pPr>
      <w:r>
        <w:rPr/>
        <w:t>（</w:t>
      </w:r>
      <w:r>
        <w:rPr>
          <w:rFonts w:ascii="Times New Roman" w:hAnsi="Times New Roman" w:cs="Times New Roman" w:eastAsia="Times New Roman" w:hint="default"/>
        </w:rPr>
        <w:t>2</w:t>
      </w:r>
      <w:r>
        <w:rPr/>
        <w:t>）借款费用已经发生；</w:t>
      </w:r>
    </w:p>
    <w:p>
      <w:pPr>
        <w:pStyle w:val="BodyText"/>
        <w:spacing w:line="240" w:lineRule="auto" w:before="177"/>
        <w:ind w:left="574" w:right="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pStyle w:val="Heading4"/>
        <w:spacing w:line="240" w:lineRule="auto" w:before="177"/>
        <w:ind w:left="566" w:right="0"/>
        <w:jc w:val="left"/>
        <w:rPr>
          <w:b w:val="0"/>
          <w:bCs w:val="0"/>
        </w:rPr>
      </w:pPr>
      <w:r>
        <w:rPr>
          <w:rFonts w:ascii="Times New Roman" w:hAnsi="Times New Roman" w:cs="Times New Roman" w:eastAsia="Times New Roman" w:hint="default"/>
        </w:rPr>
        <w:t>2</w:t>
      </w:r>
      <w:r>
        <w:rPr/>
        <w:t>、</w:t>
      </w:r>
      <w:r>
        <w:rPr>
          <w:spacing w:val="3"/>
        </w:rPr>
        <w:t> </w:t>
      </w:r>
      <w:r>
        <w:rPr/>
        <w:t>借款费用资本化期间</w:t>
      </w:r>
      <w:r>
        <w:rPr>
          <w:b w:val="0"/>
          <w:bCs w:val="0"/>
        </w:rPr>
      </w:r>
    </w:p>
    <w:p>
      <w:pPr>
        <w:spacing w:after="0" w:line="240" w:lineRule="auto"/>
        <w:jc w:val="left"/>
        <w:sectPr>
          <w:footerReference w:type="default" r:id="rId66"/>
          <w:pgSz w:w="11910" w:h="16840"/>
          <w:pgMar w:footer="982" w:header="877" w:top="1100" w:bottom="1180" w:left="980" w:right="980"/>
          <w:pgNumType w:start="169"/>
        </w:sectPr>
      </w:pPr>
    </w:p>
    <w:p>
      <w:pPr>
        <w:spacing w:line="240" w:lineRule="auto" w:before="8"/>
        <w:rPr>
          <w:rFonts w:ascii="宋体" w:hAnsi="宋体" w:cs="宋体" w:eastAsia="宋体" w:hint="default"/>
          <w:b/>
          <w:bCs/>
          <w:sz w:val="26"/>
          <w:szCs w:val="26"/>
        </w:rPr>
      </w:pPr>
    </w:p>
    <w:p>
      <w:pPr>
        <w:pStyle w:val="BodyText"/>
        <w:spacing w:line="408" w:lineRule="auto" w:before="35"/>
        <w:ind w:right="151" w:firstLine="420"/>
        <w:jc w:val="both"/>
      </w:pPr>
      <w:r>
        <w:rPr>
          <w:spacing w:val="-1"/>
        </w:rPr>
        <w:t>资本化期间，指从借款费用开始资本化时点到停止资本化时点的期间，借款费用暂停资本化的期间不</w:t>
      </w:r>
      <w:r>
        <w:rPr/>
        <w:t> 包括在内。</w:t>
      </w:r>
    </w:p>
    <w:p>
      <w:pPr>
        <w:pStyle w:val="BodyText"/>
        <w:spacing w:line="408" w:lineRule="auto"/>
        <w:ind w:left="574" w:right="0"/>
        <w:jc w:val="left"/>
      </w:pPr>
      <w:r>
        <w:rPr/>
        <w:t>当购建或者生产符合资本化条件的资产达到预定可使用或者可销售状态时，借款费用停止资本化。 </w:t>
      </w:r>
      <w:r>
        <w:rPr>
          <w:spacing w:val="-1"/>
        </w:rPr>
        <w:t>当购建或者生产符合资本化条件的资产中部分项目分别完工且可单独使用时，该部分资产借款费用停</w:t>
      </w:r>
    </w:p>
    <w:p>
      <w:pPr>
        <w:pStyle w:val="BodyText"/>
        <w:spacing w:line="240" w:lineRule="auto"/>
        <w:ind w:right="0"/>
        <w:jc w:val="both"/>
      </w:pPr>
      <w:r>
        <w:rPr/>
        <w:t>止资本化。</w:t>
      </w:r>
    </w:p>
    <w:p>
      <w:pPr>
        <w:spacing w:line="240" w:lineRule="auto" w:before="10"/>
        <w:rPr>
          <w:rFonts w:ascii="宋体" w:hAnsi="宋体" w:cs="宋体" w:eastAsia="宋体" w:hint="default"/>
          <w:sz w:val="14"/>
          <w:szCs w:val="14"/>
        </w:rPr>
      </w:pPr>
    </w:p>
    <w:p>
      <w:pPr>
        <w:pStyle w:val="BodyText"/>
        <w:spacing w:line="408" w:lineRule="auto" w:before="0"/>
        <w:ind w:right="151" w:firstLine="420"/>
        <w:jc w:val="both"/>
      </w:pPr>
      <w:r>
        <w:rPr>
          <w:spacing w:val="-1"/>
        </w:rPr>
        <w:t>购建或者生产的资产的各部分分别完工，但必须等到整体完工后才可使用或可对外销售的，在该资产</w:t>
      </w:r>
      <w:r>
        <w:rPr/>
        <w:t> 整体完工时停止借款费用资本化。</w:t>
      </w:r>
    </w:p>
    <w:p>
      <w:pPr>
        <w:pStyle w:val="BodyText"/>
        <w:spacing w:line="386" w:lineRule="auto"/>
        <w:ind w:left="574" w:right="0" w:hanging="8"/>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4"/>
        </w:rPr>
        <w:t> </w:t>
      </w:r>
      <w:r>
        <w:rPr>
          <w:rFonts w:ascii="宋体" w:hAnsi="宋体" w:cs="宋体" w:eastAsia="宋体" w:hint="default"/>
          <w:b/>
          <w:bCs/>
        </w:rPr>
        <w:t>暂停资本化期间</w:t>
      </w:r>
      <w:r>
        <w:rPr>
          <w:rFonts w:ascii="宋体" w:hAnsi="宋体" w:cs="宋体" w:eastAsia="宋体" w:hint="default"/>
          <w:b/>
          <w:bCs/>
          <w:w w:val="99"/>
        </w:rPr>
        <w:t> </w:t>
      </w:r>
      <w:r>
        <w:rPr/>
        <w:t>符合资本化条件的资产在购建或生产过程中发生的非正常中断、且中断时间连续超过</w:t>
      </w:r>
      <w:r>
        <w:rPr>
          <w:rFonts w:ascii="Times New Roman" w:hAnsi="Times New Roman" w:cs="Times New Roman" w:eastAsia="Times New Roman" w:hint="default"/>
        </w:rPr>
        <w:t>3</w:t>
      </w:r>
      <w:r>
        <w:rPr/>
        <w:t>个月的，则借</w:t>
      </w:r>
    </w:p>
    <w:p>
      <w:pPr>
        <w:pStyle w:val="BodyText"/>
        <w:spacing w:line="408" w:lineRule="auto" w:before="35"/>
        <w:ind w:right="150"/>
        <w:jc w:val="both"/>
      </w:pPr>
      <w:r>
        <w:rPr>
          <w:spacing w:val="-1"/>
        </w:rPr>
        <w:t>款费用暂停资本化；该项中断如是所购建或生产的符合资本化条件的资产达到预定可使用状态或者可销售</w:t>
      </w:r>
      <w:r>
        <w:rPr>
          <w:spacing w:val="-81"/>
        </w:rPr>
        <w:t> </w:t>
      </w:r>
      <w:r>
        <w:rPr>
          <w:spacing w:val="-81"/>
        </w:rPr>
      </w:r>
      <w:r>
        <w:rPr>
          <w:spacing w:val="-1"/>
        </w:rPr>
        <w:t>状态必要的程序，则借款费用继续资本化。在中断期间发生的借款费用确认为当期损益，直至资产的购建</w:t>
      </w:r>
      <w:r>
        <w:rPr>
          <w:spacing w:val="-83"/>
        </w:rPr>
        <w:t> </w:t>
      </w:r>
      <w:r>
        <w:rPr>
          <w:spacing w:val="-83"/>
        </w:rPr>
      </w:r>
      <w:r>
        <w:rPr/>
        <w:t>或者生产活动重新开始后借款费用继续资本化。</w:t>
      </w:r>
    </w:p>
    <w:p>
      <w:pPr>
        <w:spacing w:line="386" w:lineRule="auto" w:before="46"/>
        <w:ind w:left="574" w:right="0"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借款费用资本化金额的计算方法</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对于为购建或者生产符合资本化条件的资产而借入的专门借款，以专门借款当期实际发生的借款费</w:t>
      </w:r>
    </w:p>
    <w:p>
      <w:pPr>
        <w:pStyle w:val="BodyText"/>
        <w:spacing w:line="408" w:lineRule="auto" w:before="65"/>
        <w:ind w:right="151"/>
        <w:jc w:val="both"/>
      </w:pPr>
      <w:r>
        <w:rPr>
          <w:spacing w:val="-1"/>
        </w:rPr>
        <w:t>用，减去尚未动用的借款资金存入银行取得的利息收入或进行暂时性投资取得的投资收益后的金额，来确</w:t>
      </w:r>
      <w:r>
        <w:rPr>
          <w:spacing w:val="-81"/>
        </w:rPr>
        <w:t> </w:t>
      </w:r>
      <w:r>
        <w:rPr>
          <w:spacing w:val="-81"/>
        </w:rPr>
      </w:r>
      <w:r>
        <w:rPr/>
        <w:t>定借款费用的资本化金额。</w:t>
      </w:r>
    </w:p>
    <w:p>
      <w:pPr>
        <w:pStyle w:val="BodyText"/>
        <w:spacing w:line="408" w:lineRule="auto"/>
        <w:ind w:right="151" w:firstLine="420"/>
        <w:jc w:val="both"/>
      </w:pPr>
      <w:r>
        <w:rPr>
          <w:spacing w:val="-1"/>
        </w:rPr>
        <w:t>对于为购建或者生产符合资本化条件的资产而占用的一般借款，根据累计资产支出超过专门借款部分</w:t>
      </w:r>
      <w:r>
        <w:rPr/>
        <w:t> </w:t>
      </w:r>
      <w:r>
        <w:rPr>
          <w:spacing w:val="-1"/>
        </w:rPr>
        <w:t>的资产支出加权平均数乘以所占用一般借款的资本化率，计算确定一般借款应予资本化的利息金额。资本</w:t>
      </w:r>
      <w:r>
        <w:rPr>
          <w:spacing w:val="-81"/>
        </w:rPr>
        <w:t> </w:t>
      </w:r>
      <w:r>
        <w:rPr>
          <w:spacing w:val="-81"/>
        </w:rPr>
      </w:r>
      <w:r>
        <w:rPr/>
        <w:t>化率根据一般借款加权平均利率计算确定。</w:t>
      </w:r>
    </w:p>
    <w:p>
      <w:pPr>
        <w:pStyle w:val="BodyText"/>
        <w:spacing w:line="408" w:lineRule="auto"/>
        <w:ind w:right="151" w:firstLine="420"/>
        <w:jc w:val="both"/>
      </w:pPr>
      <w:r>
        <w:rPr>
          <w:spacing w:val="-1"/>
        </w:rPr>
        <w:t>借款存在折价或者溢价的，按照实际利率法确定每一会计期间应摊销的折价或者溢价金额，调整每期</w:t>
      </w:r>
      <w:r>
        <w:rPr/>
        <w:t> 利息金额。</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both"/>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30"/>
          <w:szCs w:val="30"/>
        </w:rPr>
      </w:pPr>
    </w:p>
    <w:p>
      <w:pPr>
        <w:pStyle w:val="Heading4"/>
        <w:spacing w:line="240" w:lineRule="auto"/>
        <w:ind w:left="566" w:right="0"/>
        <w:jc w:val="left"/>
        <w:rPr>
          <w:b w:val="0"/>
          <w:bCs w:val="0"/>
        </w:rPr>
      </w:pPr>
      <w:r>
        <w:rPr>
          <w:rFonts w:ascii="Times New Roman" w:hAnsi="Times New Roman" w:cs="Times New Roman" w:eastAsia="Times New Roman" w:hint="default"/>
        </w:rPr>
        <w:t>1</w:t>
      </w:r>
      <w:r>
        <w:rPr/>
        <w:t>、</w:t>
      </w:r>
      <w:r>
        <w:rPr>
          <w:spacing w:val="3"/>
        </w:rPr>
        <w:t> </w:t>
      </w:r>
      <w:r>
        <w:rPr/>
        <w:t>无形资产的计价方法</w:t>
      </w:r>
      <w:r>
        <w:rPr>
          <w:b w:val="0"/>
          <w:bCs w:val="0"/>
        </w:rPr>
      </w:r>
    </w:p>
    <w:p>
      <w:pPr>
        <w:pStyle w:val="BodyText"/>
        <w:spacing w:line="386" w:lineRule="auto" w:before="177"/>
        <w:ind w:left="574" w:right="0" w:hanging="1"/>
        <w:jc w:val="left"/>
      </w:pPr>
      <w:r>
        <w:rPr/>
        <w:t>（</w:t>
      </w:r>
      <w:r>
        <w:rPr>
          <w:rFonts w:ascii="Times New Roman" w:hAnsi="Times New Roman" w:cs="Times New Roman" w:eastAsia="Times New Roman" w:hint="default"/>
        </w:rPr>
        <w:t>1</w:t>
      </w:r>
      <w:r>
        <w:rPr/>
        <w:t>）公司取得无形资产时按成本进行初始计量； </w:t>
      </w:r>
      <w:r>
        <w:rPr>
          <w:spacing w:val="-1"/>
        </w:rPr>
        <w:t>外购无形资产的成本，包括购买价款、相关税费以及直接归属于使该项资产达到预定用途所发生的其</w:t>
      </w:r>
    </w:p>
    <w:p>
      <w:pPr>
        <w:pStyle w:val="BodyText"/>
        <w:spacing w:line="408" w:lineRule="auto" w:before="65"/>
        <w:ind w:right="150"/>
        <w:jc w:val="both"/>
      </w:pPr>
      <w:r>
        <w:rPr>
          <w:spacing w:val="-1"/>
        </w:rPr>
        <w:t>他支出。购买无形资产的价款超过正常信用条件延期支付，实质上具有融资性质的，无形资产的成本以购</w:t>
      </w:r>
      <w:r>
        <w:rPr>
          <w:spacing w:val="-83"/>
        </w:rPr>
        <w:t> </w:t>
      </w:r>
      <w:r>
        <w:rPr>
          <w:spacing w:val="-83"/>
        </w:rPr>
      </w:r>
      <w:r>
        <w:rPr/>
        <w:t>买价款的现值为基础确定。</w:t>
      </w:r>
    </w:p>
    <w:p>
      <w:pPr>
        <w:spacing w:after="0" w:line="408" w:lineRule="auto"/>
        <w:jc w:val="both"/>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408" w:lineRule="auto" w:before="35"/>
        <w:ind w:right="151" w:firstLine="420"/>
        <w:jc w:val="both"/>
      </w:pPr>
      <w:r>
        <w:rPr>
          <w:spacing w:val="-1"/>
        </w:rPr>
        <w:t>债务重组取得债务人用以抵债的无形资产，以该无形资产的公允价值为基础确定其入账价值，并将重</w:t>
      </w:r>
      <w:r>
        <w:rPr/>
        <w:t> 组债务的账面价值与该用以抵债的无形资产公允价值之间的差额，计入当期损益；</w:t>
      </w:r>
    </w:p>
    <w:p>
      <w:pPr>
        <w:pStyle w:val="BodyText"/>
        <w:spacing w:line="408" w:lineRule="auto"/>
        <w:ind w:left="153" w:right="151" w:firstLine="420"/>
        <w:jc w:val="both"/>
      </w:pPr>
      <w:r>
        <w:rPr>
          <w:spacing w:val="-1"/>
        </w:rPr>
        <w:t>在非货币性资产交换具备商业实质且换入资产或换出资产的公允价值能够可靠计量的前提下，非货币</w:t>
      </w:r>
      <w:r>
        <w:rPr/>
        <w:t> </w:t>
      </w:r>
      <w:r>
        <w:rPr>
          <w:spacing w:val="-1"/>
        </w:rPr>
        <w:t>性资产交换换入的无形资产以换出资产的公允价值为基础确定其入账价值，除非有确凿证据表明换入资产</w:t>
      </w:r>
      <w:r>
        <w:rPr>
          <w:spacing w:val="-81"/>
        </w:rPr>
        <w:t> </w:t>
      </w:r>
      <w:r>
        <w:rPr>
          <w:spacing w:val="-81"/>
        </w:rPr>
      </w:r>
      <w:r>
        <w:rPr>
          <w:spacing w:val="-1"/>
        </w:rPr>
        <w:t>的公允价值更加可靠；不满足上述前提的非货币性资产交换，以换出资产的账面价值和应支付的相关税费</w:t>
      </w:r>
      <w:r>
        <w:rPr>
          <w:spacing w:val="-81"/>
        </w:rPr>
        <w:t> </w:t>
      </w:r>
      <w:r>
        <w:rPr>
          <w:spacing w:val="-81"/>
        </w:rPr>
      </w:r>
      <w:r>
        <w:rPr/>
        <w:t>作为换入无形资产的成本，不确认损益。</w:t>
      </w:r>
    </w:p>
    <w:p>
      <w:pPr>
        <w:pStyle w:val="BodyText"/>
        <w:spacing w:line="408" w:lineRule="auto"/>
        <w:ind w:left="153" w:right="150" w:firstLine="420"/>
        <w:jc w:val="both"/>
      </w:pPr>
      <w:r>
        <w:rPr>
          <w:spacing w:val="-1"/>
        </w:rPr>
        <w:t>以同一控制下的企业吸收合并方式取得的无形资产按被合并方的账面价值确定其入账价值；以非同一</w:t>
      </w:r>
      <w:r>
        <w:rPr/>
        <w:t> 控制下的企业吸收合并方式取得的无形资产按公允价值确定其入账价值。</w:t>
      </w:r>
    </w:p>
    <w:p>
      <w:pPr>
        <w:pStyle w:val="BodyText"/>
        <w:spacing w:line="408" w:lineRule="auto"/>
        <w:ind w:left="153" w:right="150" w:firstLine="420"/>
        <w:jc w:val="both"/>
      </w:pPr>
      <w:r>
        <w:rPr>
          <w:spacing w:val="-1"/>
        </w:rPr>
        <w:t>内部自行开发的无形资产，其成本包括：开发该无形资产时耗用的材料、劳务成本、注册费、在开发</w:t>
      </w:r>
      <w:r>
        <w:rPr/>
        <w:t> </w:t>
      </w:r>
      <w:r>
        <w:rPr>
          <w:spacing w:val="-1"/>
        </w:rPr>
        <w:t>过程中使用的其他专利权和特许权的摊销以及满足资本化条件的利息费用，以及为使该无形资产达到预定</w:t>
      </w:r>
      <w:r>
        <w:rPr>
          <w:spacing w:val="-81"/>
        </w:rPr>
        <w:t> </w:t>
      </w:r>
      <w:r>
        <w:rPr>
          <w:spacing w:val="-81"/>
        </w:rPr>
      </w:r>
      <w:r>
        <w:rPr/>
        <w:t>用途前所发生的其他直接费用。</w:t>
      </w:r>
    </w:p>
    <w:p>
      <w:pPr>
        <w:pStyle w:val="BodyText"/>
        <w:spacing w:line="386" w:lineRule="auto"/>
        <w:ind w:left="574" w:right="5570" w:hanging="1"/>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408" w:lineRule="auto" w:before="65"/>
        <w:ind w:right="149" w:firstLine="420"/>
        <w:jc w:val="both"/>
      </w:pPr>
      <w:r>
        <w:rPr>
          <w:spacing w:val="-1"/>
        </w:rPr>
        <w:t>对于使用寿命有限的无形资产，在为企业带来经济利益的期限内按直线法摊销；无法预见无形资产为</w:t>
      </w:r>
      <w:r>
        <w:rPr/>
        <w:t> 企业带来经济利益期限的，视为使用寿命不确定的无形资产，不予摊销。</w:t>
      </w:r>
    </w:p>
    <w:p>
      <w:pPr>
        <w:pStyle w:val="Heading4"/>
        <w:spacing w:line="259" w:lineRule="exact"/>
        <w:ind w:left="566" w:right="0"/>
        <w:jc w:val="left"/>
        <w:rPr>
          <w:b w:val="0"/>
          <w:bCs w:val="0"/>
        </w:rPr>
      </w:pPr>
      <w:r>
        <w:rPr>
          <w:rFonts w:ascii="Times New Roman" w:hAnsi="Times New Roman" w:cs="Times New Roman" w:eastAsia="Times New Roman" w:hint="default"/>
        </w:rPr>
        <w:t>2</w:t>
      </w:r>
      <w:r>
        <w:rPr/>
        <w:t>、</w:t>
      </w:r>
      <w:r>
        <w:rPr>
          <w:spacing w:val="-2"/>
        </w:rPr>
        <w:t> </w:t>
      </w:r>
      <w:r>
        <w:rPr/>
        <w:t>使用寿命有限的无形资产的使用寿命估计情况：</w:t>
      </w:r>
      <w:r>
        <w:rPr>
          <w:b w:val="0"/>
          <w:bCs w:val="0"/>
        </w:rPr>
      </w:r>
    </w:p>
    <w:p>
      <w:pPr>
        <w:spacing w:line="240" w:lineRule="auto" w:before="10"/>
        <w:rPr>
          <w:rFonts w:ascii="宋体" w:hAnsi="宋体" w:cs="宋体" w:eastAsia="宋体" w:hint="default"/>
          <w:b/>
          <w:bCs/>
          <w:sz w:val="2"/>
          <w:szCs w:val="2"/>
        </w:rPr>
      </w:pPr>
    </w:p>
    <w:tbl>
      <w:tblPr>
        <w:tblW w:w="0" w:type="auto"/>
        <w:jc w:val="left"/>
        <w:tblInd w:w="1139" w:type="dxa"/>
        <w:tblLayout w:type="fixed"/>
        <w:tblCellMar>
          <w:top w:w="0" w:type="dxa"/>
          <w:left w:w="0" w:type="dxa"/>
          <w:bottom w:w="0" w:type="dxa"/>
          <w:right w:w="0" w:type="dxa"/>
        </w:tblCellMar>
        <w:tblLook w:val="01E0"/>
      </w:tblPr>
      <w:tblGrid>
        <w:gridCol w:w="2185"/>
        <w:gridCol w:w="2268"/>
        <w:gridCol w:w="3204"/>
      </w:tblGrid>
      <w:tr>
        <w:trPr>
          <w:trHeight w:val="344" w:hRule="exact"/>
        </w:trPr>
        <w:tc>
          <w:tcPr>
            <w:tcW w:w="2185" w:type="dxa"/>
            <w:tcBorders>
              <w:top w:val="single" w:sz="4" w:space="0" w:color="000000"/>
              <w:left w:val="single" w:sz="4" w:space="0" w:color="000000"/>
              <w:bottom w:val="single" w:sz="6" w:space="0" w:color="000000"/>
              <w:right w:val="single" w:sz="6" w:space="0" w:color="000000"/>
            </w:tcBorders>
            <w:shd w:val="clear" w:color="auto" w:fill="D9D9D9"/>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  目</w:t>
            </w:r>
          </w:p>
        </w:tc>
        <w:tc>
          <w:tcPr>
            <w:tcW w:w="2268" w:type="dxa"/>
            <w:tcBorders>
              <w:top w:val="single" w:sz="4"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预计使用寿命</w:t>
            </w:r>
          </w:p>
        </w:tc>
        <w:tc>
          <w:tcPr>
            <w:tcW w:w="3204" w:type="dxa"/>
            <w:tcBorders>
              <w:top w:val="single" w:sz="4" w:space="0" w:color="000000"/>
              <w:left w:val="single" w:sz="6" w:space="0" w:color="000000"/>
              <w:bottom w:val="single" w:sz="6" w:space="0" w:color="000000"/>
              <w:right w:val="single" w:sz="4" w:space="0" w:color="000000"/>
            </w:tcBorders>
            <w:shd w:val="clear" w:color="auto" w:fill="D9D9D9"/>
          </w:tcPr>
          <w:p>
            <w:pPr>
              <w:pStyle w:val="TableParagraph"/>
              <w:spacing w:line="271" w:lineRule="exact"/>
              <w:ind w:right="2"/>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347" w:hRule="exact"/>
        </w:trPr>
        <w:tc>
          <w:tcPr>
            <w:tcW w:w="2185" w:type="dxa"/>
            <w:tcBorders>
              <w:top w:val="single" w:sz="6" w:space="0" w:color="000000"/>
              <w:left w:val="single" w:sz="4" w:space="0" w:color="000000"/>
              <w:bottom w:val="single" w:sz="6" w:space="0" w:color="000000"/>
              <w:right w:val="single" w:sz="6"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宋体" w:hAnsi="宋体" w:cs="宋体" w:eastAsia="宋体" w:hint="default"/>
                <w:sz w:val="21"/>
                <w:szCs w:val="21"/>
              </w:rPr>
              <w:t>年</w:t>
            </w:r>
          </w:p>
        </w:tc>
        <w:tc>
          <w:tcPr>
            <w:tcW w:w="3204" w:type="dxa"/>
            <w:tcBorders>
              <w:top w:val="single" w:sz="6" w:space="0" w:color="000000"/>
              <w:left w:val="single" w:sz="6" w:space="0" w:color="000000"/>
              <w:bottom w:val="single" w:sz="6" w:space="0" w:color="000000"/>
              <w:right w:val="single" w:sz="4"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土地使用权权证规定年限</w:t>
            </w:r>
          </w:p>
        </w:tc>
      </w:tr>
      <w:tr>
        <w:trPr>
          <w:trHeight w:val="346" w:hRule="exact"/>
        </w:trPr>
        <w:tc>
          <w:tcPr>
            <w:tcW w:w="2185" w:type="dxa"/>
            <w:tcBorders>
              <w:top w:val="single" w:sz="6" w:space="0" w:color="000000"/>
              <w:left w:val="single" w:sz="4" w:space="0" w:color="000000"/>
              <w:bottom w:val="single" w:sz="4" w:space="0" w:color="000000"/>
              <w:right w:val="single" w:sz="6"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2268" w:type="dxa"/>
            <w:tcBorders>
              <w:top w:val="single" w:sz="6" w:space="0" w:color="000000"/>
              <w:left w:val="single" w:sz="6" w:space="0" w:color="000000"/>
              <w:bottom w:val="single" w:sz="4" w:space="0" w:color="000000"/>
              <w:right w:val="single" w:sz="6" w:space="0" w:color="000000"/>
            </w:tcBorders>
          </w:tcPr>
          <w:p>
            <w:pPr>
              <w:pStyle w:val="TableParagraph"/>
              <w:spacing w:line="287"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w:t>
            </w:r>
          </w:p>
        </w:tc>
        <w:tc>
          <w:tcPr>
            <w:tcW w:w="3204" w:type="dxa"/>
            <w:tcBorders>
              <w:top w:val="single" w:sz="6" w:space="0" w:color="000000"/>
              <w:left w:val="single" w:sz="6" w:space="0" w:color="000000"/>
              <w:bottom w:val="single" w:sz="4" w:space="0" w:color="000000"/>
              <w:right w:val="single" w:sz="4"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会计估计</w:t>
            </w:r>
          </w:p>
        </w:tc>
      </w:tr>
    </w:tbl>
    <w:p>
      <w:pPr>
        <w:pStyle w:val="BodyText"/>
        <w:spacing w:line="408" w:lineRule="auto" w:before="63"/>
        <w:ind w:left="871" w:right="2333"/>
        <w:jc w:val="left"/>
      </w:pPr>
      <w:r>
        <w:rPr/>
        <w:t>每期末，对使用寿命有限的无形资产的使用寿命及摊销方法进行复核。 经复核，本年期末无形资产的使用寿命及摊销方法与以前估计未有不同。</w:t>
      </w:r>
    </w:p>
    <w:p>
      <w:pPr>
        <w:spacing w:line="386" w:lineRule="auto" w:before="46"/>
        <w:ind w:left="574" w:right="134"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使用寿命不确定的无形资产的判断依据：</w:t>
      </w:r>
      <w:r>
        <w:rPr>
          <w:rFonts w:ascii="宋体" w:hAnsi="宋体" w:cs="宋体" w:eastAsia="宋体" w:hint="default"/>
          <w:b/>
          <w:bCs/>
          <w:spacing w:val="1"/>
          <w:w w:val="99"/>
          <w:sz w:val="21"/>
          <w:szCs w:val="21"/>
        </w:rPr>
        <w:t> </w:t>
      </w:r>
      <w:r>
        <w:rPr>
          <w:rFonts w:ascii="宋体" w:hAnsi="宋体" w:cs="宋体" w:eastAsia="宋体" w:hint="default"/>
          <w:sz w:val="21"/>
          <w:szCs w:val="21"/>
        </w:rPr>
        <w:t>本公司拥有</w:t>
      </w:r>
      <w:r>
        <w:rPr>
          <w:rFonts w:ascii="Times New Roman" w:hAnsi="Times New Roman" w:cs="Times New Roman" w:eastAsia="Times New Roman" w:hint="default"/>
          <w:sz w:val="21"/>
          <w:szCs w:val="21"/>
        </w:rPr>
        <w:t>463891</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新开普</w:t>
      </w:r>
      <w:r>
        <w:rPr>
          <w:rFonts w:ascii="Times New Roman" w:hAnsi="Times New Roman" w:cs="Times New Roman" w:eastAsia="Times New Roman" w:hint="default"/>
          <w:sz w:val="21"/>
          <w:szCs w:val="21"/>
        </w:rPr>
        <w:t>”</w:t>
      </w:r>
      <w:r>
        <w:rPr>
          <w:rFonts w:ascii="宋体" w:hAnsi="宋体" w:cs="宋体" w:eastAsia="宋体" w:hint="default"/>
          <w:sz w:val="21"/>
          <w:szCs w:val="21"/>
        </w:rPr>
        <w:t>商标，本公司认为在可预见的将来该商标均会使用并带给本公司预期的</w:t>
      </w:r>
    </w:p>
    <w:p>
      <w:pPr>
        <w:pStyle w:val="BodyText"/>
        <w:spacing w:line="408" w:lineRule="auto" w:before="35"/>
        <w:ind w:left="574" w:right="3680" w:hanging="420"/>
        <w:jc w:val="left"/>
      </w:pPr>
      <w:r>
        <w:rPr/>
        <w:t>经济利益流入，故认定其使用寿命为不确定。 每期末，对使用寿命不确定的无形资产的使用寿命进行复核。 经复核，该类无形资产的使用寿命仍为不确定。</w:t>
      </w:r>
    </w:p>
    <w:p>
      <w:pPr>
        <w:pStyle w:val="BodyText"/>
        <w:spacing w:line="400" w:lineRule="auto"/>
        <w:ind w:left="574" w:right="0" w:hanging="8"/>
        <w:jc w:val="left"/>
      </w:pPr>
      <w:r>
        <w:rPr>
          <w:rFonts w:ascii="Times New Roman" w:hAnsi="Times New Roman" w:cs="Times New Roman" w:eastAsia="Times New Roman" w:hint="default"/>
          <w:b/>
          <w:bCs/>
        </w:rPr>
        <w:t>4</w:t>
      </w:r>
      <w:r>
        <w:rPr>
          <w:rFonts w:ascii="宋体" w:hAnsi="宋体" w:cs="宋体" w:eastAsia="宋体" w:hint="default"/>
          <w:b/>
          <w:bCs/>
        </w:rPr>
        <w:t>、</w:t>
      </w:r>
      <w:r>
        <w:rPr>
          <w:rFonts w:ascii="宋体" w:hAnsi="宋体" w:cs="宋体" w:eastAsia="宋体" w:hint="default"/>
          <w:b/>
          <w:bCs/>
          <w:spacing w:val="4"/>
        </w:rPr>
        <w:t> </w:t>
      </w:r>
      <w:r>
        <w:rPr>
          <w:rFonts w:ascii="宋体" w:hAnsi="宋体" w:cs="宋体" w:eastAsia="宋体" w:hint="default"/>
          <w:b/>
          <w:bCs/>
        </w:rPr>
        <w:t>无形资产减值准备的计提</w:t>
      </w:r>
      <w:r>
        <w:rPr>
          <w:rFonts w:ascii="宋体" w:hAnsi="宋体" w:cs="宋体" w:eastAsia="宋体" w:hint="default"/>
          <w:b/>
          <w:bCs/>
          <w:w w:val="99"/>
        </w:rPr>
        <w:t> </w:t>
      </w:r>
      <w:r>
        <w:rPr/>
        <w:t>对于使用寿命确定的无形资产，如有明显减值迹象的，期末进行减值测试。 对于使用寿命不确定的无形资产，每期末进行减值测试。 </w:t>
      </w:r>
      <w:r>
        <w:rPr>
          <w:spacing w:val="-1"/>
        </w:rPr>
        <w:t>对无形资产进行减值测试，估计其可收回金额。有迹象表明一项无形资产可能发生减值的，公司以单</w:t>
      </w:r>
    </w:p>
    <w:p>
      <w:pPr>
        <w:pStyle w:val="BodyText"/>
        <w:spacing w:line="240" w:lineRule="auto" w:before="52"/>
        <w:ind w:right="0"/>
        <w:jc w:val="left"/>
      </w:pPr>
      <w:r>
        <w:rPr/>
        <w:t>项无形资产为基础估计其可收回金额。公司难以对单项资产的可收回金额进行估计的，以该无形资产所属</w:t>
      </w:r>
    </w:p>
    <w:p>
      <w:pPr>
        <w:spacing w:after="0" w:line="240"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408" w:lineRule="auto" w:before="35"/>
        <w:ind w:left="573" w:right="0" w:hanging="420"/>
        <w:jc w:val="left"/>
      </w:pPr>
      <w:r>
        <w:rPr/>
        <w:t>的资产组为基础确定无形资产组的可收回金额。 </w:t>
      </w:r>
      <w:r>
        <w:rPr>
          <w:spacing w:val="3"/>
        </w:rPr>
        <w:t>可收回金额根据无形资产的公允价值减去处置费用后的净额与无形资产预计未来现金流量的现值两</w:t>
      </w:r>
    </w:p>
    <w:p>
      <w:pPr>
        <w:pStyle w:val="BodyText"/>
        <w:spacing w:line="408" w:lineRule="auto"/>
        <w:ind w:left="573" w:right="0" w:hanging="420"/>
        <w:jc w:val="left"/>
      </w:pPr>
      <w:r>
        <w:rPr/>
        <w:t>者之间较高者确定。 </w:t>
      </w:r>
      <w:r>
        <w:rPr>
          <w:spacing w:val="-1"/>
        </w:rPr>
        <w:t>当无形资产的可收回金额低于其账面价值的，将无形资产的账面价值减记至可收回金额，减记的金额</w:t>
      </w:r>
    </w:p>
    <w:p>
      <w:pPr>
        <w:pStyle w:val="BodyText"/>
        <w:spacing w:line="408" w:lineRule="auto"/>
        <w:ind w:left="573" w:right="0" w:hanging="420"/>
        <w:jc w:val="left"/>
      </w:pPr>
      <w:r>
        <w:rPr/>
        <w:t>确认为无形资产减值损失，计入当期损益，同时计提相应的无形资产减值准备。 </w:t>
      </w:r>
      <w:r>
        <w:rPr>
          <w:spacing w:val="-1"/>
        </w:rPr>
        <w:t>无形资产减值损失确认后，减值无形资产的折耗或者摊销费用在未来期间作相应调整，以使该无形资</w:t>
      </w:r>
    </w:p>
    <w:p>
      <w:pPr>
        <w:pStyle w:val="BodyText"/>
        <w:spacing w:line="408" w:lineRule="auto"/>
        <w:ind w:left="573" w:right="2001" w:hanging="420"/>
        <w:jc w:val="left"/>
      </w:pPr>
      <w:r>
        <w:rPr/>
        <w:t>产在剩余使用寿命内，系统地分摊调整后的无形资产账面价值（扣除预计净残值）。 无形资产的减值损失一经确认，在以后会计期间不再转回。</w:t>
      </w:r>
    </w:p>
    <w:p>
      <w:pPr>
        <w:spacing w:line="240" w:lineRule="auto" w:before="6"/>
        <w:rPr>
          <w:rFonts w:ascii="宋体" w:hAnsi="宋体" w:cs="宋体" w:eastAsia="宋体" w:hint="default"/>
          <w:sz w:val="26"/>
          <w:szCs w:val="26"/>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0"/>
        <w:rPr>
          <w:rFonts w:ascii="宋体" w:hAnsi="宋体" w:cs="宋体" w:eastAsia="宋体" w:hint="default"/>
          <w:b/>
          <w:bCs/>
          <w:sz w:val="22"/>
          <w:szCs w:val="22"/>
        </w:rPr>
      </w:pPr>
    </w:p>
    <w:p>
      <w:pPr>
        <w:spacing w:line="400" w:lineRule="auto" w:before="189"/>
        <w:ind w:left="574" w:right="0"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划分公司内部研究开发项目的研究阶段和开发阶段具体标准</w:t>
      </w:r>
      <w:r>
        <w:rPr>
          <w:rFonts w:ascii="宋体" w:hAnsi="宋体" w:cs="宋体" w:eastAsia="宋体" w:hint="default"/>
          <w:b/>
          <w:bCs/>
          <w:w w:val="99"/>
          <w:sz w:val="21"/>
          <w:szCs w:val="21"/>
        </w:rPr>
        <w:t> </w:t>
      </w:r>
      <w:r>
        <w:rPr>
          <w:rFonts w:ascii="宋体" w:hAnsi="宋体" w:cs="宋体" w:eastAsia="宋体" w:hint="default"/>
          <w:sz w:val="21"/>
          <w:szCs w:val="21"/>
        </w:rPr>
        <w:t>公司内部研究开发项目的支出分为研究阶段支出和开发阶段支出。 研究阶段：为获取并理解新的科学或技术知识等而进行的独创性的有计划调查、研究活动的阶段。 </w:t>
      </w:r>
      <w:r>
        <w:rPr>
          <w:rFonts w:ascii="宋体" w:hAnsi="宋体" w:cs="宋体" w:eastAsia="宋体" w:hint="default"/>
          <w:spacing w:val="-1"/>
          <w:sz w:val="21"/>
          <w:szCs w:val="21"/>
        </w:rPr>
        <w:t>开发阶段：在进行商业性生产或使用前，将研究成果或其他知识应用于某项计划或设计，以生产出新</w:t>
      </w:r>
    </w:p>
    <w:p>
      <w:pPr>
        <w:pStyle w:val="BodyText"/>
        <w:spacing w:line="240" w:lineRule="auto" w:before="52"/>
        <w:ind w:right="0"/>
        <w:jc w:val="left"/>
      </w:pPr>
      <w:r>
        <w:rPr/>
        <w:t>的或具有实质性改进的材料、装置、产品等活动的阶段。</w:t>
      </w:r>
    </w:p>
    <w:p>
      <w:pPr>
        <w:spacing w:line="240" w:lineRule="auto" w:before="10"/>
        <w:rPr>
          <w:rFonts w:ascii="宋体" w:hAnsi="宋体" w:cs="宋体" w:eastAsia="宋体" w:hint="default"/>
          <w:sz w:val="14"/>
          <w:szCs w:val="14"/>
        </w:rPr>
      </w:pPr>
    </w:p>
    <w:p>
      <w:pPr>
        <w:spacing w:line="386" w:lineRule="auto" w:before="0"/>
        <w:ind w:left="574" w:right="2420"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开发阶段支出符合资本化的具体标准</w:t>
      </w:r>
      <w:r>
        <w:rPr>
          <w:rFonts w:ascii="宋体" w:hAnsi="宋体" w:cs="宋体" w:eastAsia="宋体" w:hint="default"/>
          <w:b/>
          <w:bCs/>
          <w:w w:val="99"/>
          <w:sz w:val="21"/>
          <w:szCs w:val="21"/>
        </w:rPr>
        <w:t> </w:t>
      </w:r>
      <w:r>
        <w:rPr>
          <w:rFonts w:ascii="宋体" w:hAnsi="宋体" w:cs="宋体" w:eastAsia="宋体" w:hint="default"/>
          <w:sz w:val="21"/>
          <w:szCs w:val="21"/>
        </w:rPr>
        <w:t>内部研究开发项目开发阶段的支出，同时满足下列条件时确认为无形资产：</w:t>
      </w:r>
    </w:p>
    <w:p>
      <w:pPr>
        <w:pStyle w:val="BodyText"/>
        <w:spacing w:line="240" w:lineRule="auto" w:before="65"/>
        <w:ind w:left="574"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77"/>
        <w:ind w:left="574"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86" w:lineRule="auto" w:before="177"/>
        <w:ind w:right="0" w:firstLine="42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w:t>
      </w:r>
      <w:r>
        <w:rPr>
          <w:spacing w:val="2"/>
        </w:rPr>
        <w:t> </w:t>
      </w:r>
      <w:r>
        <w:rPr/>
        <w:t>自身存在市场，无形资产将在内部使用的，能够证明其有用性；</w:t>
      </w:r>
    </w:p>
    <w:p>
      <w:pPr>
        <w:pStyle w:val="BodyText"/>
        <w:spacing w:line="386" w:lineRule="auto" w:before="65"/>
        <w:ind w:right="0" w:firstLine="42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w:t>
      </w:r>
      <w:r>
        <w:rPr>
          <w:spacing w:val="2"/>
        </w:rPr>
        <w:t> </w:t>
      </w:r>
      <w:r>
        <w:rPr/>
        <w:t>无形资产；</w:t>
      </w:r>
    </w:p>
    <w:p>
      <w:pPr>
        <w:pStyle w:val="BodyText"/>
        <w:spacing w:line="386" w:lineRule="auto" w:before="65"/>
        <w:ind w:left="574" w:right="0" w:hanging="1"/>
        <w:jc w:val="left"/>
      </w:pPr>
      <w:r>
        <w:rPr/>
        <w:t>（</w:t>
      </w:r>
      <w:r>
        <w:rPr>
          <w:rFonts w:ascii="Times New Roman" w:hAnsi="Times New Roman" w:cs="Times New Roman" w:eastAsia="Times New Roman" w:hint="default"/>
        </w:rPr>
        <w:t>5</w:t>
      </w:r>
      <w:r>
        <w:rPr/>
        <w:t>）归属于该无形资产开发阶段的支出能够可靠地计量。 </w:t>
      </w:r>
      <w:r>
        <w:rPr>
          <w:spacing w:val="-1"/>
        </w:rPr>
        <w:t>开发阶段的支出，若不满足上列条件的，于发生时计入当期损益。研究阶段的支出，在发生时计入当</w:t>
      </w:r>
    </w:p>
    <w:p>
      <w:pPr>
        <w:pStyle w:val="BodyText"/>
        <w:spacing w:line="240" w:lineRule="auto" w:before="65"/>
        <w:ind w:right="0"/>
        <w:jc w:val="left"/>
      </w:pPr>
      <w:r>
        <w:rPr/>
        <w:t>期损益。</w:t>
      </w:r>
    </w:p>
    <w:p>
      <w:pPr>
        <w:spacing w:line="240" w:lineRule="auto" w:before="0"/>
        <w:rPr>
          <w:rFonts w:ascii="宋体" w:hAnsi="宋体" w:cs="宋体" w:eastAsia="宋体" w:hint="default"/>
          <w:sz w:val="20"/>
          <w:szCs w:val="20"/>
        </w:rPr>
      </w:pPr>
    </w:p>
    <w:p>
      <w:pPr>
        <w:pStyle w:val="BodyText"/>
        <w:spacing w:line="568" w:lineRule="auto" w:before="154"/>
        <w:ind w:left="574" w:right="0" w:hanging="420"/>
        <w:jc w:val="left"/>
      </w:pPr>
      <w:r>
        <w:rPr>
          <w:rFonts w:ascii="Times New Roman" w:hAnsi="Times New Roman" w:cs="Times New Roman" w:eastAsia="Times New Roman" w:hint="default"/>
          <w:b/>
          <w:bCs/>
        </w:rPr>
        <w:t>20</w:t>
      </w:r>
      <w:r>
        <w:rPr>
          <w:rFonts w:ascii="宋体" w:hAnsi="宋体" w:cs="宋体" w:eastAsia="宋体" w:hint="default"/>
          <w:b/>
          <w:bCs/>
        </w:rPr>
        <w:t>、长期资产减值</w:t>
      </w:r>
      <w:r>
        <w:rPr>
          <w:rFonts w:ascii="宋体" w:hAnsi="宋体" w:cs="宋体" w:eastAsia="宋体" w:hint="default"/>
          <w:b/>
          <w:bCs/>
          <w:spacing w:val="1"/>
          <w:w w:val="99"/>
        </w:rPr>
        <w:t> </w:t>
      </w:r>
      <w:r>
        <w:rPr>
          <w:spacing w:val="-1"/>
        </w:rPr>
        <w:t>长期股权投资、采用成本模式计量的投资性房地产、固定资产、在建工程、无形资产等长期资产，于</w:t>
      </w:r>
    </w:p>
    <w:p>
      <w:pPr>
        <w:spacing w:after="0" w:line="568"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408" w:lineRule="auto" w:before="35"/>
        <w:ind w:right="128"/>
        <w:jc w:val="both"/>
      </w:pPr>
      <w:r>
        <w:rPr/>
        <w:t>资产负债表日存在减值迹象的，进行减值测试。减值测试结果表明资产的可收回金额低于其账面价值的， </w:t>
      </w:r>
      <w:r>
        <w:rPr>
          <w:spacing w:val="-1"/>
        </w:rPr>
        <w:t>按其差额计提减值准备并计入减值损失。可收回金额为资产的公允价值减去处置费用后的净额与资产预计</w:t>
      </w:r>
      <w:r>
        <w:rPr>
          <w:spacing w:val="-81"/>
        </w:rPr>
        <w:t> </w:t>
      </w:r>
      <w:r>
        <w:rPr>
          <w:spacing w:val="-81"/>
        </w:rPr>
      </w:r>
      <w:r>
        <w:rPr>
          <w:spacing w:val="-1"/>
        </w:rPr>
        <w:t>未来现金流量的现值两者之间的较高者。资产减值准备按单项资产为基础计算并确认，如果难以对单项资</w:t>
      </w:r>
      <w:r>
        <w:rPr>
          <w:spacing w:val="-81"/>
        </w:rPr>
        <w:t> </w:t>
      </w:r>
      <w:r>
        <w:rPr>
          <w:spacing w:val="-81"/>
        </w:rPr>
      </w:r>
      <w:r>
        <w:rPr>
          <w:spacing w:val="-1"/>
        </w:rPr>
        <w:t>产的可收回金额进行估计的，以该资产所属的资产组确定资产组的可收回金额。资产组是能够独立产生现</w:t>
      </w:r>
      <w:r>
        <w:rPr>
          <w:spacing w:val="-81"/>
        </w:rPr>
        <w:t> </w:t>
      </w:r>
      <w:r>
        <w:rPr>
          <w:spacing w:val="-81"/>
        </w:rPr>
      </w:r>
      <w:r>
        <w:rPr/>
        <w:t>金流入的最小资产组合。</w:t>
      </w:r>
    </w:p>
    <w:p>
      <w:pPr>
        <w:pStyle w:val="BodyText"/>
        <w:spacing w:line="408" w:lineRule="auto"/>
        <w:ind w:left="573" w:right="0"/>
        <w:jc w:val="left"/>
      </w:pPr>
      <w:r>
        <w:rPr/>
        <w:t>商誉至少在每年年度终了进行减值测试。 </w:t>
      </w:r>
      <w:r>
        <w:rPr>
          <w:spacing w:val="-1"/>
        </w:rPr>
        <w:t>本公司进行商誉减值测试，对于因企业合并形成的商誉的账面价值，自购买日起按照合理的方法分摊</w:t>
      </w:r>
    </w:p>
    <w:p>
      <w:pPr>
        <w:pStyle w:val="BodyText"/>
        <w:spacing w:line="408" w:lineRule="auto"/>
        <w:ind w:left="153" w:right="151"/>
        <w:jc w:val="both"/>
      </w:pPr>
      <w:r>
        <w:rPr>
          <w:spacing w:val="-1"/>
        </w:rPr>
        <w:t>至相关的资产组；难以分摊至相关的资产组的，将其分摊至相关的资产组组合。在将商誉的账面价值分摊</w:t>
      </w:r>
      <w:r>
        <w:rPr>
          <w:spacing w:val="-83"/>
        </w:rPr>
        <w:t> </w:t>
      </w:r>
      <w:r>
        <w:rPr>
          <w:spacing w:val="-83"/>
        </w:rPr>
      </w:r>
      <w:r>
        <w:rPr>
          <w:spacing w:val="-1"/>
        </w:rPr>
        <w:t>至相关的资产组或者资产组组合时，按照各资产组或者资产组组合的公允价值占相关资产组或者资产组组</w:t>
      </w:r>
      <w:r>
        <w:rPr>
          <w:spacing w:val="-81"/>
        </w:rPr>
        <w:t> </w:t>
      </w:r>
      <w:r>
        <w:rPr>
          <w:spacing w:val="-81"/>
        </w:rPr>
      </w:r>
      <w:r>
        <w:rPr>
          <w:spacing w:val="-1"/>
        </w:rPr>
        <w:t>合公允价值总额的比例进行分摊。公允价值难以可靠计量的，按照各资产组或者资产组组合的账面价值占</w:t>
      </w:r>
      <w:r>
        <w:rPr>
          <w:spacing w:val="-81"/>
        </w:rPr>
        <w:t> </w:t>
      </w:r>
      <w:r>
        <w:rPr>
          <w:spacing w:val="-81"/>
        </w:rPr>
      </w:r>
      <w:r>
        <w:rPr/>
        <w:t>相关资产组或者资产组组合账面价值总额的比例进行分摊。</w:t>
      </w:r>
    </w:p>
    <w:p>
      <w:pPr>
        <w:pStyle w:val="BodyText"/>
        <w:spacing w:line="408" w:lineRule="auto"/>
        <w:ind w:left="153" w:right="128" w:firstLine="420"/>
        <w:jc w:val="both"/>
      </w:pPr>
      <w:r>
        <w:rPr>
          <w:spacing w:val="-1"/>
        </w:rPr>
        <w:t>在对包含商誉的相关资产组或者资产组组合进行减值测试时，如与商誉相关的资产组或者资产组组合</w:t>
      </w:r>
      <w:r>
        <w:rPr/>
        <w:t> </w:t>
      </w:r>
      <w:r>
        <w:rPr>
          <w:spacing w:val="-1"/>
        </w:rPr>
        <w:t>存在减值迹象的，先对不包含商誉的资产组或者资产组组合进行减值测试，计算可收回金额，并与相关账</w:t>
      </w:r>
      <w:r>
        <w:rPr>
          <w:spacing w:val="-83"/>
        </w:rPr>
        <w:t> </w:t>
      </w:r>
      <w:r>
        <w:rPr>
          <w:spacing w:val="-83"/>
        </w:rPr>
      </w:r>
      <w:r>
        <w:rPr>
          <w:spacing w:val="-1"/>
        </w:rPr>
        <w:t>面价值相比较，确认相应的减值损失。再对包含商誉的资产组或者资产组组合进行减值测试，比较这些相</w:t>
      </w:r>
      <w:r>
        <w:rPr>
          <w:spacing w:val="-83"/>
        </w:rPr>
        <w:t> </w:t>
      </w:r>
      <w:r>
        <w:rPr>
          <w:spacing w:val="-83"/>
        </w:rPr>
      </w:r>
      <w:r>
        <w:rPr>
          <w:spacing w:val="-1"/>
        </w:rPr>
        <w:t>关资产组或者资产组组合的账面价值（包括所分摊的商誉的账面价值部分）与其可收回金额，如相关资产</w:t>
      </w:r>
      <w:r>
        <w:rPr>
          <w:spacing w:val="-83"/>
        </w:rPr>
        <w:t> </w:t>
      </w:r>
      <w:r>
        <w:rPr>
          <w:spacing w:val="-83"/>
        </w:rPr>
      </w:r>
      <w:r>
        <w:rPr/>
        <w:t>组或者资产组组合的可收回金额低于其账面价值的，确认商誉的减值损失。上述资产减值损失一经确认， 在以后会计期间不予转回。</w:t>
      </w:r>
    </w:p>
    <w:p>
      <w:pPr>
        <w:spacing w:line="240" w:lineRule="auto" w:before="8"/>
        <w:rPr>
          <w:rFonts w:ascii="宋体" w:hAnsi="宋体" w:cs="宋体" w:eastAsia="宋体" w:hint="default"/>
          <w:sz w:val="20"/>
          <w:szCs w:val="20"/>
        </w:rPr>
      </w:pPr>
    </w:p>
    <w:p>
      <w:pPr>
        <w:pStyle w:val="Heading4"/>
        <w:spacing w:line="240" w:lineRule="auto"/>
        <w:ind w:left="153" w:right="0"/>
        <w:jc w:val="both"/>
        <w:rPr>
          <w:b w:val="0"/>
          <w:bCs w:val="0"/>
        </w:rPr>
      </w:pPr>
      <w:r>
        <w:rPr>
          <w:rFonts w:ascii="Times New Roman" w:hAnsi="Times New Roman" w:cs="Times New Roman" w:eastAsia="Times New Roman" w:hint="default"/>
        </w:rPr>
        <w:t>21</w:t>
      </w:r>
      <w:r>
        <w:rPr/>
        <w:t>、长期待摊费用</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573" w:right="1161"/>
        <w:jc w:val="left"/>
      </w:pPr>
      <w:r>
        <w:rPr/>
        <w:t>长期待摊费用为已经发生但应由本期和以后各期负担的分摊期限在一年以上的各项费用。 长期待摊费用在预计受益期间按直线法摊销。</w:t>
      </w:r>
    </w:p>
    <w:p>
      <w:pPr>
        <w:spacing w:line="240" w:lineRule="auto" w:before="8"/>
        <w:rPr>
          <w:rFonts w:ascii="宋体" w:hAnsi="宋体" w:cs="宋体" w:eastAsia="宋体" w:hint="default"/>
          <w:sz w:val="20"/>
          <w:szCs w:val="20"/>
        </w:rPr>
      </w:pPr>
    </w:p>
    <w:p>
      <w:pPr>
        <w:pStyle w:val="Heading4"/>
        <w:spacing w:line="240" w:lineRule="auto"/>
        <w:ind w:left="153" w:right="0"/>
        <w:jc w:val="both"/>
        <w:rPr>
          <w:b w:val="0"/>
          <w:bCs w:val="0"/>
        </w:rPr>
      </w:pPr>
      <w:r>
        <w:rPr>
          <w:rFonts w:ascii="Times New Roman" w:hAnsi="Times New Roman" w:cs="Times New Roman" w:eastAsia="Times New Roman" w:hint="default"/>
        </w:rPr>
        <w:t>22</w:t>
      </w:r>
      <w:r>
        <w:rPr/>
        <w:t>、职工薪酬</w:t>
      </w:r>
      <w:r>
        <w:rPr>
          <w:b w:val="0"/>
          <w:bCs w:val="0"/>
        </w:rPr>
      </w:r>
    </w:p>
    <w:p>
      <w:pPr>
        <w:spacing w:line="690" w:lineRule="exact" w:before="15"/>
        <w:ind w:left="573"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本公司在职工为本公司提供服务的会计期间，将实际发生的短期薪酬确认为负债，并计入当期损益或</w:t>
      </w:r>
    </w:p>
    <w:p>
      <w:pPr>
        <w:pStyle w:val="BodyText"/>
        <w:spacing w:line="408" w:lineRule="auto" w:before="84"/>
        <w:ind w:left="573" w:right="0" w:hanging="420"/>
        <w:jc w:val="left"/>
      </w:pPr>
      <w:r>
        <w:rPr/>
        <w:t>相关资产成本。 </w:t>
      </w:r>
      <w:r>
        <w:rPr>
          <w:spacing w:val="-1"/>
        </w:rPr>
        <w:t>本公司为职工缴纳的社会保险费和住房公积金，以及按规定提取的工会经费和职工教育经费，在职工</w:t>
      </w:r>
    </w:p>
    <w:p>
      <w:pPr>
        <w:pStyle w:val="BodyText"/>
        <w:spacing w:line="408" w:lineRule="auto"/>
        <w:ind w:left="573" w:right="951" w:hanging="420"/>
        <w:jc w:val="left"/>
      </w:pPr>
      <w:r>
        <w:rPr/>
        <w:t>为本公司提供服务的会计期间，根据规定的计提基础和计提比例计算确定相应的职工薪酬金额。 职工福利费为非货币性福利的，如能够可靠计量的，按照公允价值计量。</w:t>
      </w:r>
    </w:p>
    <w:p>
      <w:pPr>
        <w:spacing w:after="0" w:line="408"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47" w:firstLine="420"/>
        <w:jc w:val="both"/>
      </w:pPr>
      <w:r>
        <w:rPr>
          <w:spacing w:val="3"/>
        </w:rPr>
        <w:t>本公司根据预期累计福利单位法确定的公式将设定受益计划产生的福利义务归属于职工提供服务的</w:t>
      </w:r>
      <w:r>
        <w:rPr/>
        <w:t> 期间，并计入当期损益或相关资产成本。</w:t>
      </w:r>
    </w:p>
    <w:p>
      <w:pPr>
        <w:pStyle w:val="BodyText"/>
        <w:spacing w:line="408" w:lineRule="auto"/>
        <w:ind w:right="147" w:firstLine="420"/>
        <w:jc w:val="both"/>
      </w:pPr>
      <w:r>
        <w:rPr>
          <w:spacing w:val="3"/>
        </w:rPr>
        <w:t>设定受益计划义务现值减去设定受益计划资产公允价值所形成的赤字或盈余确认为一项设定受益计</w:t>
      </w:r>
      <w:r>
        <w:rPr/>
        <w:t> </w:t>
      </w:r>
      <w:r>
        <w:rPr>
          <w:spacing w:val="-1"/>
        </w:rPr>
        <w:t>划净负债或净资产。设定受益计划存在盈余的，本公司以设定受益计划的盈余和资产上限两项的孰低者计</w:t>
      </w:r>
      <w:r>
        <w:rPr>
          <w:spacing w:val="-81"/>
        </w:rPr>
        <w:t> </w:t>
      </w:r>
      <w:r>
        <w:rPr>
          <w:spacing w:val="-81"/>
        </w:rPr>
      </w:r>
      <w:r>
        <w:rPr/>
        <w:t>量设定受益计划净资产。</w:t>
      </w:r>
    </w:p>
    <w:p>
      <w:pPr>
        <w:pStyle w:val="BodyText"/>
        <w:spacing w:line="408" w:lineRule="auto"/>
        <w:ind w:right="128" w:firstLine="420"/>
        <w:jc w:val="both"/>
      </w:pPr>
      <w:r>
        <w:rPr/>
        <w:t>所有设定受益计划义务，包括预期在职工提供服务的年度报告期间结束后的十二个月内支付的义务， </w:t>
      </w:r>
      <w:r>
        <w:rPr>
          <w:spacing w:val="3"/>
        </w:rPr>
        <w:t>根据资产负债表日与设定受益计划义务期限和币种相匹配的国债或活跃市场上的高质量公司债券的市场</w:t>
      </w:r>
      <w:r>
        <w:rPr>
          <w:spacing w:val="-78"/>
        </w:rPr>
        <w:t> </w:t>
      </w:r>
      <w:r>
        <w:rPr>
          <w:spacing w:val="-78"/>
        </w:rPr>
      </w:r>
      <w:r>
        <w:rPr/>
        <w:t>收益率予以折现。</w:t>
      </w:r>
    </w:p>
    <w:p>
      <w:pPr>
        <w:pStyle w:val="BodyText"/>
        <w:spacing w:line="408" w:lineRule="auto"/>
        <w:ind w:right="147" w:firstLine="420"/>
        <w:jc w:val="both"/>
      </w:pPr>
      <w:r>
        <w:rPr>
          <w:spacing w:val="3"/>
        </w:rPr>
        <w:t>设定受益计划产生的服务成本和设定受益计划净负债或净资产的利息净额计入当期损益或相关资产</w:t>
      </w:r>
      <w:r>
        <w:rPr/>
        <w:t> </w:t>
      </w:r>
      <w:r>
        <w:rPr>
          <w:spacing w:val="-1"/>
        </w:rPr>
        <w:t>成本；重新计量设定受益计划净负债或净资产所产生的变动计入其他综合收益，并且在后续会计期间不转</w:t>
      </w:r>
      <w:r>
        <w:rPr>
          <w:spacing w:val="-81"/>
        </w:rPr>
        <w:t> </w:t>
      </w:r>
      <w:r>
        <w:rPr>
          <w:spacing w:val="-81"/>
        </w:rPr>
      </w:r>
      <w:r>
        <w:rPr/>
        <w:t>回至损益。</w:t>
      </w:r>
    </w:p>
    <w:p>
      <w:pPr>
        <w:pStyle w:val="BodyText"/>
        <w:spacing w:line="408" w:lineRule="auto"/>
        <w:ind w:right="151" w:firstLine="420"/>
        <w:jc w:val="both"/>
      </w:pPr>
      <w:r>
        <w:rPr>
          <w:spacing w:val="-1"/>
        </w:rPr>
        <w:t>在设定受益计划结算时，按在结算日确定的设定受益计划义务现值和结算价格两者的差额，确认结算</w:t>
      </w:r>
      <w:r>
        <w:rPr/>
        <w:t> 利得或损失。</w:t>
      </w:r>
    </w:p>
    <w:p>
      <w:pPr>
        <w:pStyle w:val="BodyText"/>
        <w:spacing w:line="240" w:lineRule="auto" w:before="9"/>
        <w:ind w:left="574" w:right="0"/>
        <w:jc w:val="left"/>
      </w:pPr>
      <w:r>
        <w:rPr/>
        <w:t>详见本附注</w:t>
      </w: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t>三十七</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应付职工薪酬</w:t>
      </w:r>
      <w:r>
        <w:rPr>
          <w:rFonts w:ascii="Times New Roman" w:hAnsi="Times New Roman" w:cs="Times New Roman" w:eastAsia="Times New Roman" w:hint="default"/>
        </w:rPr>
        <w:t>”</w:t>
      </w:r>
      <w:r>
        <w:rPr/>
        <w:t>。</w:t>
      </w:r>
    </w:p>
    <w:p>
      <w:pPr>
        <w:spacing w:line="690" w:lineRule="exact" w:before="14"/>
        <w:ind w:left="573"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本公司在不能单方面撤回因解除劳动关系计划或裁减建议所提供的辞退福利时，或确认与涉及支付辞</w:t>
      </w:r>
    </w:p>
    <w:p>
      <w:pPr>
        <w:pStyle w:val="BodyText"/>
        <w:spacing w:line="240" w:lineRule="auto" w:before="84"/>
        <w:ind w:left="153" w:right="0"/>
        <w:jc w:val="left"/>
      </w:pPr>
      <w:r>
        <w:rPr/>
        <w:t>退福利的重组相关的成本或费用时（两者孰早），确认辞退福利产生的职工薪酬负债，并计入当期损益。</w:t>
      </w:r>
    </w:p>
    <w:p>
      <w:pPr>
        <w:spacing w:line="240" w:lineRule="auto" w:before="0"/>
        <w:rPr>
          <w:rFonts w:ascii="宋体" w:hAnsi="宋体" w:cs="宋体" w:eastAsia="宋体" w:hint="default"/>
          <w:sz w:val="20"/>
          <w:szCs w:val="20"/>
        </w:rPr>
      </w:pPr>
    </w:p>
    <w:p>
      <w:pPr>
        <w:pStyle w:val="Heading4"/>
        <w:spacing w:line="240" w:lineRule="auto" w:before="154"/>
        <w:ind w:left="153" w:right="0"/>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rFonts w:ascii="Times New Roman" w:hAnsi="Times New Roman" w:cs="Times New Roman" w:eastAsia="Times New Roman" w:hint="default"/>
        </w:rPr>
        <w:t>23</w:t>
      </w:r>
      <w:r>
        <w:rPr/>
        <w:t>、预计负债</w:t>
      </w:r>
      <w:r>
        <w:rPr>
          <w:b w:val="0"/>
          <w:bCs w:val="0"/>
        </w:rPr>
      </w:r>
    </w:p>
    <w:p>
      <w:pPr>
        <w:spacing w:line="240" w:lineRule="auto" w:before="8"/>
        <w:rPr>
          <w:rFonts w:ascii="宋体" w:hAnsi="宋体" w:cs="宋体" w:eastAsia="宋体" w:hint="default"/>
          <w:b/>
          <w:bCs/>
          <w:sz w:val="30"/>
          <w:szCs w:val="30"/>
        </w:rPr>
      </w:pPr>
    </w:p>
    <w:p>
      <w:pPr>
        <w:spacing w:line="386" w:lineRule="auto" w:before="0"/>
        <w:ind w:left="573" w:right="0"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预计负债的确认标准</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与诉讼、债务担保、亏损合同、重组事项等或有事项相关的义务同时满足下列条件时，本公司确认为</w:t>
      </w:r>
    </w:p>
    <w:p>
      <w:pPr>
        <w:pStyle w:val="BodyText"/>
        <w:spacing w:line="240" w:lineRule="auto" w:before="65"/>
        <w:ind w:left="153" w:right="0"/>
        <w:jc w:val="left"/>
      </w:pPr>
      <w:r>
        <w:rPr/>
        <w:t>预计负债：</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177"/>
        <w:ind w:left="574" w:right="0"/>
        <w:jc w:val="left"/>
      </w:pPr>
      <w:r>
        <w:rPr/>
        <w:t>（</w:t>
      </w:r>
      <w:r>
        <w:rPr>
          <w:rFonts w:ascii="Times New Roman" w:hAnsi="Times New Roman" w:cs="Times New Roman" w:eastAsia="Times New Roman" w:hint="default"/>
        </w:rPr>
        <w:t>2</w:t>
      </w:r>
      <w:r>
        <w:rPr/>
        <w:t>）履行该义务很可能导致经济利益流出本公司；</w:t>
      </w:r>
    </w:p>
    <w:p>
      <w:pPr>
        <w:pStyle w:val="BodyText"/>
        <w:spacing w:line="240" w:lineRule="auto" w:before="177"/>
        <w:ind w:left="574" w:right="0"/>
        <w:jc w:val="left"/>
      </w:pPr>
      <w:r>
        <w:rPr/>
        <w:t>（</w:t>
      </w:r>
      <w:r>
        <w:rPr>
          <w:rFonts w:ascii="Times New Roman" w:hAnsi="Times New Roman" w:cs="Times New Roman" w:eastAsia="Times New Roman" w:hint="default"/>
        </w:rPr>
        <w:t>3</w:t>
      </w:r>
      <w:r>
        <w:rPr/>
        <w:t>）该义务的金额能够可靠地计量。</w:t>
      </w:r>
    </w:p>
    <w:p>
      <w:pPr>
        <w:pStyle w:val="Heading4"/>
        <w:spacing w:line="240" w:lineRule="auto" w:before="177"/>
        <w:ind w:left="566" w:right="0"/>
        <w:jc w:val="left"/>
        <w:rPr>
          <w:b w:val="0"/>
          <w:bCs w:val="0"/>
        </w:rPr>
      </w:pPr>
      <w:r>
        <w:rPr>
          <w:rFonts w:ascii="Times New Roman" w:hAnsi="Times New Roman" w:cs="Times New Roman" w:eastAsia="Times New Roman" w:hint="default"/>
        </w:rPr>
        <w:t>2</w:t>
      </w:r>
      <w:r>
        <w:rPr/>
        <w:t>、</w:t>
      </w:r>
      <w:r>
        <w:rPr>
          <w:spacing w:val="1"/>
        </w:rPr>
        <w:t> </w:t>
      </w:r>
      <w:r>
        <w:rPr/>
        <w:t>各类预计负债的计量方法</w:t>
      </w:r>
      <w:r>
        <w:rPr>
          <w:b w:val="0"/>
          <w:bCs w:val="0"/>
        </w:rPr>
      </w:r>
    </w:p>
    <w:p>
      <w:pPr>
        <w:spacing w:after="0" w:line="240" w:lineRule="auto"/>
        <w:jc w:val="left"/>
        <w:sectPr>
          <w:pgSz w:w="11910" w:h="16840"/>
          <w:pgMar w:header="877" w:footer="982" w:top="1100" w:bottom="1180" w:left="980" w:right="980"/>
        </w:sectPr>
      </w:pPr>
    </w:p>
    <w:p>
      <w:pPr>
        <w:spacing w:line="240" w:lineRule="auto" w:before="8"/>
        <w:rPr>
          <w:rFonts w:ascii="宋体" w:hAnsi="宋体" w:cs="宋体" w:eastAsia="宋体" w:hint="default"/>
          <w:b/>
          <w:bCs/>
          <w:sz w:val="26"/>
          <w:szCs w:val="26"/>
        </w:rPr>
      </w:pPr>
    </w:p>
    <w:p>
      <w:pPr>
        <w:pStyle w:val="BodyText"/>
        <w:spacing w:line="408" w:lineRule="auto" w:before="35"/>
        <w:ind w:left="573" w:right="95"/>
        <w:jc w:val="left"/>
      </w:pPr>
      <w:r>
        <w:rPr/>
        <w:t>本公司预计负债按履行相关现时义务所需的支出的最佳估计数进行初始计量。 </w:t>
      </w:r>
      <w:r>
        <w:rPr>
          <w:spacing w:val="-1"/>
        </w:rPr>
        <w:t>本公司在确定最佳估计数时，综合考虑与或有事项有关的风险、不确定性和货币时间价值等因素。对</w:t>
      </w:r>
    </w:p>
    <w:p>
      <w:pPr>
        <w:pStyle w:val="BodyText"/>
        <w:spacing w:line="408" w:lineRule="auto"/>
        <w:ind w:left="573" w:right="95" w:hanging="420"/>
        <w:jc w:val="left"/>
      </w:pPr>
      <w:r>
        <w:rPr/>
        <w:t>于货币时间价值影响重大的，通过对相关未来现金流出进行折现后确定最佳估计数。 最佳估计数分别以下情况处理： </w:t>
      </w:r>
      <w:r>
        <w:rPr>
          <w:spacing w:val="-1"/>
        </w:rPr>
        <w:t>所需支出存在一个连续范围（或区间），且该范围内各种结果发生的可能性相同的，则最佳估计数按</w:t>
      </w:r>
    </w:p>
    <w:p>
      <w:pPr>
        <w:pStyle w:val="BodyText"/>
        <w:spacing w:line="408" w:lineRule="auto"/>
        <w:ind w:left="573" w:right="95" w:hanging="420"/>
        <w:jc w:val="left"/>
      </w:pPr>
      <w:r>
        <w:rPr/>
        <w:t>照该范围的中间值即上下限金额的平均数确定。 </w:t>
      </w:r>
      <w:r>
        <w:rPr>
          <w:spacing w:val="-1"/>
        </w:rPr>
        <w:t>所需支出不存在一个连续范围（或区间），或虽然存在一个连续范围但该范围内各种结果发生的可能</w:t>
      </w:r>
    </w:p>
    <w:p>
      <w:pPr>
        <w:pStyle w:val="BodyText"/>
        <w:spacing w:line="408" w:lineRule="auto"/>
        <w:ind w:left="153" w:right="95"/>
        <w:jc w:val="left"/>
      </w:pPr>
      <w:r>
        <w:rPr>
          <w:spacing w:val="-1"/>
        </w:rPr>
        <w:t>性不相同的，如或有事项涉及单个项目的，则最佳估计数按照最可能发生金额确定；如或有事项涉及多个</w:t>
      </w:r>
      <w:r>
        <w:rPr>
          <w:spacing w:val="-83"/>
        </w:rPr>
        <w:t> </w:t>
      </w:r>
      <w:r>
        <w:rPr>
          <w:spacing w:val="-83"/>
        </w:rPr>
      </w:r>
      <w:r>
        <w:rPr/>
        <w:t>项目的，则最佳估计数按各种可能结果及相关概率计算确定。</w:t>
      </w:r>
    </w:p>
    <w:p>
      <w:pPr>
        <w:pStyle w:val="BodyText"/>
        <w:spacing w:line="408" w:lineRule="auto"/>
        <w:ind w:left="153" w:right="211" w:firstLine="420"/>
        <w:jc w:val="both"/>
      </w:pPr>
      <w:r>
        <w:rPr>
          <w:spacing w:val="-1"/>
        </w:rPr>
        <w:t>本公司清偿预计负债所需支出全部或部分预期由第三方补偿的，补偿金额在基本确定能够收到时，作</w:t>
      </w:r>
      <w:r>
        <w:rPr/>
        <w:t> 为资产单独确认，确认的补偿金额不超过预计负债的账面价值。</w:t>
      </w:r>
    </w:p>
    <w:p>
      <w:pPr>
        <w:spacing w:line="240" w:lineRule="auto" w:before="8"/>
        <w:rPr>
          <w:rFonts w:ascii="宋体" w:hAnsi="宋体" w:cs="宋体" w:eastAsia="宋体" w:hint="default"/>
          <w:sz w:val="20"/>
          <w:szCs w:val="20"/>
        </w:rPr>
      </w:pPr>
    </w:p>
    <w:p>
      <w:pPr>
        <w:pStyle w:val="Heading4"/>
        <w:spacing w:line="240" w:lineRule="auto"/>
        <w:ind w:left="153" w:right="95"/>
        <w:jc w:val="left"/>
        <w:rPr>
          <w:b w:val="0"/>
          <w:bCs w:val="0"/>
        </w:rPr>
      </w:pPr>
      <w:r>
        <w:rPr>
          <w:rFonts w:ascii="Times New Roman" w:hAnsi="Times New Roman" w:cs="Times New Roman" w:eastAsia="Times New Roman" w:hint="default"/>
        </w:rPr>
        <w:t>24</w:t>
      </w:r>
      <w:r>
        <w:rPr/>
        <w:t>、股份支付</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3" w:right="207" w:firstLine="420"/>
        <w:jc w:val="both"/>
      </w:pPr>
      <w:r>
        <w:rPr>
          <w:spacing w:val="3"/>
        </w:rPr>
        <w:t>本公司的股份支付是为了获取职工或其他方提供服务而授予权益工具或者承担以权益工具为基础确</w:t>
      </w:r>
      <w:r>
        <w:rPr/>
        <w:t> 定的负债的交易。本公司的股份支付分为以权益结算的股份支付和以现金结算的股份支付。</w:t>
      </w:r>
    </w:p>
    <w:p>
      <w:pPr>
        <w:spacing w:line="386" w:lineRule="auto" w:before="46"/>
        <w:ind w:left="573" w:right="95"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以权益结算的股份支付及权益工具</w:t>
      </w:r>
      <w:r>
        <w:rPr>
          <w:rFonts w:ascii="宋体" w:hAnsi="宋体" w:cs="宋体" w:eastAsia="宋体" w:hint="default"/>
          <w:b/>
          <w:bCs/>
          <w:w w:val="99"/>
          <w:sz w:val="21"/>
          <w:szCs w:val="21"/>
        </w:rPr>
        <w:t> </w:t>
      </w:r>
      <w:r>
        <w:rPr>
          <w:rFonts w:ascii="宋体" w:hAnsi="宋体" w:cs="宋体" w:eastAsia="宋体" w:hint="default"/>
          <w:spacing w:val="-1"/>
          <w:sz w:val="21"/>
          <w:szCs w:val="21"/>
        </w:rPr>
        <w:t>以权益结算的股份支付换取职工提供服务的，以授予职工权益工具的公允价值计量。授予后立即可行</w:t>
      </w:r>
    </w:p>
    <w:p>
      <w:pPr>
        <w:pStyle w:val="BodyText"/>
        <w:spacing w:line="408" w:lineRule="auto" w:before="65"/>
        <w:ind w:left="153" w:right="102"/>
        <w:jc w:val="left"/>
      </w:pPr>
      <w:r>
        <w:rPr/>
        <w:t>权的，在授予日按照公允价值计入相关成本或费用，相应增加资本公积；完成等待期内的服务或达到规定 业绩条件才可行权的，在等待期内每个资产负债表日，本公司根据最新取得的可行权职工人数变动、是否 </w:t>
      </w:r>
      <w:r>
        <w:rPr>
          <w:spacing w:val="-3"/>
        </w:rPr>
        <w:t>达到规定业绩条件等后续信息对可行权权益工具数量作出最佳估计，以此为基础，按照授予日的公允价值，</w:t>
      </w:r>
      <w:r>
        <w:rPr>
          <w:spacing w:val="-92"/>
        </w:rPr>
        <w:t> </w:t>
      </w:r>
      <w:r>
        <w:rPr>
          <w:spacing w:val="-92"/>
        </w:rPr>
      </w:r>
      <w:r>
        <w:rPr/>
        <w:t>将当期取得的服务计入相关成本或费用，相应增加资本公积。</w:t>
      </w:r>
    </w:p>
    <w:p>
      <w:pPr>
        <w:pStyle w:val="BodyText"/>
        <w:spacing w:line="408" w:lineRule="auto"/>
        <w:ind w:left="153" w:right="210" w:firstLine="420"/>
        <w:jc w:val="both"/>
      </w:pPr>
      <w:r>
        <w:rPr>
          <w:spacing w:val="-1"/>
        </w:rPr>
        <w:t>在满足业绩条件或服务期限条件的期间，应确认以权益结算的股份支付的成本或费用，并相应增加资</w:t>
      </w:r>
      <w:r>
        <w:rPr/>
        <w:t> </w:t>
      </w:r>
      <w:r>
        <w:rPr>
          <w:spacing w:val="-1"/>
        </w:rPr>
        <w:t>本公积。可行权日之前，于每个资产负债表日为以权益结算的股份支付确认的累计金额反映了等待期已届</w:t>
      </w:r>
      <w:r>
        <w:rPr>
          <w:spacing w:val="-81"/>
        </w:rPr>
        <w:t> </w:t>
      </w:r>
      <w:r>
        <w:rPr>
          <w:spacing w:val="-81"/>
        </w:rPr>
      </w:r>
      <w:r>
        <w:rPr/>
        <w:t>满的部分以及本公司对最终可行权的权益工具数量的最佳估计。</w:t>
      </w:r>
    </w:p>
    <w:p>
      <w:pPr>
        <w:pStyle w:val="BodyText"/>
        <w:spacing w:line="408" w:lineRule="auto"/>
        <w:ind w:left="153" w:right="210" w:firstLine="420"/>
        <w:jc w:val="both"/>
      </w:pPr>
      <w:r>
        <w:rPr>
          <w:spacing w:val="-1"/>
        </w:rPr>
        <w:t>对于最终未能行权的股份支付，不确认成本或费用，除非行权条件是市场条件或非可行权条件，此时</w:t>
      </w:r>
      <w:r>
        <w:rPr/>
        <w:t> 无论是否满足市场条件或非可行权条件，只要满足所有可行权条件中的非市场条件，即视为可行权。</w:t>
      </w:r>
    </w:p>
    <w:p>
      <w:pPr>
        <w:pStyle w:val="BodyText"/>
        <w:spacing w:line="408" w:lineRule="auto"/>
        <w:ind w:left="153" w:right="210" w:firstLine="420"/>
        <w:jc w:val="both"/>
      </w:pPr>
      <w:r>
        <w:rPr>
          <w:spacing w:val="-1"/>
        </w:rPr>
        <w:t>如果修改了以权益结算的股份支付的条款，至少按照未修改条款的情况确认取得的服务。此外，任何</w:t>
      </w:r>
      <w:r>
        <w:rPr/>
        <w:t> 增加所授予权益工具公允价值的修改，或在修改日对职工有利的变更，均确认取得服务的增加。</w:t>
      </w:r>
    </w:p>
    <w:p>
      <w:pPr>
        <w:pStyle w:val="BodyText"/>
        <w:spacing w:line="408" w:lineRule="auto"/>
        <w:ind w:left="153" w:right="102" w:firstLine="420"/>
        <w:jc w:val="left"/>
      </w:pPr>
      <w:r>
        <w:rPr/>
        <w:t>如果取消了以权益结算的股份支付，则于取消日作为加速行权处理，立即确认尚未确认的金额。职工 </w:t>
      </w:r>
      <w:r>
        <w:rPr>
          <w:spacing w:val="-3"/>
        </w:rPr>
        <w:t>或其他方能够选择满足非可行权条件但在等待期内未满足的，作为取消以权益结算的股份支付处理。但是，</w:t>
      </w:r>
    </w:p>
    <w:p>
      <w:pPr>
        <w:spacing w:after="0" w:line="408"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408" w:lineRule="auto" w:before="35"/>
        <w:ind w:right="202"/>
        <w:jc w:val="both"/>
      </w:pPr>
      <w:r>
        <w:rPr>
          <w:spacing w:val="3"/>
        </w:rPr>
        <w:t>如果授予新的权益工具，并在新权益工具授予日认定所授予的新权益工具是用于替代被取消的权益工具</w:t>
      </w:r>
      <w:r>
        <w:rPr>
          <w:spacing w:val="-78"/>
        </w:rPr>
        <w:t> </w:t>
      </w:r>
      <w:r>
        <w:rPr>
          <w:spacing w:val="-78"/>
        </w:rPr>
      </w:r>
      <w:r>
        <w:rPr/>
        <w:t>的，则以与处理原权益工具条款和条件修改相同的方式，对所授予的替代权益工具进行处理。</w:t>
      </w:r>
    </w:p>
    <w:p>
      <w:pPr>
        <w:spacing w:line="386" w:lineRule="auto" w:before="46"/>
        <w:ind w:left="573" w:right="95"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以现金结算的股份支付及权益工具</w:t>
      </w:r>
      <w:r>
        <w:rPr>
          <w:rFonts w:ascii="宋体" w:hAnsi="宋体" w:cs="宋体" w:eastAsia="宋体" w:hint="default"/>
          <w:b/>
          <w:bCs/>
          <w:w w:val="99"/>
          <w:sz w:val="21"/>
          <w:szCs w:val="21"/>
        </w:rPr>
        <w:t> </w:t>
      </w:r>
      <w:r>
        <w:rPr>
          <w:rFonts w:ascii="宋体" w:hAnsi="宋体" w:cs="宋体" w:eastAsia="宋体" w:hint="default"/>
          <w:spacing w:val="-1"/>
          <w:sz w:val="21"/>
          <w:szCs w:val="21"/>
        </w:rPr>
        <w:t>以现金结算的股份支付，按照本公司承担的以股份或其他权益工具为基础计算确定的负债的公允价值</w:t>
      </w:r>
    </w:p>
    <w:p>
      <w:pPr>
        <w:pStyle w:val="BodyText"/>
        <w:spacing w:line="408" w:lineRule="auto" w:before="65"/>
        <w:ind w:left="153" w:right="211"/>
        <w:jc w:val="both"/>
      </w:pPr>
      <w:r>
        <w:rPr>
          <w:spacing w:val="-1"/>
        </w:rPr>
        <w:t>计量。授予后立即可行权的，在授予日以承担负债的公允价值计入成本或费用，相应增加负债；完成等待</w:t>
      </w:r>
      <w:r>
        <w:rPr>
          <w:spacing w:val="-82"/>
        </w:rPr>
        <w:t> </w:t>
      </w:r>
      <w:r>
        <w:rPr>
          <w:spacing w:val="-82"/>
        </w:rPr>
      </w:r>
      <w:r>
        <w:rPr>
          <w:spacing w:val="-1"/>
        </w:rPr>
        <w:t>期内的服务或达到规定业绩条件才可行权的，在等待期内以对可行权情况的最佳估计为基础，按照承担负</w:t>
      </w:r>
      <w:r>
        <w:rPr>
          <w:spacing w:val="-81"/>
        </w:rPr>
        <w:t> </w:t>
      </w:r>
      <w:r>
        <w:rPr>
          <w:spacing w:val="-81"/>
        </w:rPr>
      </w:r>
      <w:r>
        <w:rPr>
          <w:spacing w:val="-1"/>
        </w:rPr>
        <w:t>债的公允价值，将当期取得的服务计入相关成本或费用，增加相应负债。在相关负债结算前的每个资产负</w:t>
      </w:r>
      <w:r>
        <w:rPr>
          <w:spacing w:val="-83"/>
        </w:rPr>
        <w:t> </w:t>
      </w:r>
      <w:r>
        <w:rPr>
          <w:spacing w:val="-83"/>
        </w:rPr>
      </w:r>
      <w:r>
        <w:rPr/>
        <w:t>债表日以及结算日，对负债的公允价值重新计量，其变动计入当期损益。</w:t>
      </w:r>
    </w:p>
    <w:p>
      <w:pPr>
        <w:spacing w:line="240" w:lineRule="auto" w:before="8"/>
        <w:rPr>
          <w:rFonts w:ascii="宋体" w:hAnsi="宋体" w:cs="宋体" w:eastAsia="宋体" w:hint="default"/>
          <w:sz w:val="20"/>
          <w:szCs w:val="20"/>
        </w:rPr>
      </w:pPr>
    </w:p>
    <w:p>
      <w:pPr>
        <w:pStyle w:val="Heading4"/>
        <w:spacing w:line="240" w:lineRule="auto"/>
        <w:ind w:left="153" w:right="0"/>
        <w:jc w:val="both"/>
        <w:rPr>
          <w:b w:val="0"/>
          <w:bCs w:val="0"/>
        </w:rPr>
      </w:pPr>
      <w:r>
        <w:rPr>
          <w:rFonts w:ascii="Times New Roman" w:hAnsi="Times New Roman" w:cs="Times New Roman" w:eastAsia="Times New Roman" w:hint="default"/>
        </w:rPr>
        <w:t>25</w:t>
      </w:r>
      <w:r>
        <w:rPr/>
        <w:t>、收入</w:t>
      </w:r>
      <w:r>
        <w:rPr>
          <w:b w:val="0"/>
          <w:bCs w:val="0"/>
        </w:rPr>
      </w:r>
    </w:p>
    <w:p>
      <w:pPr>
        <w:spacing w:line="240" w:lineRule="auto" w:before="7"/>
        <w:rPr>
          <w:rFonts w:ascii="宋体" w:hAnsi="宋体" w:cs="宋体" w:eastAsia="宋体" w:hint="default"/>
          <w:b/>
          <w:bCs/>
          <w:sz w:val="30"/>
          <w:szCs w:val="30"/>
        </w:rPr>
      </w:pPr>
    </w:p>
    <w:p>
      <w:pPr>
        <w:pStyle w:val="Heading4"/>
        <w:spacing w:line="240" w:lineRule="auto"/>
        <w:ind w:left="566" w:right="95"/>
        <w:jc w:val="left"/>
        <w:rPr>
          <w:b w:val="0"/>
          <w:bCs w:val="0"/>
        </w:rPr>
      </w:pPr>
      <w:r>
        <w:rPr>
          <w:rFonts w:ascii="Times New Roman" w:hAnsi="Times New Roman" w:cs="Times New Roman" w:eastAsia="Times New Roman" w:hint="default"/>
        </w:rPr>
        <w:t>1</w:t>
      </w:r>
      <w:r>
        <w:rPr/>
        <w:t>、</w:t>
      </w:r>
      <w:r>
        <w:rPr>
          <w:spacing w:val="2"/>
        </w:rPr>
        <w:t> </w:t>
      </w:r>
      <w:r>
        <w:rPr/>
        <w:t>销售商品收入确认和计量原则</w:t>
      </w:r>
      <w:r>
        <w:rPr>
          <w:b w:val="0"/>
          <w:bCs w:val="0"/>
        </w:rPr>
      </w:r>
    </w:p>
    <w:p>
      <w:pPr>
        <w:pStyle w:val="BodyText"/>
        <w:spacing w:line="386" w:lineRule="auto" w:before="177"/>
        <w:ind w:left="574" w:right="95" w:hanging="1"/>
        <w:jc w:val="left"/>
      </w:pPr>
      <w:r>
        <w:rPr/>
        <w:t>（</w:t>
      </w:r>
      <w:r>
        <w:rPr>
          <w:rFonts w:ascii="Times New Roman" w:hAnsi="Times New Roman" w:cs="Times New Roman" w:eastAsia="Times New Roman" w:hint="default"/>
        </w:rPr>
        <w:t>1</w:t>
      </w:r>
      <w:r>
        <w:rPr/>
        <w:t>）销售商品收入确认和计量的总体原则 </w:t>
      </w:r>
      <w:r>
        <w:rPr>
          <w:spacing w:val="-1"/>
        </w:rPr>
        <w:t>公司已将商品所有权上的主要风险和报酬转移给购买方；公司既没有保留与所有权相联系的继续管理</w:t>
      </w:r>
    </w:p>
    <w:p>
      <w:pPr>
        <w:pStyle w:val="BodyText"/>
        <w:spacing w:line="408" w:lineRule="auto" w:before="65"/>
        <w:ind w:right="101"/>
        <w:jc w:val="left"/>
      </w:pPr>
      <w:r>
        <w:rPr>
          <w:spacing w:val="-3"/>
        </w:rPr>
        <w:t>权，也没有对已售出的商品实施有效控制；收入的金额能够可靠地计量；相关的经济利益很可能流入企业；</w:t>
      </w:r>
      <w:r>
        <w:rPr>
          <w:spacing w:val="-90"/>
        </w:rPr>
        <w:t> </w:t>
      </w:r>
      <w:r>
        <w:rPr>
          <w:spacing w:val="-90"/>
        </w:rPr>
      </w:r>
      <w:r>
        <w:rPr/>
        <w:t>相关的已发生或将发生的成本能够可靠地计量时，确认商品销售收入实现。</w:t>
      </w:r>
    </w:p>
    <w:p>
      <w:pPr>
        <w:pStyle w:val="BodyText"/>
        <w:spacing w:line="240" w:lineRule="auto"/>
        <w:ind w:left="574" w:right="95"/>
        <w:jc w:val="left"/>
      </w:pPr>
      <w:r>
        <w:rPr/>
        <w:t>（</w:t>
      </w:r>
      <w:r>
        <w:rPr>
          <w:rFonts w:ascii="Times New Roman" w:hAnsi="Times New Roman" w:cs="Times New Roman" w:eastAsia="Times New Roman" w:hint="default"/>
        </w:rPr>
        <w:t>2</w:t>
      </w:r>
      <w:r>
        <w:rPr/>
        <w:t>）本公司销售商品收入确认的确认标准及收入确认时间的具体判断标准：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before="44"/>
        <w:ind w:left="0" w:right="1072" w:firstLine="0"/>
        <w:jc w:val="right"/>
        <w:rPr>
          <w:rFonts w:ascii="宋体" w:hAnsi="宋体" w:cs="宋体" w:eastAsia="宋体" w:hint="default"/>
          <w:sz w:val="18"/>
          <w:szCs w:val="18"/>
        </w:rPr>
      </w:pPr>
      <w:r>
        <w:rPr/>
        <w:pict>
          <v:shape style="position:absolute;margin-left:103.379997pt;margin-top:-32.525780pt;width:388.9pt;height:144.7pt;mso-position-horizontal-relative:page;mso-position-vertical-relative:paragraph;z-index:38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47"/>
                    <w:gridCol w:w="2478"/>
                    <w:gridCol w:w="4130"/>
                  </w:tblGrid>
                  <w:tr>
                    <w:trPr>
                      <w:trHeight w:val="347" w:hRule="exact"/>
                    </w:trPr>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72" w:right="0"/>
                          <w:jc w:val="left"/>
                          <w:rPr>
                            <w:rFonts w:ascii="宋体" w:hAnsi="宋体" w:cs="宋体" w:eastAsia="宋体" w:hint="default"/>
                            <w:sz w:val="18"/>
                            <w:szCs w:val="18"/>
                          </w:rPr>
                        </w:pPr>
                        <w:r>
                          <w:rPr>
                            <w:rFonts w:ascii="宋体" w:hAnsi="宋体" w:cs="宋体" w:eastAsia="宋体" w:hint="default"/>
                            <w:sz w:val="18"/>
                            <w:szCs w:val="18"/>
                          </w:rPr>
                          <w:t>销售模式</w:t>
                        </w:r>
                      </w:p>
                    </w:tc>
                    <w:tc>
                      <w:tcPr>
                        <w:tcW w:w="2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937" w:right="0"/>
                          <w:jc w:val="left"/>
                          <w:rPr>
                            <w:rFonts w:ascii="宋体" w:hAnsi="宋体" w:cs="宋体" w:eastAsia="宋体" w:hint="default"/>
                            <w:sz w:val="18"/>
                            <w:szCs w:val="18"/>
                          </w:rPr>
                        </w:pPr>
                        <w:r>
                          <w:rPr>
                            <w:rFonts w:ascii="宋体" w:hAnsi="宋体" w:cs="宋体" w:eastAsia="宋体" w:hint="default"/>
                            <w:sz w:val="18"/>
                            <w:szCs w:val="18"/>
                          </w:rPr>
                          <w:t>直销模式</w:t>
                        </w:r>
                      </w:p>
                    </w:tc>
                    <w:tc>
                      <w:tcPr>
                        <w:tcW w:w="4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9" w:right="0"/>
                          <w:jc w:val="center"/>
                          <w:rPr>
                            <w:rFonts w:ascii="宋体" w:hAnsi="宋体" w:cs="宋体" w:eastAsia="宋体" w:hint="default"/>
                            <w:sz w:val="18"/>
                            <w:szCs w:val="18"/>
                          </w:rPr>
                        </w:pPr>
                        <w:r>
                          <w:rPr>
                            <w:rFonts w:ascii="宋体" w:hAnsi="宋体" w:cs="宋体" w:eastAsia="宋体" w:hint="default"/>
                            <w:sz w:val="18"/>
                            <w:szCs w:val="18"/>
                          </w:rPr>
                          <w:t>经销模式</w:t>
                        </w:r>
                      </w:p>
                    </w:tc>
                  </w:tr>
                  <w:tr>
                    <w:trPr>
                      <w:trHeight w:val="335" w:hRule="exact"/>
                    </w:trPr>
                    <w:tc>
                      <w:tcPr>
                        <w:tcW w:w="1147" w:type="dxa"/>
                        <w:tcBorders>
                          <w:top w:val="single" w:sz="6" w:space="0" w:color="000000"/>
                          <w:left w:val="single" w:sz="6" w:space="0" w:color="000000"/>
                          <w:bottom w:val="nil" w:sz="6" w:space="0" w:color="auto"/>
                          <w:right w:val="single" w:sz="6" w:space="0" w:color="000000"/>
                        </w:tcBorders>
                      </w:tcPr>
                      <w:p>
                        <w:pPr/>
                      </w:p>
                    </w:tc>
                    <w:tc>
                      <w:tcPr>
                        <w:tcW w:w="247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、附安装义务销售：在履行完</w:t>
                        </w:r>
                      </w:p>
                    </w:tc>
                    <w:tc>
                      <w:tcPr>
                        <w:tcW w:w="413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、无需安装调试或经销商可自行安装调试的产品：</w:t>
                        </w:r>
                        <w:r>
                          <w:rPr>
                            <w:rFonts w:ascii="宋体" w:hAnsi="宋体" w:cs="宋体" w:eastAsia="宋体" w:hint="default"/>
                            <w:sz w:val="18"/>
                            <w:szCs w:val="18"/>
                          </w:rPr>
                        </w:r>
                      </w:p>
                    </w:tc>
                  </w:tr>
                  <w:tr>
                    <w:trPr>
                      <w:trHeight w:val="307" w:hRule="exact"/>
                    </w:trPr>
                    <w:tc>
                      <w:tcPr>
                        <w:tcW w:w="1147" w:type="dxa"/>
                        <w:tcBorders>
                          <w:top w:val="nil" w:sz="6" w:space="0" w:color="auto"/>
                          <w:left w:val="single" w:sz="6" w:space="0" w:color="000000"/>
                          <w:bottom w:val="nil" w:sz="6" w:space="0" w:color="auto"/>
                          <w:right w:val="single" w:sz="6" w:space="0" w:color="000000"/>
                        </w:tcBorders>
                      </w:tcPr>
                      <w:p>
                        <w:pPr/>
                      </w:p>
                    </w:tc>
                    <w:tc>
                      <w:tcPr>
                        <w:tcW w:w="247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pacing w:val="8"/>
                            <w:sz w:val="18"/>
                            <w:szCs w:val="18"/>
                          </w:rPr>
                          <w:t>毕安装义务，经客户验收合格</w:t>
                        </w:r>
                      </w:p>
                    </w:tc>
                    <w:tc>
                      <w:tcPr>
                        <w:tcW w:w="413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pacing w:val="-6"/>
                            <w:sz w:val="18"/>
                            <w:szCs w:val="18"/>
                          </w:rPr>
                          <w:t>经销商收到货物，验收合格、账目核对并确认付款后</w:t>
                        </w:r>
                      </w:p>
                    </w:tc>
                  </w:tr>
                  <w:tr>
                    <w:trPr>
                      <w:trHeight w:val="312" w:hRule="exact"/>
                    </w:trPr>
                    <w:tc>
                      <w:tcPr>
                        <w:tcW w:w="1147" w:type="dxa"/>
                        <w:tcBorders>
                          <w:top w:val="nil" w:sz="6" w:space="0" w:color="auto"/>
                          <w:left w:val="single" w:sz="6" w:space="0" w:color="000000"/>
                          <w:bottom w:val="nil" w:sz="6" w:space="0" w:color="auto"/>
                          <w:right w:val="single" w:sz="6" w:space="0" w:color="000000"/>
                        </w:tcBorders>
                      </w:tcPr>
                      <w:p>
                        <w:pPr/>
                      </w:p>
                    </w:tc>
                    <w:tc>
                      <w:tcPr>
                        <w:tcW w:w="247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5"/>
                            <w:sz w:val="18"/>
                            <w:szCs w:val="18"/>
                          </w:rPr>
                          <w:t>后，开具发票账单交付客户，确</w:t>
                        </w:r>
                      </w:p>
                    </w:tc>
                    <w:tc>
                      <w:tcPr>
                        <w:tcW w:w="413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开具发票交付经销商，确认收入。</w:t>
                        </w:r>
                      </w:p>
                    </w:tc>
                  </w:tr>
                  <w:tr>
                    <w:trPr>
                      <w:trHeight w:val="317" w:hRule="exact"/>
                    </w:trPr>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35" w:right="0"/>
                          <w:jc w:val="left"/>
                          <w:rPr>
                            <w:rFonts w:ascii="宋体" w:hAnsi="宋体" w:cs="宋体" w:eastAsia="宋体" w:hint="default"/>
                            <w:sz w:val="18"/>
                            <w:szCs w:val="18"/>
                          </w:rPr>
                        </w:pPr>
                        <w:r>
                          <w:rPr>
                            <w:rFonts w:ascii="宋体" w:hAnsi="宋体" w:cs="宋体" w:eastAsia="宋体" w:hint="default"/>
                            <w:sz w:val="18"/>
                            <w:szCs w:val="18"/>
                          </w:rPr>
                          <w:t>收入确</w:t>
                        </w:r>
                      </w:p>
                    </w:tc>
                    <w:tc>
                      <w:tcPr>
                        <w:tcW w:w="247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认收入。</w:t>
                        </w:r>
                      </w:p>
                    </w:tc>
                    <w:tc>
                      <w:tcPr>
                        <w:tcW w:w="413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、需本公司提供技术支持的新产品、复杂系统项目</w:t>
                        </w:r>
                        <w:r>
                          <w:rPr>
                            <w:rFonts w:ascii="宋体" w:hAnsi="宋体" w:cs="宋体" w:eastAsia="宋体" w:hint="default"/>
                            <w:sz w:val="18"/>
                            <w:szCs w:val="18"/>
                          </w:rPr>
                        </w:r>
                      </w:p>
                    </w:tc>
                  </w:tr>
                  <w:tr>
                    <w:trPr>
                      <w:trHeight w:val="312" w:hRule="exact"/>
                    </w:trPr>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35" w:right="0"/>
                          <w:jc w:val="left"/>
                          <w:rPr>
                            <w:rFonts w:ascii="宋体" w:hAnsi="宋体" w:cs="宋体" w:eastAsia="宋体" w:hint="default"/>
                            <w:sz w:val="18"/>
                            <w:szCs w:val="18"/>
                          </w:rPr>
                        </w:pPr>
                        <w:r>
                          <w:rPr>
                            <w:rFonts w:ascii="宋体" w:hAnsi="宋体" w:cs="宋体" w:eastAsia="宋体" w:hint="default"/>
                            <w:sz w:val="18"/>
                            <w:szCs w:val="18"/>
                          </w:rPr>
                          <w:t>认时点</w:t>
                        </w:r>
                      </w:p>
                    </w:tc>
                    <w:tc>
                      <w:tcPr>
                        <w:tcW w:w="247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、不附安装义务销售：在客户</w:t>
                        </w:r>
                      </w:p>
                    </w:tc>
                    <w:tc>
                      <w:tcPr>
                        <w:tcW w:w="413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pacing w:val="-2"/>
                            <w:sz w:val="18"/>
                            <w:szCs w:val="18"/>
                          </w:rPr>
                          <w:t>产品：经销商在收到货物、待系统安装和调试通过后</w:t>
                        </w:r>
                      </w:p>
                    </w:tc>
                  </w:tr>
                  <w:tr>
                    <w:trPr>
                      <w:trHeight w:val="307" w:hRule="exact"/>
                    </w:trPr>
                    <w:tc>
                      <w:tcPr>
                        <w:tcW w:w="1147" w:type="dxa"/>
                        <w:tcBorders>
                          <w:top w:val="nil" w:sz="6" w:space="0" w:color="auto"/>
                          <w:left w:val="single" w:sz="6" w:space="0" w:color="000000"/>
                          <w:bottom w:val="nil" w:sz="6" w:space="0" w:color="auto"/>
                          <w:right w:val="single" w:sz="6" w:space="0" w:color="000000"/>
                        </w:tcBorders>
                      </w:tcPr>
                      <w:p>
                        <w:pPr/>
                      </w:p>
                    </w:tc>
                    <w:tc>
                      <w:tcPr>
                        <w:tcW w:w="247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pacing w:val="-5"/>
                            <w:sz w:val="18"/>
                            <w:szCs w:val="18"/>
                          </w:rPr>
                          <w:t>收到货物，验收合格并确认付款</w:t>
                        </w:r>
                      </w:p>
                    </w:tc>
                    <w:tc>
                      <w:tcPr>
                        <w:tcW w:w="413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pacing w:val="-2"/>
                            <w:sz w:val="18"/>
                            <w:szCs w:val="18"/>
                          </w:rPr>
                          <w:t>（本公司提供技术支持），对方确认产品合格。经销</w:t>
                        </w:r>
                      </w:p>
                    </w:tc>
                  </w:tr>
                  <w:tr>
                    <w:trPr>
                      <w:trHeight w:val="312" w:hRule="exact"/>
                    </w:trPr>
                    <w:tc>
                      <w:tcPr>
                        <w:tcW w:w="1147" w:type="dxa"/>
                        <w:tcBorders>
                          <w:top w:val="nil" w:sz="6" w:space="0" w:color="auto"/>
                          <w:left w:val="single" w:sz="6" w:space="0" w:color="000000"/>
                          <w:bottom w:val="nil" w:sz="6" w:space="0" w:color="auto"/>
                          <w:right w:val="single" w:sz="6" w:space="0" w:color="000000"/>
                        </w:tcBorders>
                      </w:tcPr>
                      <w:p>
                        <w:pPr/>
                      </w:p>
                    </w:tc>
                    <w:tc>
                      <w:tcPr>
                        <w:tcW w:w="247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5"/>
                            <w:sz w:val="18"/>
                            <w:szCs w:val="18"/>
                          </w:rPr>
                          <w:t>后，开具发票账单交付客户，确</w:t>
                        </w:r>
                      </w:p>
                    </w:tc>
                    <w:tc>
                      <w:tcPr>
                        <w:tcW w:w="413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2"/>
                            <w:sz w:val="18"/>
                            <w:szCs w:val="18"/>
                          </w:rPr>
                          <w:t>商确认产品合格、账目核对并同意付款后，开具发票</w:t>
                        </w:r>
                      </w:p>
                    </w:tc>
                  </w:tr>
                  <w:tr>
                    <w:trPr>
                      <w:trHeight w:val="330" w:hRule="exact"/>
                    </w:trPr>
                    <w:tc>
                      <w:tcPr>
                        <w:tcW w:w="1147" w:type="dxa"/>
                        <w:tcBorders>
                          <w:top w:val="nil" w:sz="6" w:space="0" w:color="auto"/>
                          <w:left w:val="single" w:sz="6" w:space="0" w:color="000000"/>
                          <w:bottom w:val="single" w:sz="6" w:space="0" w:color="000000"/>
                          <w:right w:val="single" w:sz="6" w:space="0" w:color="000000"/>
                        </w:tcBorders>
                      </w:tcPr>
                      <w:p>
                        <w:pPr/>
                      </w:p>
                    </w:tc>
                    <w:tc>
                      <w:tcPr>
                        <w:tcW w:w="247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认收入。</w:t>
                        </w:r>
                      </w:p>
                    </w:tc>
                    <w:tc>
                      <w:tcPr>
                        <w:tcW w:w="413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交付经销商，确认收入。</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86" w:lineRule="auto" w:before="194"/>
        <w:ind w:left="574" w:right="95" w:hanging="1"/>
        <w:jc w:val="left"/>
      </w:pPr>
      <w:r>
        <w:rPr/>
        <w:t>（</w:t>
      </w:r>
      <w:r>
        <w:rPr>
          <w:rFonts w:ascii="Times New Roman" w:hAnsi="Times New Roman" w:cs="Times New Roman" w:eastAsia="Times New Roman" w:hint="default"/>
        </w:rPr>
        <w:t>3</w:t>
      </w:r>
      <w:r>
        <w:rPr/>
        <w:t>）关于本公司销售商品收入相应的业务特点分析和介绍 本公司商品销售采取</w:t>
      </w:r>
      <w:r>
        <w:rPr>
          <w:rFonts w:ascii="Times New Roman" w:hAnsi="Times New Roman" w:cs="Times New Roman" w:eastAsia="Times New Roman" w:hint="default"/>
        </w:rPr>
        <w:t>“</w:t>
      </w:r>
      <w:r>
        <w:rPr/>
        <w:t>直销</w:t>
      </w:r>
      <w:r>
        <w:rPr>
          <w:rFonts w:ascii="Times New Roman" w:hAnsi="Times New Roman" w:cs="Times New Roman" w:eastAsia="Times New Roman" w:hint="default"/>
        </w:rPr>
        <w:t>+</w:t>
      </w:r>
      <w:r>
        <w:rPr/>
        <w:t>经销</w:t>
      </w:r>
      <w:r>
        <w:rPr>
          <w:rFonts w:ascii="Times New Roman" w:hAnsi="Times New Roman" w:cs="Times New Roman" w:eastAsia="Times New Roman" w:hint="default"/>
        </w:rPr>
        <w:t>”</w:t>
      </w:r>
      <w:r>
        <w:rPr/>
        <w:t>并重的销售模式。经销模式的主要特征是公司与经销商之间实际发</w:t>
      </w:r>
    </w:p>
    <w:p>
      <w:pPr>
        <w:pStyle w:val="BodyText"/>
        <w:spacing w:line="408" w:lineRule="auto" w:before="35"/>
        <w:ind w:left="153" w:right="210"/>
        <w:jc w:val="both"/>
      </w:pPr>
      <w:r>
        <w:rPr>
          <w:spacing w:val="-1"/>
        </w:rPr>
        <w:t>生买卖关系，经销商按双方约定的价格从本公司购进产品，取得商品所有权，然后销售给最终用户，通过</w:t>
      </w:r>
      <w:r>
        <w:rPr>
          <w:spacing w:val="-82"/>
        </w:rPr>
        <w:t> </w:t>
      </w:r>
      <w:r>
        <w:rPr>
          <w:spacing w:val="-82"/>
        </w:rPr>
      </w:r>
      <w:r>
        <w:rPr>
          <w:spacing w:val="-1"/>
        </w:rPr>
        <w:t>差价来获得利润。直销模式是公司直接向最终用户销售产品的一种销售方式，直销模式下的销售又可分为</w:t>
      </w:r>
      <w:r>
        <w:rPr>
          <w:spacing w:val="-81"/>
        </w:rPr>
        <w:t> </w:t>
      </w:r>
      <w:r>
        <w:rPr>
          <w:spacing w:val="-81"/>
        </w:rPr>
      </w:r>
      <w:r>
        <w:rPr/>
        <w:t>附安装义务的销售和不附安装义务的销售。</w:t>
      </w:r>
    </w:p>
    <w:p>
      <w:pPr>
        <w:spacing w:line="386" w:lineRule="auto" w:before="46"/>
        <w:ind w:left="573" w:right="95"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让渡资产使用权收入的确认和计量原则</w:t>
      </w:r>
      <w:r>
        <w:rPr>
          <w:rFonts w:ascii="宋体" w:hAnsi="宋体" w:cs="宋体" w:eastAsia="宋体" w:hint="default"/>
          <w:b/>
          <w:bCs/>
          <w:w w:val="99"/>
          <w:sz w:val="21"/>
          <w:szCs w:val="21"/>
        </w:rPr>
        <w:t> </w:t>
      </w:r>
      <w:r>
        <w:rPr>
          <w:rFonts w:ascii="宋体" w:hAnsi="宋体" w:cs="宋体" w:eastAsia="宋体" w:hint="default"/>
          <w:spacing w:val="-1"/>
          <w:sz w:val="21"/>
          <w:szCs w:val="21"/>
        </w:rPr>
        <w:t>与交易相关的经济利益很可能流入企业，收入的金额能够可靠地计量时。分别下列情况确定让渡资产</w:t>
      </w:r>
    </w:p>
    <w:p>
      <w:pPr>
        <w:spacing w:after="0" w:line="386" w:lineRule="auto"/>
        <w:jc w:val="left"/>
        <w:rPr>
          <w:rFonts w:ascii="宋体" w:hAnsi="宋体" w:cs="宋体" w:eastAsia="宋体" w:hint="default"/>
          <w:sz w:val="21"/>
          <w:szCs w:val="21"/>
        </w:rPr>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240" w:lineRule="auto" w:before="35"/>
        <w:ind w:right="0"/>
        <w:jc w:val="left"/>
      </w:pPr>
      <w:r>
        <w:rPr/>
        <w:t>使用权收入金额：</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①利息收入金额，按照他人使用本企业货币资金的时间和实际利率计算确定。</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②使用费收入金额，按照有关合同或协议约定的收费时间和方法计算确定。</w:t>
      </w:r>
    </w:p>
    <w:p>
      <w:pPr>
        <w:spacing w:line="240" w:lineRule="auto" w:before="10"/>
        <w:rPr>
          <w:rFonts w:ascii="宋体" w:hAnsi="宋体" w:cs="宋体" w:eastAsia="宋体" w:hint="default"/>
          <w:sz w:val="14"/>
          <w:szCs w:val="14"/>
        </w:rPr>
      </w:pPr>
    </w:p>
    <w:p>
      <w:pPr>
        <w:spacing w:line="386" w:lineRule="auto" w:before="0"/>
        <w:ind w:left="573" w:right="0"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按完工百分比法确认提供劳务的收入和建造合同收入的确认和计量原则</w:t>
      </w:r>
      <w:r>
        <w:rPr>
          <w:rFonts w:ascii="宋体" w:hAnsi="宋体" w:cs="宋体" w:eastAsia="宋体" w:hint="default"/>
          <w:b/>
          <w:bCs/>
          <w:w w:val="99"/>
          <w:sz w:val="21"/>
          <w:szCs w:val="21"/>
        </w:rPr>
        <w:t> </w:t>
      </w:r>
      <w:r>
        <w:rPr>
          <w:rFonts w:ascii="宋体" w:hAnsi="宋体" w:cs="宋体" w:eastAsia="宋体" w:hint="default"/>
          <w:spacing w:val="-1"/>
          <w:sz w:val="21"/>
          <w:szCs w:val="21"/>
        </w:rPr>
        <w:t>在资产负债表日提供劳务交易的结果能够可靠估计的，采用完工百分比法确认提供劳务收入。提供劳</w:t>
      </w:r>
    </w:p>
    <w:p>
      <w:pPr>
        <w:pStyle w:val="BodyText"/>
        <w:spacing w:line="408" w:lineRule="auto" w:before="65"/>
        <w:ind w:left="573" w:right="0" w:hanging="420"/>
        <w:jc w:val="left"/>
      </w:pPr>
      <w:r>
        <w:rPr/>
        <w:t>务交易的完工进度，依据已经发生的成本占估计总成本的比例确定。 </w:t>
      </w:r>
      <w:r>
        <w:rPr>
          <w:spacing w:val="-1"/>
        </w:rPr>
        <w:t>按照已收或应收的合同或协议价款确定提供劳务收入总额，但已收或应收的合同或协议价款不公允的</w:t>
      </w:r>
    </w:p>
    <w:p>
      <w:pPr>
        <w:pStyle w:val="BodyText"/>
        <w:spacing w:line="408" w:lineRule="auto"/>
        <w:ind w:left="153" w:right="150"/>
        <w:jc w:val="both"/>
      </w:pPr>
      <w:r>
        <w:rPr>
          <w:spacing w:val="-1"/>
        </w:rPr>
        <w:t>除外。资产负债表日按照提供劳务收入总额乘以完工进度扣除以前会计期间累计已确认提供劳务收入后的</w:t>
      </w:r>
      <w:r>
        <w:rPr>
          <w:spacing w:val="-81"/>
        </w:rPr>
        <w:t> </w:t>
      </w:r>
      <w:r>
        <w:rPr>
          <w:spacing w:val="-81"/>
        </w:rPr>
      </w:r>
      <w:r>
        <w:rPr>
          <w:spacing w:val="-1"/>
        </w:rPr>
        <w:t>金额，确认当期提供劳务收入；同时，按照提供劳务估计总成本乘以完工进度扣除以前会计期间累计已确</w:t>
      </w:r>
      <w:r>
        <w:rPr>
          <w:spacing w:val="-83"/>
        </w:rPr>
        <w:t> </w:t>
      </w:r>
      <w:r>
        <w:rPr>
          <w:spacing w:val="-83"/>
        </w:rPr>
      </w:r>
      <w:r>
        <w:rPr/>
        <w:t>认劳务成本后的金额，结转当期劳务成本。</w:t>
      </w:r>
    </w:p>
    <w:p>
      <w:pPr>
        <w:pStyle w:val="BodyText"/>
        <w:spacing w:line="240" w:lineRule="auto"/>
        <w:ind w:left="573" w:right="0"/>
        <w:jc w:val="left"/>
      </w:pPr>
      <w:r>
        <w:rPr/>
        <w:t>在资产负债表日提供劳务交易结果不能够可靠估计的，分别下列情况处理：</w:t>
      </w:r>
    </w:p>
    <w:p>
      <w:pPr>
        <w:spacing w:line="240" w:lineRule="auto" w:before="10"/>
        <w:rPr>
          <w:rFonts w:ascii="宋体" w:hAnsi="宋体" w:cs="宋体" w:eastAsia="宋体" w:hint="default"/>
          <w:sz w:val="14"/>
          <w:szCs w:val="14"/>
        </w:rPr>
      </w:pPr>
    </w:p>
    <w:p>
      <w:pPr>
        <w:pStyle w:val="BodyText"/>
        <w:spacing w:line="408" w:lineRule="auto" w:before="0"/>
        <w:ind w:left="153" w:right="0" w:firstLine="420"/>
        <w:jc w:val="left"/>
      </w:pPr>
      <w:r>
        <w:rPr>
          <w:spacing w:val="-1"/>
        </w:rPr>
        <w:t>①已经发生的劳务成本预计能够得到补偿的，按照已经发生的劳务成本金额确认提供劳务收入，并按</w:t>
      </w:r>
      <w:r>
        <w:rPr/>
        <w:t> 相同金额结转劳务成本。</w:t>
      </w:r>
    </w:p>
    <w:p>
      <w:pPr>
        <w:pStyle w:val="BodyText"/>
        <w:spacing w:line="408" w:lineRule="auto"/>
        <w:ind w:left="153" w:right="0" w:firstLine="420"/>
        <w:jc w:val="left"/>
      </w:pPr>
      <w:r>
        <w:rPr>
          <w:spacing w:val="-1"/>
        </w:rPr>
        <w:t>②已经发生的劳务成本预计不能够得到补偿的，将已经发生的劳务成本计入当期损益，不确认提供劳</w:t>
      </w:r>
      <w:r>
        <w:rPr/>
        <w:t> 务收入。</w:t>
      </w:r>
    </w:p>
    <w:p>
      <w:pPr>
        <w:spacing w:line="240" w:lineRule="auto" w:before="8"/>
        <w:rPr>
          <w:rFonts w:ascii="宋体" w:hAnsi="宋体" w:cs="宋体" w:eastAsia="宋体" w:hint="default"/>
          <w:sz w:val="20"/>
          <w:szCs w:val="20"/>
        </w:rPr>
      </w:pPr>
    </w:p>
    <w:p>
      <w:pPr>
        <w:pStyle w:val="Heading4"/>
        <w:spacing w:line="240" w:lineRule="auto"/>
        <w:ind w:left="153" w:right="0"/>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8"/>
        <w:rPr>
          <w:rFonts w:ascii="宋体" w:hAnsi="宋体" w:cs="宋体" w:eastAsia="宋体" w:hint="default"/>
          <w:b/>
          <w:bCs/>
          <w:sz w:val="24"/>
          <w:szCs w:val="24"/>
        </w:rPr>
      </w:pPr>
    </w:p>
    <w:p>
      <w:pPr>
        <w:spacing w:line="568" w:lineRule="auto" w:before="0"/>
        <w:ind w:left="573" w:right="111"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spacing w:val="1"/>
          <w:w w:val="99"/>
          <w:sz w:val="21"/>
          <w:szCs w:val="21"/>
        </w:rPr>
        <w:t> </w:t>
      </w:r>
      <w:r>
        <w:rPr>
          <w:rFonts w:ascii="宋体" w:hAnsi="宋体" w:cs="宋体" w:eastAsia="宋体" w:hint="default"/>
          <w:sz w:val="21"/>
          <w:szCs w:val="21"/>
        </w:rPr>
        <w:t>与资产相关的政府补助，确认为递延收益，按照所建造或购买的资产使用年限分期计入营业外收入；</w:t>
      </w:r>
    </w:p>
    <w:p>
      <w:pPr>
        <w:pStyle w:val="Heading4"/>
        <w:spacing w:line="240" w:lineRule="auto" w:before="128"/>
        <w:ind w:left="153" w:right="0"/>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3" w:right="150" w:firstLine="420"/>
        <w:jc w:val="both"/>
      </w:pPr>
      <w:r>
        <w:rPr>
          <w:spacing w:val="-1"/>
        </w:rPr>
        <w:t>与收益相关的政府补助，用于补偿企业以后期间的相关费用或损失的，取得时确认为递延收益，在确</w:t>
      </w:r>
      <w:r>
        <w:rPr/>
        <w:t> </w:t>
      </w:r>
      <w:r>
        <w:rPr>
          <w:spacing w:val="-1"/>
        </w:rPr>
        <w:t>认相关费用的期间计入当期营业外收入；用于补偿企业已发生的相关费用或损失的，取得时直接计入当期</w:t>
      </w:r>
      <w:r>
        <w:rPr>
          <w:spacing w:val="-81"/>
        </w:rPr>
        <w:t> </w:t>
      </w:r>
      <w:r>
        <w:rPr>
          <w:spacing w:val="-81"/>
        </w:rPr>
      </w:r>
      <w:r>
        <w:rPr/>
        <w:t>营业外收入。</w:t>
      </w:r>
    </w:p>
    <w:p>
      <w:pPr>
        <w:spacing w:line="240" w:lineRule="auto" w:before="8"/>
        <w:rPr>
          <w:rFonts w:ascii="宋体" w:hAnsi="宋体" w:cs="宋体" w:eastAsia="宋体" w:hint="default"/>
          <w:sz w:val="20"/>
          <w:szCs w:val="20"/>
        </w:rPr>
      </w:pPr>
    </w:p>
    <w:p>
      <w:pPr>
        <w:pStyle w:val="Heading4"/>
        <w:spacing w:line="240" w:lineRule="auto"/>
        <w:ind w:left="153" w:right="0"/>
        <w:jc w:val="left"/>
        <w:rPr>
          <w:b w:val="0"/>
          <w:bCs w:val="0"/>
        </w:rPr>
      </w:pP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0" w:firstLine="420"/>
        <w:jc w:val="left"/>
      </w:pPr>
      <w:r>
        <w:rPr>
          <w:spacing w:val="-1"/>
        </w:rPr>
        <w:t>对于可抵扣暂时性差异确认递延所得税资产，以未来期间很可能取得的用来抵扣可抵扣暂时性差异的</w:t>
      </w:r>
      <w:r>
        <w:rPr/>
        <w:t> 应纳税所得额为限。</w:t>
      </w:r>
    </w:p>
    <w:p>
      <w:pPr>
        <w:pStyle w:val="BodyText"/>
        <w:spacing w:line="240" w:lineRule="auto"/>
        <w:ind w:left="574" w:right="0"/>
        <w:jc w:val="left"/>
      </w:pPr>
      <w:r>
        <w:rPr/>
        <w:t>对于应纳税暂时性差异，除特殊情况外，确认递延所得税负债。</w:t>
      </w:r>
    </w:p>
    <w:p>
      <w:pPr>
        <w:spacing w:after="0" w:line="240"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408" w:lineRule="auto" w:before="35"/>
        <w:ind w:right="211" w:firstLine="420"/>
        <w:jc w:val="both"/>
      </w:pPr>
      <w:r>
        <w:rPr>
          <w:spacing w:val="-1"/>
        </w:rPr>
        <w:t>不确认递延所得税资产或递延所得税负债的特殊情况包括：商誉的初始确认；除企业合并以外的发生</w:t>
      </w:r>
      <w:r>
        <w:rPr/>
        <w:t> 时既不影响会计利润也不影响应纳税所得额（或可抵扣亏损）的其他交易或事项。</w:t>
      </w:r>
    </w:p>
    <w:p>
      <w:pPr>
        <w:pStyle w:val="BodyText"/>
        <w:spacing w:line="408" w:lineRule="auto"/>
        <w:ind w:left="153" w:right="210" w:firstLine="420"/>
        <w:jc w:val="both"/>
      </w:pPr>
      <w:r>
        <w:rPr>
          <w:spacing w:val="-1"/>
        </w:rPr>
        <w:t>当拥有以净额结算的法定权利，且意图以净额结算或取得资产、清偿负债同时进行时，当期所得税资</w:t>
      </w:r>
      <w:r>
        <w:rPr/>
        <w:t> 产及当期所得税负债以抵销后的净额列报。</w:t>
      </w:r>
    </w:p>
    <w:p>
      <w:pPr>
        <w:pStyle w:val="BodyText"/>
        <w:spacing w:line="408" w:lineRule="auto"/>
        <w:ind w:left="153" w:right="210" w:firstLine="420"/>
        <w:jc w:val="both"/>
      </w:pPr>
      <w:r>
        <w:rPr>
          <w:spacing w:val="-1"/>
        </w:rPr>
        <w:t>当拥有以净额结算当期所得税资产及当期所得税负债的法定权利，且递延所得税资产及递延所得税负</w:t>
      </w:r>
      <w:r>
        <w:rPr/>
        <w:t> </w:t>
      </w:r>
      <w:r>
        <w:rPr>
          <w:spacing w:val="-1"/>
        </w:rPr>
        <w:t>债是与同一税收征管部门对同一纳税主体征收的所得税相关或者是对不同的纳税主体相关，但在未来每一</w:t>
      </w:r>
      <w:r>
        <w:rPr>
          <w:spacing w:val="-81"/>
        </w:rPr>
        <w:t> </w:t>
      </w:r>
      <w:r>
        <w:rPr>
          <w:spacing w:val="-81"/>
        </w:rPr>
      </w:r>
      <w:r>
        <w:rPr>
          <w:spacing w:val="-1"/>
        </w:rPr>
        <w:t>具有重要性的递延所得税资产及负债转回的期间内，涉及的纳税主体意图以净额结算当期所得税资产和负</w:t>
      </w:r>
      <w:r>
        <w:rPr>
          <w:spacing w:val="-81"/>
        </w:rPr>
        <w:t> </w:t>
      </w:r>
      <w:r>
        <w:rPr>
          <w:spacing w:val="-81"/>
        </w:rPr>
      </w:r>
      <w:r>
        <w:rPr/>
        <w:t>债或是同时取得资产、清偿负债时，递延所得税资产及递延所得税负债以抵销后的净额列报。</w:t>
      </w:r>
    </w:p>
    <w:p>
      <w:pPr>
        <w:spacing w:line="240" w:lineRule="auto" w:before="8"/>
        <w:rPr>
          <w:rFonts w:ascii="宋体" w:hAnsi="宋体" w:cs="宋体" w:eastAsia="宋体" w:hint="default"/>
          <w:sz w:val="20"/>
          <w:szCs w:val="20"/>
        </w:rPr>
      </w:pPr>
    </w:p>
    <w:p>
      <w:pPr>
        <w:pStyle w:val="Heading4"/>
        <w:spacing w:line="240" w:lineRule="auto"/>
        <w:ind w:left="153" w:right="95"/>
        <w:jc w:val="left"/>
        <w:rPr>
          <w:b w:val="0"/>
          <w:bCs w:val="0"/>
        </w:rPr>
      </w:pPr>
      <w:r>
        <w:rPr>
          <w:rFonts w:ascii="Times New Roman" w:hAnsi="Times New Roman" w:cs="Times New Roman" w:eastAsia="Times New Roman" w:hint="default"/>
        </w:rPr>
        <w:t>28</w:t>
      </w:r>
      <w:r>
        <w:rPr/>
        <w:t>、租赁</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95"/>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386" w:lineRule="auto" w:before="0"/>
        <w:ind w:left="153" w:right="207" w:firstLine="420"/>
        <w:jc w:val="both"/>
      </w:pPr>
      <w:r>
        <w:rPr/>
        <w:t>（</w:t>
      </w:r>
      <w:r>
        <w:rPr>
          <w:rFonts w:ascii="Times New Roman" w:hAnsi="Times New Roman" w:cs="Times New Roman" w:eastAsia="Times New Roman" w:hint="default"/>
        </w:rPr>
        <w:t>1</w:t>
      </w:r>
      <w:r>
        <w:rPr/>
        <w:t>）公司租入资产所支付的租赁费，在不扣除免租期的整个租赁期内，按直线法进行分摊，计入当</w:t>
      </w:r>
      <w:r>
        <w:rPr>
          <w:spacing w:val="2"/>
        </w:rPr>
        <w:t> </w:t>
      </w:r>
      <w:r>
        <w:rPr/>
        <w:t>期费用。公司支付的与租赁交易相关的初始直接费用，计入当期费用。</w:t>
      </w:r>
    </w:p>
    <w:p>
      <w:pPr>
        <w:pStyle w:val="BodyText"/>
        <w:spacing w:line="408" w:lineRule="auto" w:before="65"/>
        <w:ind w:left="153" w:right="211" w:firstLine="420"/>
        <w:jc w:val="both"/>
      </w:pPr>
      <w:r>
        <w:rPr>
          <w:spacing w:val="-1"/>
        </w:rPr>
        <w:t>资产出租方承担了应由公司承担的与租赁相关的费用时，公司将该部分费用从租金总额中扣除，按扣</w:t>
      </w:r>
      <w:r>
        <w:rPr/>
        <w:t> 除后的租金费用在租赁期内分摊，计入当期费用。</w:t>
      </w:r>
    </w:p>
    <w:p>
      <w:pPr>
        <w:pStyle w:val="BodyText"/>
        <w:spacing w:line="398" w:lineRule="auto"/>
        <w:ind w:left="153" w:right="188" w:firstLine="420"/>
        <w:jc w:val="both"/>
      </w:pPr>
      <w:r>
        <w:rPr/>
        <w:t>（</w:t>
      </w:r>
      <w:r>
        <w:rPr>
          <w:rFonts w:ascii="Times New Roman" w:hAnsi="Times New Roman" w:cs="Times New Roman" w:eastAsia="Times New Roman" w:hint="default"/>
        </w:rPr>
        <w:t>2</w:t>
      </w:r>
      <w:r>
        <w:rPr/>
        <w:t>）公司出租资产所收取的租赁费，在不扣除免租期的整个租赁期内，按直线法进行分摊，确认为</w:t>
      </w:r>
      <w:r>
        <w:rPr>
          <w:spacing w:val="2"/>
        </w:rPr>
        <w:t> </w:t>
      </w:r>
      <w:r>
        <w:rPr/>
        <w:t>租赁收入。公司支付的与租赁交易相关的初始直接费用，计入当期费用；如金额较大的，则予以资本化，</w:t>
      </w:r>
      <w:r>
        <w:rPr/>
        <w:t> 在整个租赁期间内按照与租赁收入确认相同的基础分期计入当期收益。</w:t>
      </w:r>
    </w:p>
    <w:p>
      <w:pPr>
        <w:pStyle w:val="BodyText"/>
        <w:spacing w:line="408" w:lineRule="auto" w:before="54"/>
        <w:ind w:left="153" w:right="211" w:firstLine="420"/>
        <w:jc w:val="both"/>
      </w:pPr>
      <w:r>
        <w:rPr>
          <w:spacing w:val="-1"/>
        </w:rPr>
        <w:t>公司承担了应由承租方承担的与租赁相关的费用时，公司将该部分费用从租金收入总额中扣除，按扣</w:t>
      </w:r>
      <w:r>
        <w:rPr/>
        <w:t> 除后的租金费用在租赁期内分配。</w:t>
      </w:r>
    </w:p>
    <w:p>
      <w:pPr>
        <w:spacing w:line="240" w:lineRule="auto" w:before="8"/>
        <w:rPr>
          <w:rFonts w:ascii="宋体" w:hAnsi="宋体" w:cs="宋体" w:eastAsia="宋体" w:hint="default"/>
          <w:sz w:val="20"/>
          <w:szCs w:val="20"/>
        </w:rPr>
      </w:pPr>
    </w:p>
    <w:p>
      <w:pPr>
        <w:pStyle w:val="Heading4"/>
        <w:spacing w:line="240" w:lineRule="auto"/>
        <w:ind w:left="153" w:right="95"/>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3" w:right="102" w:firstLine="420"/>
        <w:jc w:val="left"/>
      </w:pPr>
      <w:r>
        <w:rPr/>
        <w:t>融资租入资产：公司在承租开始日，将租赁资产公允价值与最低租赁付款额现值两者中较低者作为租 入资产的入账价值，将最低租赁付款额作为长期应付款的入账价值，其差额作为未确认的融资费用。公司 </w:t>
      </w:r>
      <w:r>
        <w:rPr>
          <w:spacing w:val="-3"/>
        </w:rPr>
        <w:t>采用实际利率法对未确认的融资费用，在资产租赁期间内摊销，计入财务费用。公司发生的初始直接费用，</w:t>
      </w:r>
      <w:r>
        <w:rPr>
          <w:spacing w:val="-90"/>
        </w:rPr>
        <w:t> </w:t>
      </w:r>
      <w:r>
        <w:rPr>
          <w:spacing w:val="-90"/>
        </w:rPr>
      </w:r>
      <w:r>
        <w:rPr/>
        <w:t>计入租入资产价值。</w:t>
      </w:r>
    </w:p>
    <w:p>
      <w:pPr>
        <w:spacing w:line="240" w:lineRule="auto" w:before="8"/>
        <w:rPr>
          <w:rFonts w:ascii="宋体" w:hAnsi="宋体" w:cs="宋体" w:eastAsia="宋体" w:hint="default"/>
          <w:sz w:val="20"/>
          <w:szCs w:val="20"/>
        </w:rPr>
      </w:pPr>
    </w:p>
    <w:p>
      <w:pPr>
        <w:pStyle w:val="Heading4"/>
        <w:spacing w:line="568" w:lineRule="auto"/>
        <w:ind w:left="566" w:right="6459" w:hanging="413"/>
        <w:jc w:val="left"/>
        <w:rPr>
          <w:b w:val="0"/>
          <w:bCs w:val="0"/>
        </w:rPr>
      </w:pPr>
      <w:r>
        <w:rPr>
          <w:rFonts w:ascii="Times New Roman" w:hAnsi="Times New Roman" w:cs="Times New Roman" w:eastAsia="Times New Roman" w:hint="default"/>
        </w:rPr>
        <w:t>29</w:t>
      </w:r>
      <w:r>
        <w:rPr/>
        <w:t>、其他重要的会计政策和会计估计</w:t>
      </w:r>
      <w:r>
        <w:rPr>
          <w:w w:val="99"/>
        </w:rPr>
        <w:t> </w:t>
      </w:r>
      <w:r>
        <w:rPr/>
        <w:t>关联方</w:t>
      </w:r>
      <w:r>
        <w:rPr>
          <w:b w:val="0"/>
          <w:bCs w:val="0"/>
        </w:rPr>
      </w:r>
    </w:p>
    <w:p>
      <w:pPr>
        <w:spacing w:after="0" w:line="568" w:lineRule="auto"/>
        <w:jc w:val="left"/>
        <w:sectPr>
          <w:pgSz w:w="11910" w:h="16840"/>
          <w:pgMar w:header="877" w:footer="982" w:top="1100" w:bottom="1180" w:left="980" w:right="920"/>
        </w:sectPr>
      </w:pPr>
    </w:p>
    <w:p>
      <w:pPr>
        <w:spacing w:line="240" w:lineRule="auto" w:before="8"/>
        <w:rPr>
          <w:rFonts w:ascii="宋体" w:hAnsi="宋体" w:cs="宋体" w:eastAsia="宋体" w:hint="default"/>
          <w:b/>
          <w:bCs/>
          <w:sz w:val="26"/>
          <w:szCs w:val="26"/>
        </w:rPr>
      </w:pPr>
    </w:p>
    <w:p>
      <w:pPr>
        <w:pStyle w:val="BodyText"/>
        <w:spacing w:line="408" w:lineRule="auto" w:before="35"/>
        <w:ind w:right="150" w:firstLine="420"/>
        <w:jc w:val="both"/>
      </w:pPr>
      <w:r>
        <w:rPr>
          <w:spacing w:val="-1"/>
        </w:rPr>
        <w:t>一方控制、共同控制另一方或对另一方施加重大影响，以及两方或两方以上同受一方控制、共同控制</w:t>
      </w:r>
      <w:r>
        <w:rPr/>
        <w:t> </w:t>
      </w:r>
      <w:r>
        <w:rPr>
          <w:spacing w:val="-1"/>
        </w:rPr>
        <w:t>的，构成关联方。关联方可为个人或企业。仅仅同受国家控制而不存在其他关联方关系的企业，不构成本</w:t>
      </w:r>
      <w:r>
        <w:rPr>
          <w:spacing w:val="-82"/>
        </w:rPr>
        <w:t> </w:t>
      </w:r>
      <w:r>
        <w:rPr>
          <w:spacing w:val="-82"/>
        </w:rPr>
      </w:r>
      <w:r>
        <w:rPr/>
        <w:t>公司的关联方。</w:t>
      </w:r>
    </w:p>
    <w:p>
      <w:pPr>
        <w:pStyle w:val="BodyText"/>
        <w:spacing w:line="240" w:lineRule="auto"/>
        <w:ind w:left="1003" w:right="0"/>
        <w:jc w:val="left"/>
      </w:pPr>
      <w:r>
        <w:rPr/>
        <w:t>本公司的关联方包括但不限于：</w:t>
      </w:r>
    </w:p>
    <w:p>
      <w:pPr>
        <w:spacing w:line="240" w:lineRule="auto" w:before="10"/>
        <w:rPr>
          <w:rFonts w:ascii="宋体" w:hAnsi="宋体" w:cs="宋体" w:eastAsia="宋体" w:hint="default"/>
          <w:sz w:val="14"/>
          <w:szCs w:val="14"/>
        </w:rPr>
      </w:pPr>
    </w:p>
    <w:p>
      <w:pPr>
        <w:pStyle w:val="BodyText"/>
        <w:spacing w:line="240" w:lineRule="auto" w:before="0"/>
        <w:ind w:left="1003" w:right="0"/>
        <w:jc w:val="left"/>
      </w:pPr>
      <w:r>
        <w:rPr/>
        <w:t>（</w:t>
      </w:r>
      <w:r>
        <w:rPr>
          <w:rFonts w:ascii="Times New Roman" w:hAnsi="Times New Roman" w:cs="Times New Roman" w:eastAsia="Times New Roman" w:hint="default"/>
        </w:rPr>
        <w:t>1</w:t>
      </w:r>
      <w:r>
        <w:rPr/>
        <w:t>）本公司的母公司；</w:t>
      </w:r>
    </w:p>
    <w:p>
      <w:pPr>
        <w:pStyle w:val="BodyText"/>
        <w:spacing w:line="240" w:lineRule="auto" w:before="177"/>
        <w:ind w:left="1003" w:right="0"/>
        <w:jc w:val="left"/>
      </w:pPr>
      <w:r>
        <w:rPr/>
        <w:t>（</w:t>
      </w:r>
      <w:r>
        <w:rPr>
          <w:rFonts w:ascii="Times New Roman" w:hAnsi="Times New Roman" w:cs="Times New Roman" w:eastAsia="Times New Roman" w:hint="default"/>
        </w:rPr>
        <w:t>2</w:t>
      </w:r>
      <w:r>
        <w:rPr/>
        <w:t>）本公司的子公司；</w:t>
      </w:r>
    </w:p>
    <w:p>
      <w:pPr>
        <w:pStyle w:val="BodyText"/>
        <w:spacing w:line="240" w:lineRule="auto" w:before="177"/>
        <w:ind w:left="1003" w:right="0"/>
        <w:jc w:val="left"/>
      </w:pPr>
      <w:r>
        <w:rPr/>
        <w:t>（</w:t>
      </w:r>
      <w:r>
        <w:rPr>
          <w:rFonts w:ascii="Times New Roman" w:hAnsi="Times New Roman" w:cs="Times New Roman" w:eastAsia="Times New Roman" w:hint="default"/>
        </w:rPr>
        <w:t>3</w:t>
      </w:r>
      <w:r>
        <w:rPr/>
        <w:t>）与本公司受同一母公司控制的其他企业；</w:t>
      </w:r>
    </w:p>
    <w:p>
      <w:pPr>
        <w:pStyle w:val="BodyText"/>
        <w:spacing w:line="240" w:lineRule="auto" w:before="177"/>
        <w:ind w:left="1003" w:right="0"/>
        <w:jc w:val="left"/>
      </w:pPr>
      <w:r>
        <w:rPr/>
        <w:t>（</w:t>
      </w:r>
      <w:r>
        <w:rPr>
          <w:rFonts w:ascii="Times New Roman" w:hAnsi="Times New Roman" w:cs="Times New Roman" w:eastAsia="Times New Roman" w:hint="default"/>
        </w:rPr>
        <w:t>4</w:t>
      </w:r>
      <w:r>
        <w:rPr/>
        <w:t>）对本公司实施共同控制的投资方；</w:t>
      </w:r>
    </w:p>
    <w:p>
      <w:pPr>
        <w:pStyle w:val="BodyText"/>
        <w:spacing w:line="240" w:lineRule="auto" w:before="177"/>
        <w:ind w:left="1003" w:right="0"/>
        <w:jc w:val="left"/>
      </w:pPr>
      <w:r>
        <w:rPr/>
        <w:t>（</w:t>
      </w:r>
      <w:r>
        <w:rPr>
          <w:rFonts w:ascii="Times New Roman" w:hAnsi="Times New Roman" w:cs="Times New Roman" w:eastAsia="Times New Roman" w:hint="default"/>
        </w:rPr>
        <w:t>5</w:t>
      </w:r>
      <w:r>
        <w:rPr/>
        <w:t>）对本公司施加重大影响的投资方；</w:t>
      </w:r>
    </w:p>
    <w:p>
      <w:pPr>
        <w:pStyle w:val="BodyText"/>
        <w:spacing w:line="240" w:lineRule="auto" w:before="177"/>
        <w:ind w:left="1003" w:right="0"/>
        <w:jc w:val="left"/>
      </w:pPr>
      <w:r>
        <w:rPr/>
        <w:t>（</w:t>
      </w:r>
      <w:r>
        <w:rPr>
          <w:rFonts w:ascii="Times New Roman" w:hAnsi="Times New Roman" w:cs="Times New Roman" w:eastAsia="Times New Roman" w:hint="default"/>
        </w:rPr>
        <w:t>6</w:t>
      </w:r>
      <w:r>
        <w:rPr/>
        <w:t>）本公司的合营企业，包括合营企业的子公司；</w:t>
      </w:r>
    </w:p>
    <w:p>
      <w:pPr>
        <w:pStyle w:val="BodyText"/>
        <w:spacing w:line="240" w:lineRule="auto" w:before="177"/>
        <w:ind w:left="1003" w:right="0"/>
        <w:jc w:val="left"/>
      </w:pPr>
      <w:r>
        <w:rPr/>
        <w:t>（</w:t>
      </w:r>
      <w:r>
        <w:rPr>
          <w:rFonts w:ascii="Times New Roman" w:hAnsi="Times New Roman" w:cs="Times New Roman" w:eastAsia="Times New Roman" w:hint="default"/>
        </w:rPr>
        <w:t>7</w:t>
      </w:r>
      <w:r>
        <w:rPr/>
        <w:t>）本公司的联营企业，包括联营企业的子公司；</w:t>
      </w:r>
    </w:p>
    <w:p>
      <w:pPr>
        <w:pStyle w:val="BodyText"/>
        <w:spacing w:line="240" w:lineRule="auto" w:before="177"/>
        <w:ind w:left="1003" w:right="0"/>
        <w:jc w:val="left"/>
      </w:pPr>
      <w:r>
        <w:rPr/>
        <w:t>（</w:t>
      </w:r>
      <w:r>
        <w:rPr>
          <w:rFonts w:ascii="Times New Roman" w:hAnsi="Times New Roman" w:cs="Times New Roman" w:eastAsia="Times New Roman" w:hint="default"/>
        </w:rPr>
        <w:t>8</w:t>
      </w:r>
      <w:r>
        <w:rPr/>
        <w:t>）本公司的主要投资者个人及与其关系密切的家庭成员；</w:t>
      </w:r>
    </w:p>
    <w:p>
      <w:pPr>
        <w:pStyle w:val="BodyText"/>
        <w:spacing w:line="240" w:lineRule="auto" w:before="177"/>
        <w:ind w:left="1003" w:right="0"/>
        <w:jc w:val="left"/>
      </w:pPr>
      <w:r>
        <w:rPr/>
        <w:t>（</w:t>
      </w:r>
      <w:r>
        <w:rPr>
          <w:rFonts w:ascii="Times New Roman" w:hAnsi="Times New Roman" w:cs="Times New Roman" w:eastAsia="Times New Roman" w:hint="default"/>
        </w:rPr>
        <w:t>9</w:t>
      </w:r>
      <w:r>
        <w:rPr/>
        <w:t>）本公司或其母公司的关键管理人员及与其关系密切的家庭成员；</w:t>
      </w:r>
    </w:p>
    <w:p>
      <w:pPr>
        <w:pStyle w:val="BodyText"/>
        <w:spacing w:line="386" w:lineRule="auto" w:before="177"/>
        <w:ind w:left="1003" w:right="144"/>
        <w:jc w:val="left"/>
      </w:pPr>
      <w:r>
        <w:rPr>
          <w:spacing w:val="-1"/>
        </w:rPr>
        <w:t>（</w:t>
      </w:r>
      <w:r>
        <w:rPr>
          <w:rFonts w:ascii="Times New Roman" w:hAnsi="Times New Roman" w:cs="Times New Roman" w:eastAsia="Times New Roman" w:hint="default"/>
          <w:spacing w:val="-1"/>
        </w:rPr>
        <w:t>10</w:t>
      </w:r>
      <w:r>
        <w:rPr>
          <w:spacing w:val="-1"/>
        </w:rPr>
        <w:t>）本公司的主要投资者个人、关键管理人员或与其关系密切的家庭成员控制、共同控制的其</w:t>
      </w:r>
      <w:r>
        <w:rPr>
          <w:spacing w:val="-97"/>
        </w:rPr>
        <w:t> </w:t>
      </w:r>
      <w:r>
        <w:rPr>
          <w:spacing w:val="-97"/>
        </w:rPr>
      </w:r>
      <w:r>
        <w:rPr/>
        <w:t>他企业。</w:t>
      </w:r>
    </w:p>
    <w:p>
      <w:pPr>
        <w:spacing w:line="240" w:lineRule="auto" w:before="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30</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line="487" w:lineRule="auto" w:before="0"/>
        <w:ind w:left="154" w:right="798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6"/>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8" w:hRule="exact"/>
        </w:trPr>
        <w:tc>
          <w:tcPr>
            <w:tcW w:w="3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71"/>
              <w:ind w:left="22" w:right="95"/>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w:t>
            </w:r>
          </w:p>
        </w:tc>
        <w:tc>
          <w:tcPr>
            <w:tcW w:w="3190" w:type="dxa"/>
            <w:vMerge w:val="restart"/>
            <w:tcBorders>
              <w:top w:val="single" w:sz="4" w:space="0" w:color="000000"/>
              <w:left w:val="single" w:sz="4" w:space="0" w:color="000000"/>
              <w:right w:val="single" w:sz="4" w:space="0" w:color="000000"/>
            </w:tcBorders>
          </w:tcPr>
          <w:p>
            <w:pPr>
              <w:pStyle w:val="TableParagraph"/>
              <w:spacing w:line="309" w:lineRule="auto" w:before="52"/>
              <w:ind w:left="22" w:right="20"/>
              <w:jc w:val="left"/>
              <w:rPr>
                <w:rFonts w:ascii="宋体" w:hAnsi="宋体" w:cs="宋体" w:eastAsia="宋体" w:hint="default"/>
                <w:sz w:val="18"/>
                <w:szCs w:val="18"/>
              </w:rPr>
            </w:pPr>
            <w:r>
              <w:rPr>
                <w:rFonts w:ascii="宋体" w:hAnsi="宋体" w:cs="宋体" w:eastAsia="宋体" w:hint="default"/>
                <w:spacing w:val="-7"/>
                <w:sz w:val="18"/>
                <w:szCs w:val="18"/>
              </w:rPr>
              <w:t>本部及子公司（</w:t>
            </w:r>
            <w:r>
              <w:rPr>
                <w:rFonts w:ascii="Times New Roman" w:hAnsi="Times New Roman" w:cs="Times New Roman" w:eastAsia="Times New Roman" w:hint="default"/>
                <w:spacing w:val="-7"/>
                <w:sz w:val="18"/>
                <w:szCs w:val="18"/>
              </w:rPr>
              <w:t>6%</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17%</w:t>
            </w:r>
            <w:r>
              <w:rPr>
                <w:rFonts w:ascii="宋体" w:hAnsi="宋体" w:cs="宋体" w:eastAsia="宋体" w:hint="default"/>
                <w:spacing w:val="-7"/>
                <w:sz w:val="18"/>
                <w:szCs w:val="18"/>
              </w:rPr>
              <w:t>）、北京分公司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及上海分公司、成都分公司及石家庄分 </w:t>
            </w:r>
            <w:r>
              <w:rPr>
                <w:rFonts w:ascii="宋体" w:hAnsi="宋体" w:cs="宋体" w:eastAsia="宋体" w:hint="default"/>
                <w:spacing w:val="-6"/>
                <w:sz w:val="18"/>
                <w:szCs w:val="18"/>
              </w:rPr>
              <w:t>公司（</w:t>
            </w:r>
            <w:r>
              <w:rPr>
                <w:rFonts w:ascii="Times New Roman" w:hAnsi="Times New Roman" w:cs="Times New Roman" w:eastAsia="Times New Roman" w:hint="default"/>
                <w:spacing w:val="-6"/>
                <w:sz w:val="18"/>
                <w:szCs w:val="18"/>
              </w:rPr>
              <w:t>17%</w:t>
            </w:r>
            <w:r>
              <w:rPr>
                <w:rFonts w:ascii="宋体" w:hAnsi="宋体" w:cs="宋体" w:eastAsia="宋体" w:hint="default"/>
                <w:spacing w:val="-6"/>
                <w:sz w:val="18"/>
                <w:szCs w:val="18"/>
              </w:rPr>
              <w:t>）、广州分公司（</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318" w:hRule="exact"/>
        </w:trPr>
        <w:tc>
          <w:tcPr>
            <w:tcW w:w="3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36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交增值税</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按应税营业收入计征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 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、福建新开普（</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 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 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新开普电子股份有限公司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北京迪科远望科技有限公司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上海树维信息科技有限公司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福建新开普信息科技有限公司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30"/>
          <w:szCs w:val="30"/>
        </w:rPr>
      </w:pPr>
    </w:p>
    <w:p>
      <w:pPr>
        <w:pStyle w:val="BodyText"/>
        <w:spacing w:line="386" w:lineRule="auto" w:before="0"/>
        <w:ind w:left="153" w:right="149" w:firstLine="420"/>
        <w:jc w:val="both"/>
      </w:pPr>
      <w:r>
        <w:rPr/>
        <w:t>根据《鼓励软件产业和集成电路产业发展的若干政策》（国发</w:t>
      </w:r>
      <w:r>
        <w:rPr>
          <w:rFonts w:ascii="Times New Roman" w:hAnsi="Times New Roman" w:cs="Times New Roman" w:eastAsia="Times New Roman" w:hint="default"/>
        </w:rPr>
        <w:t>[2000]18</w:t>
      </w:r>
      <w:r>
        <w:rPr>
          <w:rFonts w:ascii="Times New Roman" w:hAnsi="Times New Roman" w:cs="Times New Roman" w:eastAsia="Times New Roman" w:hint="default"/>
          <w:spacing w:val="26"/>
        </w:rPr>
        <w:t> </w:t>
      </w:r>
      <w:r>
        <w:rPr/>
        <w:t>号）的规定：</w:t>
      </w:r>
      <w:r>
        <w:rPr>
          <w:rFonts w:ascii="Times New Roman" w:hAnsi="Times New Roman" w:cs="Times New Roman" w:eastAsia="Times New Roman" w:hint="default"/>
        </w:rPr>
        <w:t>“</w:t>
      </w:r>
      <w:r>
        <w:rPr/>
        <w:t>对增值税一般 纳税人销售其自行开发生产的软件产品，</w:t>
      </w:r>
      <w:r>
        <w:rPr>
          <w:rFonts w:ascii="Times New Roman" w:hAnsi="Times New Roman" w:cs="Times New Roman" w:eastAsia="Times New Roman" w:hint="default"/>
        </w:rPr>
        <w:t>2010 </w:t>
      </w:r>
      <w:r>
        <w:rPr/>
        <w:t>年底前按</w:t>
      </w:r>
      <w:r>
        <w:rPr>
          <w:rFonts w:ascii="Times New Roman" w:hAnsi="Times New Roman" w:cs="Times New Roman" w:eastAsia="Times New Roman" w:hint="default"/>
        </w:rPr>
        <w:t>17%</w:t>
      </w:r>
      <w:r>
        <w:rPr/>
        <w:t>的法定税率征收增值税，对实际税负超过</w:t>
      </w:r>
      <w:r>
        <w:rPr>
          <w:rFonts w:ascii="Times New Roman" w:hAnsi="Times New Roman" w:cs="Times New Roman" w:eastAsia="Times New Roman" w:hint="default"/>
        </w:rPr>
        <w:t>3%</w:t>
      </w:r>
      <w:r>
        <w:rPr>
          <w:rFonts w:ascii="Times New Roman" w:hAnsi="Times New Roman" w:cs="Times New Roman" w:eastAsia="Times New Roman" w:hint="default"/>
          <w:spacing w:val="-20"/>
        </w:rPr>
        <w:t> </w:t>
      </w:r>
      <w:r>
        <w:rPr/>
        <w:t>的部分即征即退，由企业用于研究开发软件产品和扩大再生产。</w:t>
      </w:r>
    </w:p>
    <w:p>
      <w:pPr>
        <w:pStyle w:val="BodyText"/>
        <w:spacing w:line="386" w:lineRule="auto" w:before="65"/>
        <w:ind w:left="153" w:right="150" w:firstLine="420"/>
        <w:jc w:val="both"/>
      </w:pPr>
      <w:r>
        <w:rPr/>
        <w:t>国务院办公厅</w:t>
      </w:r>
      <w:r>
        <w:rPr>
          <w:rFonts w:ascii="Times New Roman" w:hAnsi="Times New Roman" w:cs="Times New Roman" w:eastAsia="Times New Roman" w:hint="default"/>
        </w:rPr>
        <w:t>2009 </w:t>
      </w:r>
      <w:r>
        <w:rPr/>
        <w:t>年</w:t>
      </w:r>
      <w:r>
        <w:rPr>
          <w:rFonts w:ascii="Times New Roman" w:hAnsi="Times New Roman" w:cs="Times New Roman" w:eastAsia="Times New Roman" w:hint="default"/>
        </w:rPr>
        <w:t>4</w:t>
      </w:r>
      <w:r>
        <w:rPr>
          <w:rFonts w:ascii="Times New Roman" w:hAnsi="Times New Roman" w:cs="Times New Roman" w:eastAsia="Times New Roman" w:hint="default"/>
          <w:spacing w:val="32"/>
        </w:rPr>
        <w:t> </w:t>
      </w:r>
      <w:r>
        <w:rPr/>
        <w:t>月发布的《电子信息产业调整和振兴规划》中明确规定：</w:t>
      </w:r>
      <w:r>
        <w:rPr>
          <w:rFonts w:ascii="Times New Roman" w:hAnsi="Times New Roman" w:cs="Times New Roman" w:eastAsia="Times New Roman" w:hint="default"/>
        </w:rPr>
        <w:t>“</w:t>
      </w:r>
      <w:r>
        <w:rPr/>
        <w:t>继续实施《国务院 关于印发鼓励软件产业和集成电路产业发展若干政策的通知》（国发</w:t>
      </w:r>
      <w:r>
        <w:rPr>
          <w:rFonts w:ascii="Times New Roman" w:hAnsi="Times New Roman" w:cs="Times New Roman" w:eastAsia="Times New Roman" w:hint="default"/>
        </w:rPr>
        <w:t>[2000]18</w:t>
      </w:r>
      <w:r>
        <w:rPr>
          <w:rFonts w:ascii="Times New Roman" w:hAnsi="Times New Roman" w:cs="Times New Roman" w:eastAsia="Times New Roman" w:hint="default"/>
          <w:spacing w:val="-5"/>
        </w:rPr>
        <w:t> </w:t>
      </w:r>
      <w:r>
        <w:rPr/>
        <w:t>号）明确的政策，抓紧研究 </w:t>
      </w:r>
      <w:r>
        <w:rPr>
          <w:spacing w:val="-1"/>
        </w:rPr>
        <w:t>进一步支持软件产业和集成电路产业发展的政策措施</w:t>
      </w:r>
      <w:r>
        <w:rPr>
          <w:rFonts w:ascii="Times New Roman" w:hAnsi="Times New Roman" w:cs="Times New Roman" w:eastAsia="Times New Roman" w:hint="default"/>
          <w:spacing w:val="-1"/>
        </w:rPr>
        <w:t>”</w:t>
      </w:r>
      <w:r>
        <w:rPr>
          <w:spacing w:val="-1"/>
        </w:rPr>
        <w:t>。国务院办公厅</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28</w:t>
      </w:r>
      <w:r>
        <w:rPr>
          <w:spacing w:val="-1"/>
        </w:rPr>
        <w:t>日又发布了《国务院关</w:t>
      </w:r>
      <w:r>
        <w:rPr>
          <w:spacing w:val="-72"/>
        </w:rPr>
        <w:t> </w:t>
      </w:r>
      <w:r>
        <w:rPr>
          <w:spacing w:val="-72"/>
        </w:rPr>
      </w:r>
      <w:r>
        <w:rPr>
          <w:spacing w:val="-2"/>
        </w:rPr>
        <w:t>于印发进一步鼓励软件产业和集成电路产业发展若干政策的通知》（国发</w:t>
      </w:r>
      <w:r>
        <w:rPr>
          <w:rFonts w:ascii="Times New Roman" w:hAnsi="Times New Roman" w:cs="Times New Roman" w:eastAsia="Times New Roman" w:hint="default"/>
          <w:spacing w:val="-2"/>
        </w:rPr>
        <w:t>[2011]4</w:t>
      </w:r>
      <w:r>
        <w:rPr>
          <w:spacing w:val="-2"/>
        </w:rPr>
        <w:t>号），继续实施软件增值</w:t>
      </w:r>
      <w:r>
        <w:rPr>
          <w:spacing w:val="-68"/>
        </w:rPr>
        <w:t> </w:t>
      </w:r>
      <w:r>
        <w:rPr>
          <w:spacing w:val="-68"/>
        </w:rPr>
      </w:r>
      <w:r>
        <w:rPr/>
        <w:t>税优惠政策。</w:t>
      </w:r>
    </w:p>
    <w:p>
      <w:pPr>
        <w:pStyle w:val="BodyText"/>
        <w:spacing w:line="398" w:lineRule="auto" w:before="65"/>
        <w:ind w:left="153" w:right="150" w:firstLine="420"/>
        <w:jc w:val="both"/>
      </w:pPr>
      <w:r>
        <w:rPr/>
        <w:t>根据《关于软件产品增值税政策的通知》（财税</w:t>
      </w:r>
      <w:r>
        <w:rPr>
          <w:spacing w:val="18"/>
        </w:rPr>
        <w:t> </w:t>
      </w:r>
      <w:r>
        <w:rPr>
          <w:rFonts w:ascii="Times New Roman" w:hAnsi="Times New Roman" w:cs="Times New Roman" w:eastAsia="Times New Roman" w:hint="default"/>
        </w:rPr>
        <w:t>[2011]100</w:t>
      </w:r>
      <w:r>
        <w:rPr/>
        <w:t>号）规定：增值税一般纳税人销售自行开 </w:t>
      </w:r>
      <w:r>
        <w:rPr>
          <w:spacing w:val="-2"/>
        </w:rPr>
        <w:t>发生产的软件产品，按</w:t>
      </w:r>
      <w:r>
        <w:rPr>
          <w:rFonts w:ascii="Times New Roman" w:hAnsi="Times New Roman" w:cs="Times New Roman" w:eastAsia="Times New Roman" w:hint="default"/>
          <w:spacing w:val="-2"/>
        </w:rPr>
        <w:t>17%</w:t>
      </w:r>
      <w:r>
        <w:rPr>
          <w:spacing w:val="-2"/>
        </w:rPr>
        <w:t>税率征收增值税后，对其增值税实际税负超过</w:t>
      </w:r>
      <w:r>
        <w:rPr>
          <w:rFonts w:ascii="Times New Roman" w:hAnsi="Times New Roman" w:cs="Times New Roman" w:eastAsia="Times New Roman" w:hint="default"/>
          <w:spacing w:val="-2"/>
        </w:rPr>
        <w:t>3%</w:t>
      </w:r>
      <w:r>
        <w:rPr>
          <w:spacing w:val="-2"/>
        </w:rPr>
        <w:t>的部分实行即征即退政策；对</w:t>
      </w:r>
      <w:r>
        <w:rPr>
          <w:spacing w:val="-73"/>
        </w:rPr>
        <w:t> </w:t>
      </w:r>
      <w:r>
        <w:rPr>
          <w:spacing w:val="-73"/>
        </w:rPr>
      </w:r>
      <w:r>
        <w:rPr>
          <w:spacing w:val="-1"/>
        </w:rPr>
        <w:t>增值税一般纳税人随同计算机硬件、机器设备一并销售嵌入式软件产品，如果按组成计税价格计算确定计</w:t>
      </w:r>
      <w:r>
        <w:rPr>
          <w:spacing w:val="-81"/>
        </w:rPr>
        <w:t> </w:t>
      </w:r>
      <w:r>
        <w:rPr>
          <w:spacing w:val="-81"/>
        </w:rPr>
      </w:r>
      <w:r>
        <w:rPr>
          <w:spacing w:val="-1"/>
        </w:rPr>
        <w:t>算机硬件、机器设备销售额的，应当分别核算嵌入式软件产品与计算机硬件、机器设备部分的成本，凡未</w:t>
      </w:r>
      <w:r>
        <w:rPr>
          <w:spacing w:val="-82"/>
        </w:rPr>
        <w:t> </w:t>
      </w:r>
      <w:r>
        <w:rPr>
          <w:spacing w:val="-82"/>
        </w:rPr>
      </w:r>
      <w:r>
        <w:rPr/>
        <w:t>分别核算或核算不清的，不得享通知规定的增值税政策。</w:t>
      </w:r>
    </w:p>
    <w:p>
      <w:pPr>
        <w:pStyle w:val="BodyText"/>
        <w:spacing w:line="240" w:lineRule="auto" w:before="54"/>
        <w:ind w:left="573" w:right="0"/>
        <w:jc w:val="left"/>
      </w:pPr>
      <w:r>
        <w:rPr/>
        <w:t>根据《中华人民共和国企业所得税法》规定：国家需要重点扶持的高新技术企业，按</w:t>
      </w:r>
      <w:r>
        <w:rPr>
          <w:rFonts w:ascii="Times New Roman" w:hAnsi="Times New Roman" w:cs="Times New Roman" w:eastAsia="Times New Roman" w:hint="default"/>
        </w:rPr>
        <w:t>15%</w:t>
      </w:r>
      <w:r>
        <w:rPr/>
        <w:t>的税率征收</w:t>
      </w:r>
    </w:p>
    <w:p>
      <w:pPr>
        <w:spacing w:after="0" w:line="240"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391" w:lineRule="auto" w:before="35"/>
        <w:ind w:left="153" w:right="95"/>
        <w:jc w:val="left"/>
      </w:pPr>
      <w:r>
        <w:rPr/>
        <w:t>企业所得税。根据《高新技术企业认定管理办法》（国科发火</w:t>
      </w:r>
      <w:r>
        <w:rPr>
          <w:rFonts w:ascii="Times New Roman" w:hAnsi="Times New Roman" w:cs="Times New Roman" w:eastAsia="Times New Roman" w:hint="default"/>
        </w:rPr>
        <w:t>[2008]172</w:t>
      </w:r>
      <w:r>
        <w:rPr/>
        <w:t>号）、《高新技术企业认定管理工 </w:t>
      </w:r>
      <w:r>
        <w:rPr>
          <w:spacing w:val="-4"/>
        </w:rPr>
        <w:t>作指引》（国科发火</w:t>
      </w:r>
      <w:r>
        <w:rPr>
          <w:rFonts w:ascii="Times New Roman" w:hAnsi="Times New Roman" w:cs="Times New Roman" w:eastAsia="Times New Roman" w:hint="default"/>
          <w:spacing w:val="-4"/>
        </w:rPr>
        <w:t>[2008]362</w:t>
      </w:r>
      <w:r>
        <w:rPr>
          <w:spacing w:val="-4"/>
        </w:rPr>
        <w:t>号）和《河南省高新技术企业认定管理实施细则》（豫科</w:t>
      </w:r>
      <w:r>
        <w:rPr>
          <w:rFonts w:ascii="Times New Roman" w:hAnsi="Times New Roman" w:cs="Times New Roman" w:eastAsia="Times New Roman" w:hint="default"/>
          <w:spacing w:val="-4"/>
        </w:rPr>
        <w:t>[2008]115</w:t>
      </w:r>
      <w:r>
        <w:rPr>
          <w:spacing w:val="-4"/>
        </w:rPr>
        <w:t>号）规定，</w:t>
      </w:r>
      <w:r>
        <w:rPr>
          <w:spacing w:val="-87"/>
        </w:rPr>
        <w:t> </w:t>
      </w:r>
      <w:r>
        <w:rPr>
          <w:spacing w:val="-87"/>
        </w:rPr>
      </w:r>
      <w:r>
        <w:rPr/>
        <w:t>经企业申报、地方初审、省高新技术企业认定工作领导小组组织专家评审以及省科技厅、省财政厅、省国</w:t>
      </w:r>
      <w:r>
        <w:rPr/>
        <w:t> 税局、省地税局会商等程序，</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日，河南省高新技术企业认定管理工作领导小组《关于公示河 南省</w:t>
      </w:r>
      <w:r>
        <w:rPr>
          <w:rFonts w:ascii="Times New Roman" w:hAnsi="Times New Roman" w:cs="Times New Roman" w:eastAsia="Times New Roman" w:hint="default"/>
        </w:rPr>
        <w:t>2014</w:t>
      </w:r>
      <w:r>
        <w:rPr/>
        <w:t>年度第二批拟认定高新技术企业名单的通知》（豫高企</w:t>
      </w:r>
      <w:r>
        <w:rPr>
          <w:rFonts w:ascii="Times New Roman" w:hAnsi="Times New Roman" w:cs="Times New Roman" w:eastAsia="Times New Roman" w:hint="default"/>
        </w:rPr>
        <w:t>[2014]16</w:t>
      </w:r>
      <w:r>
        <w:rPr/>
        <w:t>号），新开普电子股份有限公司</w:t>
      </w:r>
      <w:r>
        <w:rPr>
          <w:spacing w:val="-71"/>
        </w:rPr>
        <w:t> </w:t>
      </w:r>
      <w:r>
        <w:rPr>
          <w:spacing w:val="-71"/>
        </w:rPr>
      </w:r>
      <w:r>
        <w:rPr/>
        <w:t>为第二批拟认定高新技术企业，公司</w:t>
      </w:r>
      <w:r>
        <w:rPr>
          <w:rFonts w:ascii="Times New Roman" w:hAnsi="Times New Roman" w:cs="Times New Roman" w:eastAsia="Times New Roman" w:hint="default"/>
        </w:rPr>
        <w:t>2015</w:t>
      </w:r>
      <w:r>
        <w:rPr/>
        <w:t>年已办理《高新技术企业批准证书》，本年度按</w:t>
      </w:r>
      <w:r>
        <w:rPr>
          <w:rFonts w:ascii="Times New Roman" w:hAnsi="Times New Roman" w:cs="Times New Roman" w:eastAsia="Times New Roman" w:hint="default"/>
        </w:rPr>
        <w:t>15%</w:t>
      </w:r>
      <w:r>
        <w:rPr/>
        <w:t>税率征收企</w:t>
      </w:r>
      <w:r>
        <w:rPr>
          <w:spacing w:val="-100"/>
        </w:rPr>
        <w:t> </w:t>
      </w:r>
      <w:r>
        <w:rPr>
          <w:spacing w:val="-100"/>
        </w:rPr>
      </w:r>
      <w:r>
        <w:rPr/>
        <w:t>业所得税。</w:t>
      </w:r>
    </w:p>
    <w:p>
      <w:pPr>
        <w:pStyle w:val="BodyText"/>
        <w:spacing w:line="386" w:lineRule="auto" w:before="61"/>
        <w:ind w:left="153" w:right="207" w:firstLine="420"/>
        <w:jc w:val="both"/>
      </w:pPr>
      <w:r>
        <w:rPr/>
        <w:t>公司全资子公司北京迪科远望科技有限公司于</w:t>
      </w:r>
      <w:r>
        <w:rPr>
          <w:rFonts w:ascii="Times New Roman" w:hAnsi="Times New Roman" w:cs="Times New Roman" w:eastAsia="Times New Roman" w:hint="default"/>
        </w:rPr>
        <w:t>2014</w:t>
      </w:r>
      <w:r>
        <w:rPr>
          <w:rFonts w:ascii="Times New Roman" w:hAnsi="Times New Roman" w:cs="Times New Roman" w:eastAsia="Times New Roman" w:hint="default"/>
          <w:spacing w:val="45"/>
        </w:rPr>
        <w:t> </w:t>
      </w:r>
      <w:r>
        <w:rPr/>
        <w:t>年被北京市科学技术委员会、北京市财政局、北 京市国家税务局、北京市地方税务局认定为高新技术企业，已经京科发</w:t>
      </w:r>
      <w:r>
        <w:rPr>
          <w:rFonts w:ascii="Times New Roman" w:hAnsi="Times New Roman" w:cs="Times New Roman" w:eastAsia="Times New Roman" w:hint="default"/>
        </w:rPr>
        <w:t>(2014)551 </w:t>
      </w:r>
      <w:r>
        <w:rPr/>
        <w:t>号文件公示，</w:t>
      </w:r>
      <w:r>
        <w:rPr>
          <w:rFonts w:ascii="Times New Roman" w:hAnsi="Times New Roman" w:cs="Times New Roman" w:eastAsia="Times New Roman" w:hint="default"/>
        </w:rPr>
        <w:t>2015</w:t>
      </w:r>
      <w:r>
        <w:rPr/>
        <w:t>年度</w:t>
      </w:r>
      <w:r>
        <w:rPr>
          <w:spacing w:val="-73"/>
        </w:rPr>
        <w:t> </w:t>
      </w:r>
      <w:r>
        <w:rPr/>
        <w:t>按</w:t>
      </w:r>
      <w:r>
        <w:rPr>
          <w:rFonts w:ascii="Times New Roman" w:hAnsi="Times New Roman" w:cs="Times New Roman" w:eastAsia="Times New Roman" w:hint="default"/>
        </w:rPr>
        <w:t>15%</w:t>
      </w:r>
      <w:r>
        <w:rPr/>
        <w:t>税率征收企业所得税。</w:t>
      </w:r>
    </w:p>
    <w:p>
      <w:pPr>
        <w:pStyle w:val="BodyText"/>
        <w:spacing w:line="240" w:lineRule="auto" w:before="35"/>
        <w:ind w:left="0" w:right="188"/>
        <w:jc w:val="right"/>
      </w:pPr>
      <w:r>
        <w:rPr/>
        <w:t>根据财政部、国家税务总局《关于进一步鼓励软件产业和集成电路产业发展企业所得税政策的通知》</w:t>
      </w:r>
    </w:p>
    <w:p>
      <w:pPr>
        <w:spacing w:line="240" w:lineRule="auto" w:before="10"/>
        <w:rPr>
          <w:rFonts w:ascii="宋体" w:hAnsi="宋体" w:cs="宋体" w:eastAsia="宋体" w:hint="default"/>
          <w:sz w:val="14"/>
          <w:szCs w:val="14"/>
        </w:rPr>
      </w:pPr>
    </w:p>
    <w:p>
      <w:pPr>
        <w:pStyle w:val="BodyText"/>
        <w:spacing w:line="386" w:lineRule="auto" w:before="0"/>
        <w:ind w:left="153" w:right="95"/>
        <w:jc w:val="left"/>
      </w:pPr>
      <w:r>
        <w:rPr/>
        <w:t>（财税</w:t>
      </w:r>
      <w:r>
        <w:rPr>
          <w:rFonts w:ascii="Times New Roman" w:hAnsi="Times New Roman" w:cs="Times New Roman" w:eastAsia="Times New Roman" w:hint="default"/>
        </w:rPr>
        <w:t>[2012]27 </w:t>
      </w:r>
      <w:r>
        <w:rPr/>
        <w:t>号），公司全资子公司上海树维信息科技有限公司自 </w:t>
      </w:r>
      <w:r>
        <w:rPr>
          <w:rFonts w:ascii="Times New Roman" w:hAnsi="Times New Roman" w:cs="Times New Roman" w:eastAsia="Times New Roman" w:hint="default"/>
        </w:rPr>
        <w:t>2012 </w:t>
      </w:r>
      <w:r>
        <w:rPr/>
        <w:t>年起至 </w:t>
      </w:r>
      <w:r>
        <w:rPr>
          <w:rFonts w:ascii="Times New Roman" w:hAnsi="Times New Roman" w:cs="Times New Roman" w:eastAsia="Times New Roman" w:hint="default"/>
        </w:rPr>
        <w:t>2013</w:t>
      </w:r>
      <w:r>
        <w:rPr>
          <w:rFonts w:ascii="Times New Roman" w:hAnsi="Times New Roman" w:cs="Times New Roman" w:eastAsia="Times New Roman" w:hint="default"/>
          <w:spacing w:val="-22"/>
        </w:rPr>
        <w:t> </w:t>
      </w:r>
      <w:r>
        <w:rPr/>
        <w:t>年免征企业所得</w:t>
      </w:r>
      <w:r>
        <w:rPr>
          <w:spacing w:val="1"/>
        </w:rPr>
        <w:t> </w:t>
      </w:r>
      <w:r>
        <w:rPr/>
        <w:t>税，自 </w:t>
      </w:r>
      <w:r>
        <w:rPr>
          <w:rFonts w:ascii="Times New Roman" w:hAnsi="Times New Roman" w:cs="Times New Roman" w:eastAsia="Times New Roman" w:hint="default"/>
        </w:rPr>
        <w:t>2014 </w:t>
      </w:r>
      <w:r>
        <w:rPr/>
        <w:t>年至</w:t>
      </w:r>
      <w:r>
        <w:rPr>
          <w:rFonts w:ascii="Times New Roman" w:hAnsi="Times New Roman" w:cs="Times New Roman" w:eastAsia="Times New Roman" w:hint="default"/>
        </w:rPr>
        <w:t>2016 </w:t>
      </w:r>
      <w:r>
        <w:rPr/>
        <w:t>年减半按照</w:t>
      </w:r>
      <w:r>
        <w:rPr>
          <w:spacing w:val="13"/>
        </w:rPr>
        <w:t> </w:t>
      </w:r>
      <w:r>
        <w:rPr>
          <w:rFonts w:ascii="Times New Roman" w:hAnsi="Times New Roman" w:cs="Times New Roman" w:eastAsia="Times New Roman" w:hint="default"/>
        </w:rPr>
        <w:t>12.5%</w:t>
      </w:r>
      <w:r>
        <w:rPr/>
        <w:t>征收企业所得税。</w:t>
      </w:r>
    </w:p>
    <w:p>
      <w:pPr>
        <w:spacing w:line="240" w:lineRule="auto" w:before="10"/>
        <w:rPr>
          <w:rFonts w:ascii="宋体" w:hAnsi="宋体" w:cs="宋体" w:eastAsia="宋体" w:hint="default"/>
          <w:sz w:val="19"/>
          <w:szCs w:val="19"/>
        </w:rPr>
      </w:pPr>
    </w:p>
    <w:p>
      <w:pPr>
        <w:spacing w:line="487" w:lineRule="auto" w:before="0"/>
        <w:ind w:left="154" w:right="6939" w:hanging="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8"/>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861,589.04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69,905.39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181,372,419.29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170,760,617.20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16,429,041.77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928,000.00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198,663,050.10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171,758,522.59</w:t>
            </w:r>
          </w:p>
        </w:tc>
      </w:tr>
    </w:tbl>
    <w:p>
      <w:pPr>
        <w:spacing w:before="51"/>
        <w:ind w:left="154" w:right="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Heading4"/>
        <w:spacing w:line="240" w:lineRule="auto" w:before="89"/>
        <w:ind w:left="566" w:right="95"/>
        <w:jc w:val="left"/>
        <w:rPr>
          <w:b w:val="0"/>
          <w:bCs w:val="0"/>
        </w:rPr>
      </w:pPr>
      <w:r>
        <w:rPr/>
        <w:t>其中受到限制的货币资金明细如下：</w:t>
      </w:r>
      <w:r>
        <w:rPr>
          <w:b w:val="0"/>
          <w:bCs w:val="0"/>
        </w:rPr>
      </w:r>
    </w:p>
    <w:p>
      <w:pPr>
        <w:spacing w:line="240" w:lineRule="auto" w:before="13"/>
        <w:rPr>
          <w:rFonts w:ascii="宋体" w:hAnsi="宋体" w:cs="宋体" w:eastAsia="宋体" w:hint="default"/>
          <w:b/>
          <w:bCs/>
          <w:sz w:val="3"/>
          <w:szCs w:val="3"/>
        </w:rPr>
      </w:pPr>
    </w:p>
    <w:tbl>
      <w:tblPr>
        <w:tblW w:w="0" w:type="auto"/>
        <w:jc w:val="left"/>
        <w:tblInd w:w="1087" w:type="dxa"/>
        <w:tblLayout w:type="fixed"/>
        <w:tblCellMar>
          <w:top w:w="0" w:type="dxa"/>
          <w:left w:w="0" w:type="dxa"/>
          <w:bottom w:w="0" w:type="dxa"/>
          <w:right w:w="0" w:type="dxa"/>
        </w:tblCellMar>
        <w:tblLook w:val="01E0"/>
      </w:tblPr>
      <w:tblGrid>
        <w:gridCol w:w="3665"/>
        <w:gridCol w:w="2045"/>
        <w:gridCol w:w="2046"/>
      </w:tblGrid>
      <w:tr>
        <w:trPr>
          <w:trHeight w:val="34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55"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55"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61"/>
              <w:jc w:val="center"/>
              <w:rPr>
                <w:rFonts w:ascii="宋体" w:hAnsi="宋体" w:cs="宋体" w:eastAsia="宋体" w:hint="default"/>
                <w:sz w:val="18"/>
                <w:szCs w:val="18"/>
              </w:rPr>
            </w:pPr>
            <w:r>
              <w:rPr>
                <w:rFonts w:ascii="宋体" w:hAnsi="宋体" w:cs="宋体" w:eastAsia="宋体" w:hint="default"/>
                <w:sz w:val="18"/>
                <w:szCs w:val="18"/>
              </w:rPr>
              <w:t>保证金</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1,429,041.77</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928,000.00</w:t>
            </w:r>
          </w:p>
        </w:tc>
      </w:tr>
      <w:tr>
        <w:trPr>
          <w:trHeight w:val="34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1,429,041.77</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928,000.00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20"/>
        </w:sectPr>
      </w:pPr>
    </w:p>
    <w:p>
      <w:pPr>
        <w:spacing w:line="240" w:lineRule="auto" w:before="10"/>
        <w:rPr>
          <w:rFonts w:ascii="宋体" w:hAnsi="宋体" w:cs="宋体" w:eastAsia="宋体" w:hint="default"/>
          <w:b/>
          <w:bCs/>
          <w:sz w:val="20"/>
          <w:szCs w:val="20"/>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9,387,343.85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7,050,146.18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9,387,343.85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7,050,146.18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251,333,</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048.83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39,798,4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36.16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15.83%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211,534,6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12.67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168,157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,875.74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25,743,23</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2.15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15.31%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142,414,64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3.59</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251,333,</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048.83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39,798,4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36.16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15.83%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211,534,6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12.67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168,157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,875.74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25,743,23</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2.15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15.31%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142,414,64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3.59</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2"/>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295" w:space="4534"/>
            <w:col w:w="1121"/>
          </w:cols>
        </w:sectPr>
      </w:pPr>
    </w:p>
    <w:p>
      <w:pPr>
        <w:spacing w:line="240" w:lineRule="auto" w:before="8"/>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374;top:14;width:23;height:393" coordorigin="2374,14" coordsize="23,393">
              <v:shape style="position:absolute;left:2374;top:14;width:23;height:393" coordorigin="2374,14" coordsize="23,393" path="m2374,407l2396,407,2396,14,2374,14,2374,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2337;height:393" coordorigin="37,14" coordsize="2337,393">
              <v:shape style="position:absolute;left:37;top:14;width:2337;height:393" coordorigin="37,14" coordsize="2337,393" path="m37,407l2374,407,2374,14,37,14,37,407xe" filled="true" fillcolor="#d3d3d3" stroked="false">
                <v:path arrowok="t"/>
                <v:fill type="solid"/>
              </v:shape>
            </v:group>
            <v:group style="position:absolute;left:2407;top:14;width:23;height:393" coordorigin="2407,14" coordsize="23,393">
              <v:shape style="position:absolute;left:2407;top:14;width:23;height:393" coordorigin="2407,14" coordsize="23,393" path="m2407,407l2430,407,2430,14,2407,14,2407,407xe" filled="true" fillcolor="#d3d3d3"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d3d3d3" stroked="false">
                <v:path arrowok="t"/>
                <v:fill type="solid"/>
              </v:shape>
            </v:group>
            <v:group style="position:absolute;left:2430;top:14;width:7120;height:393" coordorigin="2430,14" coordsize="7120,393">
              <v:shape style="position:absolute;left:2430;top:14;width:7120;height:393" coordorigin="2430,14" coordsize="7120,393" path="m2430,407l9550,407,9550,14,2430,14,2430,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2392;height:2" coordorigin="5,412" coordsize="2392,2">
              <v:shape style="position:absolute;left:5;top:412;width:2392;height:2" coordorigin="5,412" coordsize="2392,0" path="m5,412l2396,412e" filled="false" stroked="true" strokeweight=".48001pt" strokecolor="#000000">
                <v:path arrowok="t"/>
              </v:shape>
            </v:group>
            <v:group style="position:absolute;left:2401;top:14;width:2;height:402" coordorigin="2401,14" coordsize="2,402">
              <v:shape style="position:absolute;left:2401;top:14;width:2;height:402" coordorigin="2401,14" coordsize="0,402" path="m2401,14l2401,416e" filled="false" stroked="true" strokeweight=".48001pt" strokecolor="#000000">
                <v:path arrowok="t"/>
              </v:shape>
            </v:group>
            <v:group style="position:absolute;left:2406;top:412;width:7167;height:2" coordorigin="2406,412" coordsize="7167,2">
              <v:shape style="position:absolute;left:2406;top:412;width:7167;height:2" coordorigin="2406,412" coordsize="7167,0" path="m2406,412l9572,412e" filled="false" stroked="true" strokeweight=".48001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10;top:10;width:2392;height:402" type="#_x0000_t202" filled="false" stroked="false">
                <v:textbox inset="0,0,0,0">
                  <w:txbxContent>
                    <w:p>
                      <w:pPr>
                        <w:spacing w:before="56"/>
                        <w:ind w:left="0" w:right="1" w:firstLine="0"/>
                        <w:jc w:val="center"/>
                        <w:rPr>
                          <w:rFonts w:ascii="宋体" w:hAnsi="宋体" w:cs="宋体" w:eastAsia="宋体" w:hint="default"/>
                          <w:sz w:val="18"/>
                          <w:szCs w:val="18"/>
                        </w:rPr>
                      </w:pPr>
                      <w:r>
                        <w:rPr>
                          <w:rFonts w:ascii="宋体" w:hAnsi="宋体" w:cs="宋体" w:eastAsia="宋体" w:hint="default"/>
                          <w:sz w:val="18"/>
                          <w:szCs w:val="18"/>
                        </w:rPr>
                        <w:t>账龄</w:t>
                      </w:r>
                    </w:p>
                  </w:txbxContent>
                </v:textbox>
                <w10:wrap type="none"/>
              </v:shape>
              <v:shape style="position:absolute;left:5629;top:12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group>
          </v:group>
        </w:pict>
      </w:r>
      <w:r>
        <w:rPr>
          <w:rFonts w:ascii="宋体" w:hAnsi="宋体" w:cs="宋体" w:eastAsia="宋体" w:hint="default"/>
          <w:position w:val="-7"/>
          <w:sz w:val="20"/>
          <w:szCs w:val="20"/>
        </w:rPr>
      </w:r>
    </w:p>
    <w:p>
      <w:pPr>
        <w:spacing w:after="0" w:line="421" w:lineRule="exact"/>
        <w:rPr>
          <w:rFonts w:ascii="宋体" w:hAnsi="宋体" w:cs="宋体" w:eastAsia="宋体" w:hint="default"/>
          <w:sz w:val="20"/>
          <w:szCs w:val="20"/>
        </w:rPr>
        <w:sectPr>
          <w:type w:val="continuous"/>
          <w:pgSz w:w="11910" w:h="16840"/>
          <w:pgMar w:top="106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160,757,488.75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8,037,874.45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160,757,488.75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8,037,874.45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46,951,071.73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4,695,107.17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13,629,631.40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4,088,889.42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29,994,856.95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22,976,565.12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76.60%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14,036,583.67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7,018,291.84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8,719,916.11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8,719,916.11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7,238,357.17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7,238,357.17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251,333,048.83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39,798,436.16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15.83%</w:t>
            </w:r>
            <w:r>
              <w:rPr>
                <w:rFonts w:ascii="Times New Roman"/>
                <w:sz w:val="18"/>
              </w:rPr>
            </w:r>
          </w:p>
        </w:tc>
      </w:tr>
    </w:tbl>
    <w:p>
      <w:pPr>
        <w:spacing w:line="360" w:lineRule="auto" w:before="51"/>
        <w:ind w:left="153" w:right="3471"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除应收合并范围内关联方款项及押金、保证金等外无特殊减值迹象的应收款项。 组合中，采用余额百分比法计提坏账准备的应收账款：</w:t>
      </w:r>
    </w:p>
    <w:p>
      <w:pPr>
        <w:spacing w:line="338" w:lineRule="auto" w:before="27"/>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3388"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14,055,204.01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其中本期坏账准备收回或转回金额重要的：</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87" w:type="dxa"/>
        <w:tblLayout w:type="fixed"/>
        <w:tblCellMar>
          <w:top w:w="0" w:type="dxa"/>
          <w:left w:w="0" w:type="dxa"/>
          <w:bottom w:w="0" w:type="dxa"/>
          <w:right w:w="0" w:type="dxa"/>
        </w:tblCellMar>
        <w:tblLook w:val="01E0"/>
      </w:tblPr>
      <w:tblGrid>
        <w:gridCol w:w="1735"/>
        <w:gridCol w:w="917"/>
        <w:gridCol w:w="1276"/>
        <w:gridCol w:w="2694"/>
        <w:gridCol w:w="1134"/>
      </w:tblGrid>
      <w:tr>
        <w:trPr>
          <w:trHeight w:val="658" w:hRule="exact"/>
        </w:trPr>
        <w:tc>
          <w:tcPr>
            <w:tcW w:w="173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50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9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0"/>
              <w:ind w:left="271" w:right="89"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2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6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1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0"/>
              <w:ind w:left="63" w:right="18" w:hanging="4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 额的比例</w:t>
            </w:r>
            <w:r>
              <w:rPr>
                <w:rFonts w:ascii="Times New Roman" w:hAnsi="Times New Roman" w:cs="Times New Roman" w:eastAsia="Times New Roman" w:hint="default"/>
                <w:sz w:val="18"/>
                <w:szCs w:val="18"/>
              </w:rPr>
              <w:t>(%)</w:t>
            </w:r>
          </w:p>
        </w:tc>
      </w:tr>
      <w:tr>
        <w:trPr>
          <w:trHeight w:val="347" w:hRule="exact"/>
        </w:trPr>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中信银行西宁分行</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3,636,906.00</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年内</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1.46</w:t>
            </w:r>
          </w:p>
        </w:tc>
      </w:tr>
      <w:tr>
        <w:trPr>
          <w:trHeight w:val="659" w:hRule="exact"/>
        </w:trPr>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0"/>
              <w:jc w:val="left"/>
              <w:rPr>
                <w:rFonts w:ascii="宋体" w:hAnsi="宋体" w:cs="宋体" w:eastAsia="宋体" w:hint="default"/>
                <w:sz w:val="18"/>
                <w:szCs w:val="18"/>
              </w:rPr>
            </w:pPr>
            <w:r>
              <w:rPr>
                <w:rFonts w:ascii="宋体" w:hAnsi="宋体" w:cs="宋体" w:eastAsia="宋体" w:hint="default"/>
                <w:spacing w:val="11"/>
                <w:sz w:val="18"/>
                <w:szCs w:val="18"/>
              </w:rPr>
              <w:t>中国工商银行股份有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限公司北京市分行</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3,548,580.97</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 内 </w:t>
            </w:r>
            <w:r>
              <w:rPr>
                <w:rFonts w:ascii="Times New Roman" w:hAnsi="Times New Roman" w:cs="Times New Roman" w:eastAsia="Times New Roman" w:hint="default"/>
                <w:sz w:val="18"/>
                <w:szCs w:val="18"/>
              </w:rPr>
              <w:t>2,677,699.00   </w:t>
            </w:r>
            <w:r>
              <w:rPr>
                <w:rFonts w:ascii="宋体" w:hAnsi="宋体" w:cs="宋体" w:eastAsia="宋体" w:hint="default"/>
                <w:sz w:val="18"/>
                <w:szCs w:val="18"/>
              </w:rPr>
              <w:t>，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3"/>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700,881.97</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年以上</w:t>
            </w:r>
            <w:r>
              <w:rPr>
                <w:rFonts w:ascii="Times New Roman" w:hAnsi="Times New Roman" w:cs="Times New Roman" w:eastAsia="Times New Roman" w:hint="default"/>
                <w:sz w:val="18"/>
                <w:szCs w:val="18"/>
              </w:rPr>
              <w:t>170,000.00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1.42</w:t>
            </w:r>
          </w:p>
        </w:tc>
      </w:tr>
      <w:tr>
        <w:trPr>
          <w:trHeight w:val="659" w:hRule="exact"/>
        </w:trPr>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0"/>
              <w:jc w:val="left"/>
              <w:rPr>
                <w:rFonts w:ascii="宋体" w:hAnsi="宋体" w:cs="宋体" w:eastAsia="宋体" w:hint="default"/>
                <w:sz w:val="18"/>
                <w:szCs w:val="18"/>
              </w:rPr>
            </w:pPr>
            <w:r>
              <w:rPr>
                <w:rFonts w:ascii="宋体" w:hAnsi="宋体" w:cs="宋体" w:eastAsia="宋体" w:hint="default"/>
                <w:spacing w:val="11"/>
                <w:sz w:val="18"/>
                <w:szCs w:val="18"/>
              </w:rPr>
              <w:t>云南道弘科技有限公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2,524,758.10</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  </w:t>
            </w:r>
            <w:r>
              <w:rPr>
                <w:rFonts w:ascii="宋体" w:hAnsi="宋体" w:cs="宋体" w:eastAsia="宋体" w:hint="default"/>
                <w:sz w:val="18"/>
                <w:szCs w:val="18"/>
              </w:rPr>
              <w:t>年 </w:t>
            </w:r>
            <w:r>
              <w:rPr>
                <w:rFonts w:ascii="Times New Roman" w:hAnsi="Times New Roman" w:cs="Times New Roman" w:eastAsia="Times New Roman" w:hint="default"/>
                <w:sz w:val="18"/>
                <w:szCs w:val="18"/>
              </w:rPr>
              <w:t>879,916.00  </w:t>
            </w:r>
            <w:r>
              <w:rPr>
                <w:rFonts w:ascii="宋体" w:hAnsi="宋体" w:cs="宋体" w:eastAsia="宋体" w:hint="default"/>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 以 上</w:t>
            </w:r>
          </w:p>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1,644,842.10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1.01</w:t>
            </w:r>
          </w:p>
        </w:tc>
      </w:tr>
      <w:tr>
        <w:trPr>
          <w:trHeight w:val="659" w:hRule="exact"/>
        </w:trPr>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0"/>
              <w:jc w:val="left"/>
              <w:rPr>
                <w:rFonts w:ascii="宋体" w:hAnsi="宋体" w:cs="宋体" w:eastAsia="宋体" w:hint="default"/>
                <w:sz w:val="18"/>
                <w:szCs w:val="18"/>
              </w:rPr>
            </w:pPr>
            <w:r>
              <w:rPr>
                <w:rFonts w:ascii="宋体" w:hAnsi="宋体" w:cs="宋体" w:eastAsia="宋体" w:hint="default"/>
                <w:spacing w:val="11"/>
                <w:sz w:val="18"/>
                <w:szCs w:val="18"/>
              </w:rPr>
              <w:t>中国银行股份有限公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司长春开发区支行</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2,513,000.00</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1.01</w:t>
            </w:r>
          </w:p>
        </w:tc>
      </w:tr>
      <w:tr>
        <w:trPr>
          <w:trHeight w:val="971" w:hRule="exact"/>
        </w:trPr>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0"/>
              <w:jc w:val="both"/>
              <w:rPr>
                <w:rFonts w:ascii="宋体" w:hAnsi="宋体" w:cs="宋体" w:eastAsia="宋体" w:hint="default"/>
                <w:sz w:val="18"/>
                <w:szCs w:val="18"/>
              </w:rPr>
            </w:pPr>
            <w:r>
              <w:rPr>
                <w:rFonts w:ascii="宋体" w:hAnsi="宋体" w:cs="宋体" w:eastAsia="宋体" w:hint="default"/>
                <w:spacing w:val="11"/>
                <w:sz w:val="18"/>
                <w:szCs w:val="18"/>
              </w:rPr>
              <w:t>中国移动通信集团内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1"/>
                <w:sz w:val="18"/>
                <w:szCs w:val="18"/>
              </w:rPr>
              <w:t>蒙古有限公司包头分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75" w:right="0"/>
              <w:jc w:val="left"/>
              <w:rPr>
                <w:rFonts w:ascii="Times New Roman" w:hAnsi="Times New Roman" w:cs="Times New Roman" w:eastAsia="Times New Roman" w:hint="default"/>
                <w:sz w:val="18"/>
                <w:szCs w:val="18"/>
              </w:rPr>
            </w:pPr>
            <w:r>
              <w:rPr>
                <w:rFonts w:ascii="Times New Roman"/>
                <w:sz w:val="18"/>
              </w:rPr>
              <w:t>2,435,372.00</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年内</w:t>
            </w:r>
            <w:r>
              <w:rPr>
                <w:rFonts w:ascii="Times New Roman" w:hAnsi="Times New Roman" w:cs="Times New Roman" w:eastAsia="Times New Roman" w:hint="default"/>
                <w:spacing w:val="-2"/>
                <w:sz w:val="18"/>
                <w:szCs w:val="18"/>
              </w:rPr>
              <w:t>2,336,000.00</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99,372.00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right="0"/>
              <w:jc w:val="right"/>
              <w:rPr>
                <w:rFonts w:ascii="Times New Roman" w:hAnsi="Times New Roman" w:cs="Times New Roman" w:eastAsia="Times New Roman" w:hint="default"/>
                <w:sz w:val="18"/>
                <w:szCs w:val="18"/>
              </w:rPr>
            </w:pPr>
            <w:r>
              <w:rPr>
                <w:rFonts w:ascii="Times New Roman"/>
                <w:sz w:val="18"/>
              </w:rPr>
              <w:t>0.98</w:t>
            </w:r>
          </w:p>
        </w:tc>
      </w:tr>
      <w:tr>
        <w:trPr>
          <w:trHeight w:val="348" w:hRule="exact"/>
        </w:trPr>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90" w:right="0"/>
              <w:jc w:val="center"/>
              <w:rPr>
                <w:rFonts w:ascii="宋体" w:hAnsi="宋体" w:cs="宋体" w:eastAsia="宋体" w:hint="default"/>
                <w:sz w:val="18"/>
                <w:szCs w:val="18"/>
              </w:rPr>
            </w:pPr>
            <w:r>
              <w:rPr>
                <w:rFonts w:ascii="宋体"/>
                <w:sz w:val="18"/>
              </w:rPr>
              <w:t> </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14,658,617.07</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88" w:right="0"/>
              <w:jc w:val="center"/>
              <w:rPr>
                <w:rFonts w:ascii="宋体" w:hAnsi="宋体" w:cs="宋体" w:eastAsia="宋体" w:hint="default"/>
                <w:sz w:val="18"/>
                <w:szCs w:val="18"/>
              </w:rPr>
            </w:pPr>
            <w:r>
              <w:rPr>
                <w:rFonts w:ascii="宋体"/>
                <w:sz w:val="18"/>
              </w:rPr>
              <w:t> </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5.88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b/>
          <w:bCs/>
          <w:sz w:val="20"/>
          <w:szCs w:val="20"/>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15,584,633.81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5" w:right="0"/>
              <w:jc w:val="lef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10,003,669.76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96.73%</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338,394.99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3.27%</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15,584,633.81</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10,342,064.75</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87" w:type="dxa"/>
        <w:tblLayout w:type="fixed"/>
        <w:tblCellMar>
          <w:top w:w="0" w:type="dxa"/>
          <w:left w:w="0" w:type="dxa"/>
          <w:bottom w:w="0" w:type="dxa"/>
          <w:right w:w="0" w:type="dxa"/>
        </w:tblCellMar>
        <w:tblLook w:val="01E0"/>
      </w:tblPr>
      <w:tblGrid>
        <w:gridCol w:w="2996"/>
        <w:gridCol w:w="1037"/>
        <w:gridCol w:w="1674"/>
        <w:gridCol w:w="2048"/>
      </w:tblGrid>
      <w:tr>
        <w:trPr>
          <w:trHeight w:val="658" w:hRule="exact"/>
        </w:trPr>
        <w:tc>
          <w:tcPr>
            <w:tcW w:w="29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03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0"/>
              <w:ind w:left="421" w:right="59" w:hanging="360"/>
              <w:jc w:val="left"/>
              <w:rPr>
                <w:rFonts w:ascii="宋体" w:hAnsi="宋体" w:cs="宋体" w:eastAsia="宋体" w:hint="default"/>
                <w:sz w:val="18"/>
                <w:szCs w:val="18"/>
              </w:rPr>
            </w:pPr>
            <w:r>
              <w:rPr>
                <w:rFonts w:ascii="宋体" w:hAnsi="宋体" w:cs="宋体" w:eastAsia="宋体" w:hint="default"/>
                <w:sz w:val="18"/>
                <w:szCs w:val="18"/>
              </w:rPr>
              <w:t>与本公司关 系</w:t>
            </w:r>
          </w:p>
        </w:tc>
        <w:tc>
          <w:tcPr>
            <w:tcW w:w="16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46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0"/>
              <w:ind w:left="220" w:right="205" w:hanging="15"/>
              <w:jc w:val="left"/>
              <w:rPr>
                <w:rFonts w:ascii="宋体" w:hAnsi="宋体" w:cs="宋体" w:eastAsia="宋体" w:hint="default"/>
                <w:sz w:val="18"/>
                <w:szCs w:val="18"/>
              </w:rPr>
            </w:pPr>
            <w:r>
              <w:rPr>
                <w:rFonts w:ascii="宋体" w:hAnsi="宋体" w:cs="宋体" w:eastAsia="宋体" w:hint="default"/>
                <w:sz w:val="18"/>
                <w:szCs w:val="18"/>
              </w:rPr>
              <w:t>占预付款项期末余额 合计数的比例（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7" w:hRule="exact"/>
        </w:trPr>
        <w:tc>
          <w:tcPr>
            <w:tcW w:w="2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北京科计通电子工程有限公司</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1,129,801.27</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7.25</w:t>
            </w:r>
          </w:p>
        </w:tc>
      </w:tr>
      <w:tr>
        <w:trPr>
          <w:trHeight w:val="348" w:hRule="exact"/>
        </w:trPr>
        <w:tc>
          <w:tcPr>
            <w:tcW w:w="2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西安英诺视通信息技术有限公司</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504,000.00</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3.23</w:t>
            </w:r>
          </w:p>
        </w:tc>
      </w:tr>
      <w:tr>
        <w:trPr>
          <w:trHeight w:val="347" w:hRule="exact"/>
        </w:trPr>
        <w:tc>
          <w:tcPr>
            <w:tcW w:w="2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哈尔滨市新金电子有限公司</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500,500.00</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3.21</w:t>
            </w:r>
          </w:p>
        </w:tc>
      </w:tr>
      <w:tr>
        <w:trPr>
          <w:trHeight w:val="347" w:hRule="exact"/>
        </w:trPr>
        <w:tc>
          <w:tcPr>
            <w:tcW w:w="2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北京国枫律师事务所</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400,000.00</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2.57</w:t>
            </w:r>
          </w:p>
        </w:tc>
      </w:tr>
      <w:tr>
        <w:trPr>
          <w:trHeight w:val="347" w:hRule="exact"/>
        </w:trPr>
        <w:tc>
          <w:tcPr>
            <w:tcW w:w="2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段辉硕</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390,591.00</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2.51</w:t>
            </w:r>
          </w:p>
        </w:tc>
      </w:tr>
      <w:tr>
        <w:trPr>
          <w:trHeight w:val="348" w:hRule="exact"/>
        </w:trPr>
        <w:tc>
          <w:tcPr>
            <w:tcW w:w="2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37" w:type="dxa"/>
            <w:tcBorders>
              <w:top w:val="single" w:sz="6" w:space="0" w:color="000000"/>
              <w:left w:val="single" w:sz="6" w:space="0" w:color="000000"/>
              <w:bottom w:val="single" w:sz="6" w:space="0" w:color="000000"/>
              <w:right w:val="single" w:sz="6" w:space="0" w:color="000000"/>
            </w:tcBorders>
          </w:tcPr>
          <w:p>
            <w:pP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2,924,892.27</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18.77</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8"/>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528,900.36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528,900.36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8</w:t>
      </w:r>
      <w:r>
        <w:rPr/>
        <w:t>、应收股利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）重要的账龄超过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9</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10,568,2</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48.12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35.50%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1,555,80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14.72%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9,012,442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8,144,9</w:t>
            </w:r>
          </w:p>
          <w:p>
            <w:pPr>
              <w:pStyle w:val="TableParagraph"/>
              <w:spacing w:line="240" w:lineRule="auto" w:before="105"/>
              <w:ind w:left="193" w:right="0"/>
              <w:jc w:val="center"/>
              <w:rPr>
                <w:rFonts w:ascii="Times New Roman" w:hAnsi="Times New Roman" w:cs="Times New Roman" w:eastAsia="Times New Roman" w:hint="default"/>
                <w:sz w:val="18"/>
                <w:szCs w:val="18"/>
              </w:rPr>
            </w:pPr>
            <w:r>
              <w:rPr>
                <w:rFonts w:ascii="Times New Roman"/>
                <w:sz w:val="18"/>
              </w:rPr>
              <w:t>00.24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51.35%</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1,149,829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14.12%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6,995,070.7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19,204,8</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46.32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64.50%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19,204,84</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6.32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7,715,6</w:t>
            </w:r>
          </w:p>
          <w:p>
            <w:pPr>
              <w:pStyle w:val="TableParagraph"/>
              <w:spacing w:line="240" w:lineRule="auto" w:before="105"/>
              <w:ind w:left="193" w:right="0"/>
              <w:jc w:val="center"/>
              <w:rPr>
                <w:rFonts w:ascii="Times New Roman" w:hAnsi="Times New Roman" w:cs="Times New Roman" w:eastAsia="Times New Roman" w:hint="default"/>
                <w:sz w:val="18"/>
                <w:szCs w:val="18"/>
              </w:rPr>
            </w:pPr>
            <w:r>
              <w:rPr>
                <w:rFonts w:ascii="Times New Roman"/>
                <w:sz w:val="18"/>
              </w:rPr>
              <w:t>68.30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48.65%</w:t>
            </w:r>
          </w:p>
        </w:tc>
        <w:tc>
          <w:tcPr>
            <w:tcW w:w="81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7,715,668.3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29,773,0</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94.44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1,555,80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5.23%</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28,217,28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9.21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15,860,</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568.54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1,149,829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7.25%</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14,710,739.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2"/>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475" w:space="435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7,203,991.05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360,199.55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7,203,991.05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360,199.55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1,261,611.34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126,161.13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w:t>
            </w:r>
            <w:r>
              <w:rPr>
                <w:rFonts w:ascii="Times New Roman"/>
                <w:sz w:val="18"/>
              </w:rPr>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993,312.51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297,993.76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30.00%</w:t>
            </w:r>
            <w:r>
              <w:rPr>
                <w:rFonts w:ascii="Times New Roman"/>
                <w:sz w:val="18"/>
              </w:rPr>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1,109,333.22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771,450.79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69.54%</w:t>
            </w:r>
            <w:r>
              <w:rPr>
                <w:rFonts w:ascii="Times New Roman"/>
                <w:sz w:val="18"/>
              </w:rPr>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675,764.86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337,882.43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79,006.85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79,006.85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354,561.51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354,561.51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10,568,248.12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1,555,805.23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14.72%</w:t>
            </w:r>
            <w:r>
              <w:rPr>
                <w:rFonts w:ascii="Times New Roman"/>
                <w:sz w:val="18"/>
              </w:rPr>
            </w:r>
          </w:p>
        </w:tc>
      </w:tr>
    </w:tbl>
    <w:p>
      <w:pPr>
        <w:spacing w:line="360" w:lineRule="auto" w:before="51"/>
        <w:ind w:left="153" w:right="5271"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6"/>
        <w:ind w:left="154" w:right="56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405,975.70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3,489,297.63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3,364,360.99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日常借款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2,977,732.52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2,654,158.02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其他单位</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4,101,217.97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2,126,381.23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合并范围内关联方及保证金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19,204,846.32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7,715,668.30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29,773,094.44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15,860,568.54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北京中医药大学</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2,727,769.80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9.16%</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大连理工大学</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1,191,099.58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4.00%</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西华大学</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631,208.00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2.12%</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北方民族大学</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527,199.00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1.77%</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r>
      <w:tr>
        <w:trPr>
          <w:trHeight w:val="358" w:hRule="exact"/>
        </w:trPr>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中国建设银行股份</w:t>
            </w:r>
          </w:p>
        </w:tc>
        <w:tc>
          <w:tcPr>
            <w:tcW w:w="1595"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6"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r>
      <w:tr>
        <w:trPr>
          <w:trHeight w:val="318" w:hRule="exact"/>
        </w:trPr>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有限公司北京市分</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500,000.00</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w w:val="95"/>
                <w:sz w:val="18"/>
              </w:rPr>
              <w:t>1.68%</w:t>
            </w:r>
            <w:r>
              <w:rPr>
                <w:rFonts w:ascii="Times New Roman"/>
                <w:sz w:val="18"/>
              </w:rPr>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0.00</w:t>
            </w:r>
          </w:p>
        </w:tc>
      </w:tr>
      <w:tr>
        <w:trPr>
          <w:trHeight w:val="350" w:hRule="exact"/>
        </w:trPr>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行</w:t>
            </w:r>
          </w:p>
        </w:tc>
        <w:tc>
          <w:tcPr>
            <w:tcW w:w="1595"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6"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5,577,276.38</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18.73%</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21,492,406.73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21,492,406.73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19,925,446.52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19,925,446.52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5,045,784.84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5,045,784.84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2,773,436.10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2,773,436.10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24,062,179.70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24,062,179.70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16,213,880.12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16,213,880.12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106,490,558.51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106,490,558.51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52,622,450.34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52,622,450.34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17,691,304.48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17,691,304.48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14,708,853.62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14,708,853.62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174,782,234.26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174,782,234.26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106,244,066.70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106,244,066.70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3D3D3"/>
          </w:tcPr>
          <w:p>
            <w:pPr/>
          </w:p>
        </w:tc>
      </w:tr>
    </w:tbl>
    <w:p>
      <w:pPr>
        <w:spacing w:before="11"/>
        <w:ind w:left="154" w:right="0" w:firstLine="0"/>
        <w:jc w:val="left"/>
        <w:rPr>
          <w:rFonts w:ascii="宋体" w:hAnsi="宋体" w:cs="宋体" w:eastAsia="宋体" w:hint="default"/>
          <w:sz w:val="18"/>
          <w:szCs w:val="18"/>
        </w:rPr>
      </w:pPr>
      <w:r>
        <w:rPr>
          <w:rFonts w:ascii="宋体" w:hAnsi="宋体" w:cs="宋体" w:eastAsia="宋体" w:hint="default"/>
          <w:sz w:val="18"/>
          <w:szCs w:val="18"/>
        </w:rPr>
        <w:t>经测算，本期存货未发生减值。</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7250" w:firstLine="0"/>
        <w:jc w:val="left"/>
        <w:rPr>
          <w:rFonts w:ascii="宋体" w:hAnsi="宋体" w:cs="宋体" w:eastAsia="宋体" w:hint="default"/>
          <w:sz w:val="18"/>
          <w:szCs w:val="18"/>
        </w:rPr>
      </w:pPr>
      <w:r>
        <w:rPr>
          <w:rFonts w:ascii="宋体" w:hAnsi="宋体" w:cs="宋体" w:eastAsia="宋体" w:hint="default"/>
          <w:sz w:val="18"/>
          <w:szCs w:val="18"/>
        </w:rPr>
        <w:t>其他说明： 期末无用于抵押或担保的存货。</w:t>
      </w:r>
    </w:p>
    <w:p>
      <w:pPr>
        <w:spacing w:after="0" w:line="357"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r>
        <w:rPr>
          <w:rFonts w:ascii="Times New Roman" w:hAnsi="Times New Roman" w:cs="Times New Roman" w:eastAsia="Times New Roman" w:hint="default"/>
        </w:rPr>
        <w:t>11</w:t>
      </w:r>
      <w:r>
        <w:rPr/>
        <w:t>、划分为持有待售的资产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rFonts w:ascii="Times New Roman" w:hAnsi="Times New Roman" w:cs="Times New Roman" w:eastAsia="Times New Roman" w:hint="default"/>
        </w:rPr>
        <w:t>14</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0"/>
        <w:gridCol w:w="1195"/>
        <w:gridCol w:w="1195"/>
        <w:gridCol w:w="1196"/>
        <w:gridCol w:w="1248"/>
        <w:gridCol w:w="1367"/>
        <w:gridCol w:w="1367"/>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22,444,983.34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3,442,292.58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center"/>
              <w:rPr>
                <w:rFonts w:ascii="Times New Roman" w:hAnsi="Times New Roman" w:cs="Times New Roman" w:eastAsia="Times New Roman" w:hint="default"/>
                <w:sz w:val="18"/>
                <w:szCs w:val="18"/>
              </w:rPr>
            </w:pPr>
            <w:r>
              <w:rPr>
                <w:rFonts w:ascii="Times New Roman"/>
                <w:sz w:val="18"/>
              </w:rPr>
              <w:t>19,002,690.76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9" w:right="0"/>
              <w:jc w:val="left"/>
              <w:rPr>
                <w:rFonts w:ascii="Times New Roman" w:hAnsi="Times New Roman" w:cs="Times New Roman" w:eastAsia="Times New Roman" w:hint="default"/>
                <w:sz w:val="18"/>
                <w:szCs w:val="18"/>
              </w:rPr>
            </w:pPr>
            <w:r>
              <w:rPr>
                <w:rFonts w:ascii="Times New Roman"/>
                <w:sz w:val="18"/>
              </w:rPr>
              <w:t>4,444,983.34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1,719,018.69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2,725,964.65</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22,444,983.34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3,442,292.58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center"/>
              <w:rPr>
                <w:rFonts w:ascii="Times New Roman" w:hAnsi="Times New Roman" w:cs="Times New Roman" w:eastAsia="Times New Roman" w:hint="default"/>
                <w:sz w:val="18"/>
                <w:szCs w:val="18"/>
              </w:rPr>
            </w:pPr>
            <w:r>
              <w:rPr>
                <w:rFonts w:ascii="Times New Roman"/>
                <w:sz w:val="18"/>
              </w:rPr>
              <w:t>19,002,690.76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9" w:right="0"/>
              <w:jc w:val="left"/>
              <w:rPr>
                <w:rFonts w:ascii="Times New Roman" w:hAnsi="Times New Roman" w:cs="Times New Roman" w:eastAsia="Times New Roman" w:hint="default"/>
                <w:sz w:val="18"/>
                <w:szCs w:val="18"/>
              </w:rPr>
            </w:pPr>
            <w:r>
              <w:rPr>
                <w:rFonts w:ascii="Times New Roman"/>
                <w:sz w:val="18"/>
              </w:rPr>
              <w:t>4,444,983.34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1,719,018.69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2,725,964.65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3D3D3"/>
          </w:tcPr>
          <w:p>
            <w:pPr/>
          </w:p>
        </w:tc>
        <w:tc>
          <w:tcPr>
            <w:tcW w:w="870" w:type="dxa"/>
            <w:vMerge/>
            <w:tcBorders>
              <w:left w:val="single" w:sz="4" w:space="0" w:color="000000"/>
              <w:bottom w:val="single" w:sz="4" w:space="0" w:color="000000"/>
              <w:right w:val="single" w:sz="4" w:space="0" w:color="000000"/>
            </w:tcBorders>
            <w:shd w:val="clear" w:color="auto" w:fill="D3D3D3"/>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凯里智慧 城市通卡 管理有限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1,444,983.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34</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1,444,983.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1,444,983.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34</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1,444,983.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上海微令 信息科技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274,035.35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1,723,273.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89</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1,997,309.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20.77%</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河南华夏 海纳创业 投资集团 有限公司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3.12%</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4,444,983.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22,444,983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1,719,018.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1,723,273.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89</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3,442,292.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58</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1,719,018.69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1,719,018.69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1,723,273.89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1,723,273.89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3,442,292.58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3,442,292.58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240" w:lineRule="auto" w:before="0"/>
        <w:ind w:right="0"/>
        <w:jc w:val="left"/>
      </w:pPr>
      <w:r>
        <w:rPr>
          <w:rFonts w:ascii="Times New Roman" w:hAnsi="Times New Roman" w:cs="Times New Roman" w:eastAsia="Times New Roman" w:hint="default"/>
        </w:rPr>
        <w:t>1</w:t>
      </w:r>
      <w:r>
        <w:rPr/>
        <w:t>、公司对凯里智慧城市通卡管理有限公司无重大影响，并已全额计提减值。</w:t>
      </w:r>
    </w:p>
    <w:p>
      <w:pPr>
        <w:pStyle w:val="BodyText"/>
        <w:spacing w:line="240" w:lineRule="auto" w:before="177"/>
        <w:ind w:right="0"/>
        <w:jc w:val="left"/>
      </w:pPr>
      <w:r>
        <w:rPr>
          <w:rFonts w:ascii="Times New Roman" w:hAnsi="Times New Roman" w:cs="Times New Roman" w:eastAsia="Times New Roman" w:hint="default"/>
        </w:rPr>
        <w:t>2</w:t>
      </w:r>
      <w:r>
        <w:rPr/>
        <w:t>、河南华夏海纳创业投资集团有限公司为</w:t>
      </w:r>
      <w:r>
        <w:rPr>
          <w:rFonts w:ascii="Times New Roman" w:hAnsi="Times New Roman" w:cs="Times New Roman" w:eastAsia="Times New Roman" w:hint="default"/>
        </w:rPr>
        <w:t>2015</w:t>
      </w:r>
      <w:r>
        <w:rPr/>
        <w:t>年新增投资，对该公司无重大影响。</w:t>
      </w:r>
    </w:p>
    <w:p>
      <w:pPr>
        <w:pStyle w:val="BodyText"/>
        <w:spacing w:line="240" w:lineRule="auto" w:before="177"/>
        <w:ind w:right="0"/>
        <w:jc w:val="left"/>
      </w:pPr>
      <w:r>
        <w:rPr>
          <w:rFonts w:ascii="Times New Roman" w:hAnsi="Times New Roman" w:cs="Times New Roman" w:eastAsia="Times New Roman" w:hint="default"/>
        </w:rPr>
        <w:t>3</w:t>
      </w:r>
      <w:r>
        <w:rPr/>
        <w:t>、上海微令信息科技有限公司持续亏损，经测算本期计提减值</w:t>
      </w:r>
      <w:r>
        <w:rPr>
          <w:rFonts w:ascii="Times New Roman" w:hAnsi="Times New Roman" w:cs="Times New Roman" w:eastAsia="Times New Roman" w:hint="default"/>
        </w:rPr>
        <w:t>1,723,273.89</w:t>
      </w:r>
      <w:r>
        <w:rPr/>
        <w:t>元。</w:t>
      </w:r>
    </w:p>
    <w:p>
      <w:pPr>
        <w:spacing w:line="240" w:lineRule="auto" w:before="8"/>
        <w:rPr>
          <w:rFonts w:ascii="宋体" w:hAnsi="宋体" w:cs="宋体" w:eastAsia="宋体" w:hint="default"/>
          <w:sz w:val="30"/>
          <w:szCs w:val="30"/>
        </w:rPr>
      </w:pPr>
    </w:p>
    <w:p>
      <w:pPr>
        <w:pStyle w:val="Heading4"/>
        <w:spacing w:line="240" w:lineRule="auto"/>
        <w:ind w:right="0"/>
        <w:jc w:val="left"/>
        <w:rPr>
          <w:b w:val="0"/>
          <w:bCs w:val="0"/>
        </w:rPr>
      </w:pPr>
      <w:r>
        <w:rPr>
          <w:rFonts w:ascii="Times New Roman" w:hAnsi="Times New Roman" w:cs="Times New Roman" w:eastAsia="Times New Roman" w:hint="default"/>
        </w:rPr>
        <w:t>15</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1"/>
              <w:jc w:val="left"/>
              <w:rPr>
                <w:rFonts w:ascii="宋体" w:hAnsi="宋体" w:cs="宋体" w:eastAsia="宋体" w:hint="default"/>
                <w:sz w:val="18"/>
                <w:szCs w:val="18"/>
              </w:rPr>
            </w:pPr>
            <w:r>
              <w:rPr>
                <w:rFonts w:ascii="宋体" w:hAnsi="宋体" w:cs="宋体" w:eastAsia="宋体" w:hint="default"/>
                <w:sz w:val="18"/>
                <w:szCs w:val="18"/>
              </w:rPr>
              <w:t>成都兰途 网络科技</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8,750,000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216,911.8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8,966,911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北京乐智 科技有限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嘉兴丹诚</w:t>
            </w:r>
          </w:p>
        </w:tc>
        <w:tc>
          <w:tcPr>
            <w:tcW w:w="798"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93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both"/>
              <w:rPr>
                <w:rFonts w:ascii="宋体" w:hAnsi="宋体" w:cs="宋体" w:eastAsia="宋体" w:hint="default"/>
                <w:sz w:val="18"/>
                <w:szCs w:val="18"/>
              </w:rPr>
            </w:pPr>
            <w:r>
              <w:rPr>
                <w:rFonts w:ascii="宋体" w:hAnsi="宋体" w:cs="宋体" w:eastAsia="宋体" w:hint="default"/>
                <w:sz w:val="18"/>
                <w:szCs w:val="18"/>
              </w:rPr>
              <w:t>开普股权 投资合伙 企业（有</w:t>
            </w:r>
          </w:p>
        </w:tc>
        <w:tc>
          <w:tcPr>
            <w:tcW w:w="79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6,750,000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70" w:right="0"/>
              <w:jc w:val="left"/>
              <w:rPr>
                <w:rFonts w:ascii="Times New Roman" w:hAnsi="Times New Roman" w:cs="Times New Roman" w:eastAsia="Times New Roman" w:hint="default"/>
                <w:sz w:val="18"/>
                <w:szCs w:val="18"/>
              </w:rPr>
            </w:pPr>
            <w:r>
              <w:rPr>
                <w:rFonts w:ascii="Times New Roman"/>
                <w:sz w:val="18"/>
              </w:rPr>
              <w:t>199.23</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6,750,199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.23</w:t>
            </w:r>
          </w:p>
        </w:tc>
        <w:tc>
          <w:tcPr>
            <w:tcW w:w="798" w:type="dxa"/>
            <w:vMerge/>
            <w:tcBorders>
              <w:left w:val="single" w:sz="4" w:space="0" w:color="000000"/>
              <w:right w:val="single" w:sz="4" w:space="0" w:color="000000"/>
            </w:tcBorders>
          </w:tcPr>
          <w:p>
            <w:pPr/>
          </w:p>
        </w:tc>
      </w:tr>
      <w:tr>
        <w:trPr>
          <w:trHeight w:val="357"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限合伙）</w:t>
            </w:r>
          </w:p>
        </w:tc>
        <w:tc>
          <w:tcPr>
            <w:tcW w:w="798"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19,400,00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217,111.0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19,617,11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1.05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19,400,00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217,111.0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19,617,11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1.05</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96" w:lineRule="auto" w:before="51"/>
        <w:ind w:left="153" w:right="0"/>
        <w:jc w:val="left"/>
      </w:pPr>
      <w:r>
        <w:rPr>
          <w:sz w:val="18"/>
          <w:szCs w:val="18"/>
        </w:rPr>
        <w:t>其他说明 </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2015</w:t>
      </w:r>
      <w:r>
        <w:rPr>
          <w:spacing w:val="-1"/>
        </w:rPr>
        <w:t>年公司投资成都兰途网络科技有限公司，以</w:t>
      </w:r>
      <w:r>
        <w:rPr>
          <w:rFonts w:ascii="Times New Roman" w:hAnsi="Times New Roman" w:cs="Times New Roman" w:eastAsia="Times New Roman" w:hint="default"/>
          <w:spacing w:val="-1"/>
        </w:rPr>
        <w:t>875.00</w:t>
      </w:r>
      <w:r>
        <w:rPr>
          <w:spacing w:val="-1"/>
        </w:rPr>
        <w:t>万元认缴成都兰途</w:t>
      </w:r>
      <w:r>
        <w:rPr>
          <w:rFonts w:ascii="Times New Roman" w:hAnsi="Times New Roman" w:cs="Times New Roman" w:eastAsia="Times New Roman" w:hint="default"/>
          <w:spacing w:val="-1"/>
        </w:rPr>
        <w:t>35%</w:t>
      </w:r>
      <w:r>
        <w:rPr>
          <w:spacing w:val="-1"/>
        </w:rPr>
        <w:t>的注册资本，对成都兰途</w:t>
      </w:r>
      <w:r>
        <w:rPr>
          <w:spacing w:val="-103"/>
        </w:rPr>
        <w:t> </w:t>
      </w:r>
      <w:r>
        <w:rPr>
          <w:spacing w:val="-103"/>
        </w:rPr>
      </w:r>
      <w:r>
        <w:rPr/>
        <w:t>形成重大影响；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月公司投资北京乐智科技有限公司，以</w:t>
      </w:r>
      <w:r>
        <w:rPr>
          <w:rFonts w:ascii="Times New Roman" w:hAnsi="Times New Roman" w:cs="Times New Roman" w:eastAsia="Times New Roman" w:hint="default"/>
        </w:rPr>
        <w:t>390.00</w:t>
      </w:r>
      <w:r>
        <w:rPr/>
        <w:t>万元认缴北京乐智</w:t>
      </w:r>
      <w:r>
        <w:rPr>
          <w:rFonts w:ascii="Times New Roman" w:hAnsi="Times New Roman" w:cs="Times New Roman" w:eastAsia="Times New Roman" w:hint="default"/>
        </w:rPr>
        <w:t>19.50%</w:t>
      </w:r>
      <w:r>
        <w:rPr/>
        <w:t>的注册资本，对北京乐 智形成重大影响；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年公司（有限合伙人）与北京丹诚资产管理有限公司（普通合伙人）共同成立嘉兴丹诚开普股权</w:t>
      </w:r>
      <w:r>
        <w:rPr>
          <w:spacing w:val="-34"/>
        </w:rPr>
        <w:t> </w:t>
      </w:r>
      <w:r>
        <w:rPr>
          <w:spacing w:val="-34"/>
        </w:rPr>
      </w:r>
      <w:r>
        <w:rPr/>
        <w:t>投资合伙企业（有限合伙），公司认缴出资</w:t>
      </w:r>
      <w:r>
        <w:rPr>
          <w:rFonts w:ascii="Times New Roman" w:hAnsi="Times New Roman" w:cs="Times New Roman" w:eastAsia="Times New Roman" w:hint="default"/>
        </w:rPr>
        <w:t>14,500.00</w:t>
      </w:r>
      <w:r>
        <w:rPr/>
        <w:t>万元，实缴出资</w:t>
      </w:r>
      <w:r>
        <w:rPr>
          <w:rFonts w:ascii="Times New Roman" w:hAnsi="Times New Roman" w:cs="Times New Roman" w:eastAsia="Times New Roman" w:hint="default"/>
        </w:rPr>
        <w:t>675.00</w:t>
      </w:r>
      <w:r>
        <w:rPr/>
        <w:t>万元，占股</w:t>
      </w:r>
      <w:r>
        <w:rPr>
          <w:rFonts w:ascii="Times New Roman" w:hAnsi="Times New Roman" w:cs="Times New Roman" w:eastAsia="Times New Roman" w:hint="default"/>
        </w:rPr>
        <w:t>96.67%</w:t>
      </w:r>
      <w:r>
        <w:rPr/>
        <w:t>，按合伙协</w:t>
      </w:r>
      <w:r>
        <w:rPr>
          <w:spacing w:val="1"/>
        </w:rPr>
        <w:t> </w:t>
      </w:r>
      <w:r>
        <w:rPr/>
        <w:t>议约定，公司对丹诚开普无实际控制，仅形成重大影响。</w:t>
      </w:r>
    </w:p>
    <w:p>
      <w:pPr>
        <w:spacing w:line="240" w:lineRule="auto" w:before="5"/>
        <w:rPr>
          <w:rFonts w:ascii="宋体" w:hAnsi="宋体" w:cs="宋体" w:eastAsia="宋体" w:hint="default"/>
          <w:sz w:val="21"/>
          <w:szCs w:val="21"/>
        </w:rPr>
      </w:pPr>
    </w:p>
    <w:p>
      <w:pPr>
        <w:pStyle w:val="Heading4"/>
        <w:spacing w:line="240" w:lineRule="auto"/>
        <w:ind w:left="153" w:right="0"/>
        <w:jc w:val="left"/>
        <w:rPr>
          <w:b w:val="0"/>
          <w:bCs w:val="0"/>
        </w:rPr>
      </w:pPr>
      <w:r>
        <w:rPr>
          <w:rFonts w:ascii="Times New Roman" w:hAnsi="Times New Roman" w:cs="Times New Roman" w:eastAsia="Times New Roman" w:hint="default"/>
        </w:rPr>
        <w:t>18</w:t>
      </w:r>
      <w:r>
        <w:rPr/>
        <w:t>、投资性房地产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2"/>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1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9" w:right="0"/>
              <w:jc w:val="left"/>
              <w:rPr>
                <w:rFonts w:ascii="Times New Roman" w:hAnsi="Times New Roman" w:cs="Times New Roman" w:eastAsia="Times New Roman" w:hint="default"/>
                <w:sz w:val="18"/>
                <w:szCs w:val="18"/>
              </w:rPr>
            </w:pPr>
            <w:r>
              <w:rPr>
                <w:rFonts w:ascii="Times New Roman"/>
                <w:sz w:val="18"/>
              </w:rPr>
              <w:t>25,500,252.78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5" w:right="0"/>
              <w:jc w:val="left"/>
              <w:rPr>
                <w:rFonts w:ascii="Times New Roman" w:hAnsi="Times New Roman" w:cs="Times New Roman" w:eastAsia="Times New Roman" w:hint="default"/>
                <w:sz w:val="18"/>
                <w:szCs w:val="18"/>
              </w:rPr>
            </w:pPr>
            <w:r>
              <w:rPr>
                <w:rFonts w:ascii="Times New Roman"/>
                <w:sz w:val="18"/>
              </w:rPr>
              <w:t>25,500,252.78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42"/>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7"/>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25,500,252.78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25,500,252.78</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6,262,040.35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6,262,040.35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1,007,200.91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1,007,200.91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1,007,200.91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1,007,200.91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7,269,241.26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7,269,241.26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18,231,011.52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18,231,011.52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19,238,212.43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19,238,212.43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新办公大楼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6,976,799.81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新建尚在办理之中</w:t>
            </w:r>
          </w:p>
        </w:tc>
      </w:tr>
    </w:tbl>
    <w:p>
      <w:pPr>
        <w:pStyle w:val="BodyText"/>
        <w:spacing w:line="393" w:lineRule="auto" w:before="51"/>
        <w:ind w:left="153" w:right="97"/>
        <w:jc w:val="left"/>
      </w:pPr>
      <w:r>
        <w:rPr>
          <w:sz w:val="18"/>
          <w:szCs w:val="18"/>
        </w:rPr>
        <w:t>其他说明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6</w:t>
      </w:r>
      <w:r>
        <w:rPr/>
        <w:t>日，本公司与中信银行股份有限公司郑州分行签订最高额抵押合同，合同编号（</w:t>
      </w:r>
      <w:r>
        <w:rPr>
          <w:rFonts w:ascii="Times New Roman" w:hAnsi="Times New Roman" w:cs="Times New Roman" w:eastAsia="Times New Roman" w:hint="default"/>
        </w:rPr>
        <w:t>2015</w:t>
      </w:r>
      <w:r>
        <w:rPr/>
        <w:t>）信豫银 最抵字第</w:t>
      </w:r>
      <w:r>
        <w:rPr>
          <w:rFonts w:ascii="Times New Roman" w:hAnsi="Times New Roman" w:cs="Times New Roman" w:eastAsia="Times New Roman" w:hint="default"/>
        </w:rPr>
        <w:t>1539029</w:t>
      </w:r>
      <w:r>
        <w:rPr/>
        <w:t>号，被担保的主债权最高额为人民币 </w:t>
      </w:r>
      <w:r>
        <w:rPr>
          <w:rFonts w:ascii="Times New Roman" w:hAnsi="Times New Roman" w:cs="Times New Roman" w:eastAsia="Times New Roman" w:hint="default"/>
        </w:rPr>
        <w:t>54,000,000.00 </w:t>
      </w:r>
      <w:r>
        <w:rPr/>
        <w:t>元 ，抵押期间为</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6</w:t>
      </w:r>
      <w:r>
        <w:rPr>
          <w:rFonts w:ascii="Times New Roman" w:hAnsi="Times New Roman" w:cs="Times New Roman" w:eastAsia="Times New Roman" w:hint="default"/>
          <w:spacing w:val="29"/>
        </w:rPr>
        <w:t> </w:t>
      </w:r>
      <w:r>
        <w:rPr/>
        <w:t>日 至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8</w:t>
      </w:r>
      <w:r>
        <w:rPr/>
        <w:t>月</w:t>
      </w:r>
      <w:r>
        <w:rPr>
          <w:spacing w:val="-48"/>
        </w:rPr>
        <w:t> </w:t>
      </w:r>
      <w:r>
        <w:rPr>
          <w:rFonts w:ascii="Times New Roman" w:hAnsi="Times New Roman" w:cs="Times New Roman" w:eastAsia="Times New Roman" w:hint="default"/>
        </w:rPr>
        <w:t>6</w:t>
      </w:r>
      <w:r>
        <w:rPr/>
        <w:t>日，抵押物系合计原值为</w:t>
      </w:r>
      <w:r>
        <w:rPr>
          <w:rFonts w:ascii="Times New Roman" w:hAnsi="Times New Roman" w:cs="Times New Roman" w:eastAsia="Times New Roman" w:hint="default"/>
        </w:rPr>
        <w:t>1,830.37</w:t>
      </w:r>
      <w:r>
        <w:rPr/>
        <w:t>万元的郑房权证字第</w:t>
      </w:r>
      <w:r>
        <w:rPr>
          <w:rFonts w:ascii="Times New Roman" w:hAnsi="Times New Roman" w:cs="Times New Roman" w:eastAsia="Times New Roman" w:hint="default"/>
        </w:rPr>
        <w:t>1501159164</w:t>
      </w:r>
      <w:r>
        <w:rPr/>
        <w:t>号、第</w:t>
      </w:r>
      <w:r>
        <w:rPr>
          <w:rFonts w:ascii="Times New Roman" w:hAnsi="Times New Roman" w:cs="Times New Roman" w:eastAsia="Times New Roman" w:hint="default"/>
        </w:rPr>
        <w:t>1501159163</w:t>
      </w:r>
      <w:r>
        <w:rPr/>
        <w:t>号、</w:t>
      </w:r>
      <w:r>
        <w:rPr>
          <w:spacing w:val="1"/>
        </w:rPr>
        <w:t> </w:t>
      </w:r>
      <w:r>
        <w:rPr/>
        <w:t>第</w:t>
      </w:r>
      <w:r>
        <w:rPr>
          <w:rFonts w:ascii="Times New Roman" w:hAnsi="Times New Roman" w:cs="Times New Roman" w:eastAsia="Times New Roman" w:hint="default"/>
        </w:rPr>
        <w:t>1501159174</w:t>
      </w:r>
      <w:r>
        <w:rPr/>
        <w:t>号房屋权证。</w:t>
      </w:r>
    </w:p>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9"/>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126,405,303.77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19,917,032.22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11,025,848.75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17,311,529.11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174,659,713.85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1,296,658.20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991,594.72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1,695,040.09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3,319,774.46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7,303,067.47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991,594.72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198,865.81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1,823,193.00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3,013,653.53</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1,296,658.20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1,296,658.20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1,496,174.28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1,496,581.46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2,992,755.74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239,289.00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295,500.01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534,789.01</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239,289.00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295,500.01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534,789.01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127,701,961.97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20,908,626.94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12,481,599.84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20,335,803.56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181,427,992.31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1,832,468.37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2,394,256.32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3,188,515.33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9,083,596.19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16,498,836.21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3,857,057.09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2,313,919.55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2,165,213.44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3,386,366.00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11,722,556.08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3,857,057.09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2,313,919.55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1,127,756.16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2,461,591.04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9,760,323.84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1,037,457.28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924,774.96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1,962,232.24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221,027.98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255,598.46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476,626.44</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221,027.98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255,598.46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476,626.44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5,689,525.46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4,708,175.87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5,132,700.79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12,214,363.73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27,744,765.85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122,012,436.51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16,200,451.07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7,348,899.05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8,121,439.83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153,683,226.46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124,572,835.40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17,522,775.90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7,837,333.42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8,227,932.92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158,160,877.64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新办公大楼</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84,746,213.98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新建尚在办理之中</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240" w:lineRule="auto" w:before="0"/>
        <w:ind w:right="0"/>
        <w:jc w:val="left"/>
      </w:pPr>
      <w:r>
        <w:rPr>
          <w:rFonts w:ascii="Times New Roman" w:hAnsi="Times New Roman" w:cs="Times New Roman" w:eastAsia="Times New Roman" w:hint="default"/>
        </w:rPr>
        <w:t>1</w:t>
      </w:r>
      <w:r>
        <w:rPr/>
        <w:t>、本期折旧额</w:t>
      </w:r>
      <w:r>
        <w:rPr>
          <w:rFonts w:ascii="Times New Roman" w:hAnsi="Times New Roman" w:cs="Times New Roman" w:eastAsia="Times New Roman" w:hint="default"/>
        </w:rPr>
        <w:t>9,760,323.84</w:t>
      </w:r>
      <w:r>
        <w:rPr/>
        <w:t>元；</w:t>
      </w:r>
    </w:p>
    <w:p>
      <w:pPr>
        <w:pStyle w:val="BodyText"/>
        <w:spacing w:line="240" w:lineRule="auto" w:before="177"/>
        <w:ind w:left="153" w:right="0"/>
        <w:jc w:val="left"/>
      </w:pPr>
      <w:r>
        <w:rPr>
          <w:rFonts w:ascii="Times New Roman" w:hAnsi="Times New Roman" w:cs="Times New Roman" w:eastAsia="Times New Roman" w:hint="default"/>
        </w:rPr>
        <w:t>2</w:t>
      </w:r>
      <w:r>
        <w:rPr/>
        <w:t>、本期由企业合并导致固定资产原值增加的金额为</w:t>
      </w:r>
      <w:r>
        <w:rPr>
          <w:rFonts w:ascii="Times New Roman" w:hAnsi="Times New Roman" w:cs="Times New Roman" w:eastAsia="Times New Roman" w:hint="default"/>
        </w:rPr>
        <w:t>2,992,755.74</w:t>
      </w:r>
      <w:r>
        <w:rPr/>
        <w:t>元；</w:t>
      </w:r>
    </w:p>
    <w:p>
      <w:pPr>
        <w:pStyle w:val="BodyText"/>
        <w:spacing w:line="240" w:lineRule="auto" w:before="177"/>
        <w:ind w:left="153" w:right="0"/>
        <w:jc w:val="left"/>
      </w:pPr>
      <w:r>
        <w:rPr>
          <w:rFonts w:ascii="Times New Roman" w:hAnsi="Times New Roman" w:cs="Times New Roman" w:eastAsia="Times New Roman" w:hint="default"/>
        </w:rPr>
        <w:t>3</w:t>
      </w:r>
      <w:r>
        <w:rPr/>
        <w:t>、期末无用于抵押或担保的固定资产。</w:t>
      </w:r>
    </w:p>
    <w:p>
      <w:pPr>
        <w:spacing w:after="0" w:line="240"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设备工程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1,353,483.95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1,353,483.95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929,760.53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929,760.53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218,619.41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218,619.41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133,488.17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133,488.17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电梯</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148,920.00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148,920.00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1,572,103.36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1,572,103.36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1,212,168.70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1,212,168.70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rFonts w:ascii="Times New Roman" w:hAnsi="Times New Roman" w:cs="Times New Roman" w:eastAsia="Times New Roman" w:hint="default"/>
        </w:rPr>
        <w:t>21</w:t>
      </w:r>
      <w:r>
        <w:rPr/>
        <w:t>、工程物资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rFonts w:ascii="Times New Roman" w:hAnsi="Times New Roman" w:cs="Times New Roman" w:eastAsia="Times New Roman" w:hint="default"/>
        </w:rPr>
        <w:t>22</w:t>
      </w:r>
      <w:r>
        <w:rPr/>
        <w:t>、固定资产清理</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6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8" w:right="0"/>
              <w:jc w:val="left"/>
              <w:rPr>
                <w:rFonts w:ascii="Times New Roman" w:hAnsi="Times New Roman" w:cs="Times New Roman" w:eastAsia="Times New Roman" w:hint="default"/>
                <w:sz w:val="18"/>
                <w:szCs w:val="18"/>
              </w:rPr>
            </w:pPr>
            <w:r>
              <w:rPr>
                <w:rFonts w:ascii="Times New Roman"/>
                <w:sz w:val="18"/>
              </w:rPr>
              <w:t>5,591,081.60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3,693,200.00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8" w:right="0"/>
              <w:jc w:val="left"/>
              <w:rPr>
                <w:rFonts w:ascii="Times New Roman" w:hAnsi="Times New Roman" w:cs="Times New Roman" w:eastAsia="Times New Roman" w:hint="default"/>
                <w:sz w:val="18"/>
                <w:szCs w:val="18"/>
              </w:rPr>
            </w:pPr>
            <w:r>
              <w:rPr>
                <w:rFonts w:ascii="Times New Roman"/>
                <w:sz w:val="18"/>
              </w:rPr>
              <w:t>5,486,613.06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14,770,894.66</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64"/>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45,526,340.82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45,526,340.82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649,572.66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649,572.66</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 发</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5,476,693.22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5,476,693.22</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39,400,074.94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39,400,074.94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5,591,081.60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3,693,200.00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51,012,953.88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60,297,235.48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419,330.60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2,080,413.17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2,499,743.77</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64"/>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111,821.64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13,366,218.83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13,478,040.47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111,821.64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3,108,522.50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3,220,344.14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10,257,696.33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10,257,696.33</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64"/>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531,152.24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15,446,632.00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15,977,784.24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64"/>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64"/>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5,059,929.36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3,693,200.00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35,566,321.88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44,319,451.24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64"/>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8" w:right="0"/>
              <w:jc w:val="left"/>
              <w:rPr>
                <w:rFonts w:ascii="Times New Roman" w:hAnsi="Times New Roman" w:cs="Times New Roman" w:eastAsia="Times New Roman" w:hint="default"/>
                <w:sz w:val="18"/>
                <w:szCs w:val="18"/>
              </w:rPr>
            </w:pPr>
            <w:r>
              <w:rPr>
                <w:rFonts w:ascii="Times New Roman"/>
                <w:sz w:val="18"/>
              </w:rPr>
              <w:t>5,171,751.00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3,693,200.00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8" w:right="0"/>
              <w:jc w:val="left"/>
              <w:rPr>
                <w:rFonts w:ascii="Times New Roman" w:hAnsi="Times New Roman" w:cs="Times New Roman" w:eastAsia="Times New Roman" w:hint="default"/>
                <w:sz w:val="18"/>
                <w:szCs w:val="18"/>
              </w:rPr>
            </w:pPr>
            <w:r>
              <w:rPr>
                <w:rFonts w:ascii="Times New Roman"/>
                <w:sz w:val="18"/>
              </w:rPr>
              <w:t>3,406,199.89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12,271,150.89</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12"/>
          <w:szCs w:val="12"/>
        </w:rPr>
      </w:pPr>
    </w:p>
    <w:p>
      <w:pPr>
        <w:pStyle w:val="BodyText"/>
        <w:spacing w:line="240" w:lineRule="auto" w:before="0"/>
        <w:ind w:right="0"/>
        <w:jc w:val="left"/>
      </w:pPr>
      <w:r>
        <w:rPr>
          <w:rFonts w:ascii="Times New Roman" w:hAnsi="Times New Roman" w:cs="Times New Roman" w:eastAsia="Times New Roman" w:hint="default"/>
        </w:rPr>
        <w:t>1</w:t>
      </w:r>
      <w:r>
        <w:rPr/>
        <w:t>、本期摊销额</w:t>
      </w:r>
      <w:r>
        <w:rPr>
          <w:rFonts w:ascii="Times New Roman" w:hAnsi="Times New Roman" w:cs="Times New Roman" w:eastAsia="Times New Roman" w:hint="default"/>
        </w:rPr>
        <w:t>3,220,344.14</w:t>
      </w:r>
      <w:r>
        <w:rPr/>
        <w:t>元；</w:t>
      </w:r>
    </w:p>
    <w:p>
      <w:pPr>
        <w:pStyle w:val="BodyText"/>
        <w:spacing w:line="240" w:lineRule="auto" w:before="177"/>
        <w:ind w:left="153" w:right="0"/>
        <w:jc w:val="left"/>
      </w:pPr>
      <w:r>
        <w:rPr>
          <w:rFonts w:ascii="Times New Roman" w:hAnsi="Times New Roman" w:cs="Times New Roman" w:eastAsia="Times New Roman" w:hint="default"/>
        </w:rPr>
        <w:t>2</w:t>
      </w:r>
      <w:r>
        <w:rPr/>
        <w:t>、期末无用于抵押或担保的无形资产；</w:t>
      </w:r>
    </w:p>
    <w:p>
      <w:pPr>
        <w:pStyle w:val="BodyText"/>
        <w:spacing w:line="240" w:lineRule="auto" w:before="177"/>
        <w:ind w:right="0"/>
        <w:jc w:val="left"/>
      </w:pPr>
      <w:r>
        <w:rPr>
          <w:rFonts w:ascii="Times New Roman" w:hAnsi="Times New Roman" w:cs="Times New Roman" w:eastAsia="Times New Roman" w:hint="default"/>
        </w:rPr>
        <w:t>3</w:t>
      </w:r>
      <w:r>
        <w:rPr/>
        <w:t>、经测算，本期无形资产未发生减值。</w:t>
      </w:r>
    </w:p>
    <w:p>
      <w:pPr>
        <w:spacing w:line="240" w:lineRule="auto" w:before="8"/>
        <w:rPr>
          <w:rFonts w:ascii="宋体" w:hAnsi="宋体" w:cs="宋体" w:eastAsia="宋体" w:hint="default"/>
          <w:sz w:val="30"/>
          <w:szCs w:val="30"/>
        </w:rPr>
      </w:pPr>
    </w:p>
    <w:p>
      <w:pPr>
        <w:pStyle w:val="Heading4"/>
        <w:spacing w:line="240" w:lineRule="auto"/>
        <w:ind w:right="0"/>
        <w:jc w:val="left"/>
        <w:rPr>
          <w:b w:val="0"/>
          <w:bCs w:val="0"/>
        </w:rPr>
      </w:pPr>
      <w:r>
        <w:rPr>
          <w:rFonts w:ascii="Times New Roman" w:hAnsi="Times New Roman" w:cs="Times New Roman" w:eastAsia="Times New Roman" w:hint="default"/>
        </w:rPr>
        <w:t>26</w:t>
      </w:r>
      <w:r>
        <w:rPr/>
        <w:t>、开发支出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3"/>
        <w:gridCol w:w="1063"/>
        <w:gridCol w:w="1063"/>
        <w:gridCol w:w="1062"/>
        <w:gridCol w:w="1063"/>
        <w:gridCol w:w="1063"/>
        <w:gridCol w:w="1063"/>
        <w:gridCol w:w="1063"/>
        <w:gridCol w:w="1063"/>
      </w:tblGrid>
      <w:tr>
        <w:trPr>
          <w:trHeight w:val="402"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47"/>
              <w:jc w:val="righ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一卡通在线 交易系统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1,345,826.01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1,345,826.01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综合教学管 理</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2,078,149.53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2,078,149.53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公共数据平 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1,125,675.22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1,125,675.22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移动迎新系 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927,042.46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927,042.46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47"/>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5,476,693.22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5,476,693.22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27</w:t>
      </w:r>
      <w:r>
        <w:rPr/>
        <w:t>、商誉</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北京迪科远望科 技有限公司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280,076,227.00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280,076,227.00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上海树维信息科 技有限公司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169,508,612.57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169,508,612.57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449,584,839.57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449,584,839.57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8"/>
        <w:rPr>
          <w:rFonts w:ascii="宋体" w:hAnsi="宋体" w:cs="宋体" w:eastAsia="宋体" w:hint="default"/>
          <w:b/>
          <w:bCs/>
          <w:sz w:val="26"/>
          <w:szCs w:val="26"/>
        </w:rPr>
      </w:pPr>
    </w:p>
    <w:p>
      <w:pPr>
        <w:spacing w:line="398" w:lineRule="auto" w:before="0"/>
        <w:ind w:left="154" w:right="135" w:firstLine="0"/>
        <w:jc w:val="left"/>
        <w:rPr>
          <w:rFonts w:ascii="宋体" w:hAnsi="宋体" w:cs="宋体" w:eastAsia="宋体" w:hint="default"/>
          <w:sz w:val="21"/>
          <w:szCs w:val="21"/>
        </w:rPr>
      </w:pPr>
      <w:r>
        <w:rPr>
          <w:rFonts w:ascii="宋体" w:hAnsi="宋体" w:cs="宋体" w:eastAsia="宋体" w:hint="default"/>
          <w:sz w:val="18"/>
          <w:szCs w:val="18"/>
        </w:rPr>
        <w:t>说明商誉减值测试过程、参数及商誉减值损失的确认方法： </w:t>
      </w:r>
      <w:r>
        <w:rPr>
          <w:rFonts w:ascii="宋体" w:hAnsi="宋体" w:cs="宋体" w:eastAsia="宋体" w:hint="default"/>
          <w:sz w:val="21"/>
          <w:szCs w:val="21"/>
        </w:rPr>
        <w:t>公司基于历史实际经营数据、计算机软件行业的发展趋势、国内国际的经济形势等编制了未来</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年的净利 润及现金流量预测，根据减值测试的结果，本期期末商誉未发生减值。</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28</w:t>
      </w:r>
      <w:r>
        <w:rPr/>
        <w:t>、长期待摊费用</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房屋改良支出</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393,923.00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84,179.20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309,743.80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智能燃气表及远程 运营监控系统</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租车费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593,923.00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594,179.20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1,339,743.80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41,354,241.39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6,745,842.92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28,612,080.44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4,306,334.98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15,184,581.67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2,277,687.25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9,563,001.67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1,434,450.25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808,531.04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121,279.66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491,402.49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61,425.31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57,838,756.59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9,206,235.14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38,175,082.11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5,740,785.23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14"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11"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5" w:right="0"/>
              <w:jc w:val="left"/>
              <w:rPr>
                <w:rFonts w:ascii="Times New Roman" w:hAnsi="Times New Roman" w:cs="Times New Roman" w:eastAsia="Times New Roman" w:hint="default"/>
                <w:sz w:val="18"/>
                <w:szCs w:val="18"/>
              </w:rPr>
            </w:pPr>
            <w:r>
              <w:rPr>
                <w:rFonts w:ascii="Times New Roman"/>
                <w:sz w:val="18"/>
              </w:rPr>
              <w:t>9,206,235.14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5,740,785.23</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12"/>
          <w:szCs w:val="12"/>
        </w:rPr>
      </w:pPr>
    </w:p>
    <w:p>
      <w:pPr>
        <w:pStyle w:val="BodyText"/>
        <w:spacing w:line="240" w:lineRule="auto" w:before="0"/>
        <w:ind w:right="0"/>
        <w:jc w:val="left"/>
      </w:pPr>
      <w:r>
        <w:rPr/>
        <w:t>无形资产计提递延所得税资产是由于子公司上海树维无形资产摊销的会计政策与税法差异造成的。</w:t>
      </w:r>
    </w:p>
    <w:p>
      <w:pPr>
        <w:spacing w:line="240" w:lineRule="auto" w:before="0"/>
        <w:rPr>
          <w:rFonts w:ascii="宋体" w:hAnsi="宋体" w:cs="宋体" w:eastAsia="宋体" w:hint="default"/>
          <w:sz w:val="20"/>
          <w:szCs w:val="20"/>
        </w:rPr>
      </w:pPr>
    </w:p>
    <w:p>
      <w:pPr>
        <w:pStyle w:val="Heading4"/>
        <w:spacing w:line="240" w:lineRule="auto" w:before="154"/>
        <w:ind w:left="153" w:right="0"/>
        <w:jc w:val="left"/>
        <w:rPr>
          <w:b w:val="0"/>
          <w:bCs w:val="0"/>
        </w:rPr>
      </w:pPr>
      <w:r>
        <w:rPr>
          <w:rFonts w:ascii="Times New Roman" w:hAnsi="Times New Roman" w:cs="Times New Roman" w:eastAsia="Times New Roman" w:hint="default"/>
        </w:rPr>
        <w:t>30</w:t>
      </w:r>
      <w:r>
        <w:rPr/>
        <w:t>、其他非流动资产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r>
        <w:rPr>
          <w:rFonts w:ascii="Times New Roman" w:hAnsi="Times New Roman" w:cs="Times New Roman" w:eastAsia="Times New Roman" w:hint="default"/>
        </w:rPr>
        <w:t>31</w:t>
      </w:r>
      <w:r>
        <w:rPr/>
        <w:t>、短期借款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75,500,000.00</w:t>
            </w:r>
          </w:p>
        </w:tc>
        <w:tc>
          <w:tcPr>
            <w:tcW w:w="318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98" w:lineRule="auto" w:before="51"/>
        <w:ind w:right="0"/>
        <w:jc w:val="left"/>
      </w:pPr>
      <w:r>
        <w:rPr>
          <w:sz w:val="18"/>
          <w:szCs w:val="18"/>
        </w:rPr>
        <w:t>短期借款分类的说明： </w:t>
      </w:r>
      <w:r>
        <w:rPr>
          <w:rFonts w:ascii="Times New Roman" w:hAnsi="Times New Roman" w:cs="Times New Roman" w:eastAsia="Times New Roman" w:hint="default"/>
          <w:spacing w:val="-1"/>
        </w:rPr>
        <w:t>1</w:t>
      </w:r>
      <w:r>
        <w:rPr>
          <w:spacing w:val="-1"/>
        </w:rPr>
        <w:t>、信用借款：公司向中国银行郑州高新技术开发区支行取得</w:t>
      </w:r>
      <w:r>
        <w:rPr>
          <w:rFonts w:ascii="Times New Roman" w:hAnsi="Times New Roman" w:cs="Times New Roman" w:eastAsia="Times New Roman" w:hint="default"/>
          <w:spacing w:val="-1"/>
        </w:rPr>
        <w:t>1,500.00</w:t>
      </w:r>
      <w:r>
        <w:rPr>
          <w:spacing w:val="-1"/>
        </w:rPr>
        <w:t>万短期借款，借款期限</w:t>
      </w:r>
      <w:r>
        <w:rPr>
          <w:rFonts w:ascii="Times New Roman" w:hAnsi="Times New Roman" w:cs="Times New Roman" w:eastAsia="Times New Roman" w:hint="default"/>
          <w:spacing w:val="-1"/>
        </w:rPr>
        <w:t>12</w:t>
      </w:r>
      <w:r>
        <w:rPr>
          <w:spacing w:val="-1"/>
        </w:rPr>
        <w:t>个月，自实</w:t>
      </w:r>
      <w:r>
        <w:rPr>
          <w:spacing w:val="-83"/>
        </w:rPr>
        <w:t> </w:t>
      </w:r>
      <w:r>
        <w:rPr>
          <w:spacing w:val="-83"/>
        </w:rPr>
      </w:r>
      <w:r>
        <w:rPr/>
        <w:t>际提款日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日算起，公司于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日归还</w:t>
      </w:r>
      <w:r>
        <w:rPr>
          <w:rFonts w:ascii="Times New Roman" w:hAnsi="Times New Roman" w:cs="Times New Roman" w:eastAsia="Times New Roman" w:hint="default"/>
        </w:rPr>
        <w:t>750.00</w:t>
      </w:r>
      <w:r>
        <w:rPr/>
        <w:t>万元借款，期末信用借款余额为</w:t>
      </w:r>
      <w:r>
        <w:rPr>
          <w:rFonts w:ascii="Times New Roman" w:hAnsi="Times New Roman" w:cs="Times New Roman" w:eastAsia="Times New Roman" w:hint="default"/>
        </w:rPr>
        <w:t>750.00</w:t>
      </w:r>
      <w:r>
        <w:rPr/>
        <w:t>万 元； </w:t>
      </w:r>
      <w:r>
        <w:rPr>
          <w:rFonts w:ascii="Times New Roman" w:hAnsi="Times New Roman" w:cs="Times New Roman" w:eastAsia="Times New Roman" w:hint="default"/>
        </w:rPr>
        <w:t>2</w:t>
      </w:r>
      <w:r>
        <w:rPr/>
        <w:t>、保证借款：公司第一大股东及法人代表杨维国对交通银行河南省分行</w:t>
      </w:r>
      <w:r>
        <w:rPr>
          <w:rFonts w:ascii="Times New Roman" w:hAnsi="Times New Roman" w:cs="Times New Roman" w:eastAsia="Times New Roman" w:hint="default"/>
        </w:rPr>
        <w:t>5200.00</w:t>
      </w:r>
      <w:r>
        <w:rPr/>
        <w:t>万元短期借款提供保证担 保； </w:t>
      </w:r>
      <w:r>
        <w:rPr>
          <w:rFonts w:ascii="Times New Roman" w:hAnsi="Times New Roman" w:cs="Times New Roman" w:eastAsia="Times New Roman" w:hint="default"/>
        </w:rPr>
        <w:t>3</w:t>
      </w:r>
      <w:r>
        <w:rPr/>
        <w:t>、抵押担保借款：公司以合计原值为</w:t>
      </w:r>
      <w:r>
        <w:rPr>
          <w:rFonts w:ascii="Times New Roman" w:hAnsi="Times New Roman" w:cs="Times New Roman" w:eastAsia="Times New Roman" w:hint="default"/>
        </w:rPr>
        <w:t>1,830.37</w:t>
      </w:r>
      <w:r>
        <w:rPr/>
        <w:t>万元的郑房权证字第</w:t>
      </w:r>
      <w:r>
        <w:rPr>
          <w:rFonts w:ascii="Times New Roman" w:hAnsi="Times New Roman" w:cs="Times New Roman" w:eastAsia="Times New Roman" w:hint="default"/>
        </w:rPr>
        <w:t>1501159164</w:t>
      </w:r>
      <w:r>
        <w:rPr/>
        <w:t>号、第</w:t>
      </w:r>
      <w:r>
        <w:rPr>
          <w:rFonts w:ascii="Times New Roman" w:hAnsi="Times New Roman" w:cs="Times New Roman" w:eastAsia="Times New Roman" w:hint="default"/>
        </w:rPr>
        <w:t>1501159163</w:t>
      </w:r>
      <w:r>
        <w:rPr/>
        <w:t>号、第</w:t>
      </w:r>
    </w:p>
    <w:p>
      <w:pPr>
        <w:pStyle w:val="BodyText"/>
        <w:spacing w:line="386" w:lineRule="auto" w:before="24"/>
        <w:ind w:right="215"/>
        <w:jc w:val="left"/>
      </w:pPr>
      <w:r>
        <w:rPr>
          <w:rFonts w:ascii="Times New Roman" w:hAnsi="Times New Roman" w:cs="Times New Roman" w:eastAsia="Times New Roman" w:hint="default"/>
        </w:rPr>
        <w:t>1501159174</w:t>
      </w:r>
      <w:r>
        <w:rPr/>
        <w:t>号房屋权证用于中信银行郑州分行</w:t>
      </w:r>
      <w:r>
        <w:rPr>
          <w:rFonts w:ascii="Times New Roman" w:hAnsi="Times New Roman" w:cs="Times New Roman" w:eastAsia="Times New Roman" w:hint="default"/>
        </w:rPr>
        <w:t>1,600.00</w:t>
      </w:r>
      <w:r>
        <w:rPr/>
        <w:t>万元短期借款的抵押，同时第一大股东及法人代表 杨维国对中信银行郑州分行</w:t>
      </w:r>
      <w:r>
        <w:rPr>
          <w:rFonts w:ascii="Times New Roman" w:hAnsi="Times New Roman" w:cs="Times New Roman" w:eastAsia="Times New Roman" w:hint="default"/>
        </w:rPr>
        <w:t>1,600.00</w:t>
      </w:r>
      <w:r>
        <w:rPr/>
        <w:t>万元短期借款提供保证担保。</w:t>
      </w:r>
    </w:p>
    <w:p>
      <w:pPr>
        <w:spacing w:line="240" w:lineRule="auto" w:before="10"/>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33</w:t>
      </w:r>
      <w:r>
        <w:rPr/>
        <w:t>、衍生金融负债</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4"/>
        <w:spacing w:line="240" w:lineRule="auto" w:before="35"/>
        <w:ind w:right="0"/>
        <w:jc w:val="left"/>
        <w:rPr>
          <w:b w:val="0"/>
          <w:bCs w:val="0"/>
        </w:rPr>
      </w:pPr>
      <w:r>
        <w:rPr>
          <w:rFonts w:ascii="Times New Roman" w:hAnsi="Times New Roman" w:cs="Times New Roman" w:eastAsia="Times New Roman" w:hint="default"/>
        </w:rPr>
        <w:t>34</w:t>
      </w:r>
      <w:r>
        <w:rPr/>
        <w:t>、应付票据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r>
        <w:rPr>
          <w:rFonts w:ascii="Times New Roman" w:hAnsi="Times New Roman" w:cs="Times New Roman" w:eastAsia="Times New Roman" w:hint="default"/>
        </w:rPr>
        <w:t>35</w:t>
      </w:r>
      <w:r>
        <w:rPr/>
        <w:t>、应付账款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应付经营货款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93,779,193.37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51,400,616.38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应付外包劳务费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1,240,832.82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614,995.99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95,020,026.19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52,015,612.37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北京宏通万达智能科技有限公司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2,286,134.41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尚未与对方结算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云南省通信产业服务有限公司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1,359,791.00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尚未与对方结算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中安创元（北京）科技有限公司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1,219,383.49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尚未与对方结算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深圳毅能达智能卡制造有限公司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822,491.15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尚未与对方结算</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5,687,800.05</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36</w:t>
      </w:r>
      <w:r>
        <w:rPr/>
        <w:t>、预收款项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71,174,767.76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22,009,715.16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71,174,767.76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22,009,715.16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12"/>
          <w:szCs w:val="12"/>
        </w:rPr>
      </w:pPr>
    </w:p>
    <w:p>
      <w:pPr>
        <w:pStyle w:val="BodyText"/>
        <w:spacing w:line="240" w:lineRule="auto" w:before="0"/>
        <w:ind w:right="0"/>
        <w:jc w:val="left"/>
      </w:pP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日无账龄超过</w:t>
      </w:r>
      <w:r>
        <w:rPr>
          <w:rFonts w:ascii="Times New Roman" w:hAnsi="Times New Roman" w:cs="Times New Roman" w:eastAsia="Times New Roman" w:hint="default"/>
        </w:rPr>
        <w:t>1</w:t>
      </w:r>
      <w:r>
        <w:rPr/>
        <w:t>年单项金额在</w:t>
      </w:r>
      <w:r>
        <w:rPr>
          <w:rFonts w:ascii="Times New Roman" w:hAnsi="Times New Roman" w:cs="Times New Roman" w:eastAsia="Times New Roman" w:hint="default"/>
        </w:rPr>
        <w:t>100.00</w:t>
      </w:r>
      <w:r>
        <w:rPr/>
        <w:t>万以上的大额预收款项。</w:t>
      </w:r>
    </w:p>
    <w:p>
      <w:pPr>
        <w:spacing w:after="0" w:line="240"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r>
        <w:rPr>
          <w:rFonts w:ascii="Times New Roman" w:hAnsi="Times New Roman" w:cs="Times New Roman" w:eastAsia="Times New Roman" w:hint="default"/>
        </w:rPr>
        <w:t>37</w:t>
      </w:r>
      <w:r>
        <w:rPr/>
        <w:t>、应付职工薪酬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426,005.22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142,655,077.11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133,658,354.29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9,422,728.04</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9,698,947.11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9,537,036.71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161,910.40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426,005.22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152,354,024.22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143,195,391.00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9,584,638.44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207,010.61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130,881,946.25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121,760,007.98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9,328,948.88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1,234,787.53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1,234,787.53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4,685,691.04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4,633,877.20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51,813.84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其中：医疗保险费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4,098,786.86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4,053,212.32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45,574.54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工伤保险费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187,669.51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185,001.21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2,668.30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生育保险费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399,234.67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395,663.67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3,571.00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3,898,356.81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3,887,090.81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11,266.00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218,994.61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1,954,295.48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2,142,590.77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30,699.32</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426,005.22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142,655,077.11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133,658,354.29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9,422,728.04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9,063,592.20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8,908,828.30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154,763.90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635,354.91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628,208.41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7,146.50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9,698,947.11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9,537,036.71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161,910.40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38</w:t>
      </w:r>
      <w:r>
        <w:rPr/>
        <w:t>、应交税费</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16,050,761.16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4,992,412.30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5,651,321.79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4,684,681.96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658,783.49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88,438.67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958,001.40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346,038.11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394,715.52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152,548.07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301,940.51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101,698.73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180,960.55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225,576.70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38,820.07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48,038.96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-21,120.60</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9,571.04</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24,223,754.93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10,639,433.50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240" w:lineRule="auto" w:before="0"/>
        <w:ind w:right="0"/>
        <w:jc w:val="left"/>
      </w:pPr>
      <w:r>
        <w:rPr/>
        <w:t>其中营业税</w:t>
      </w:r>
      <w:r>
        <w:rPr>
          <w:rFonts w:ascii="Times New Roman" w:hAnsi="Times New Roman" w:cs="Times New Roman" w:eastAsia="Times New Roman" w:hint="default"/>
        </w:rPr>
        <w:t>-21,120.60</w:t>
      </w:r>
      <w:r>
        <w:rPr/>
        <w:t>为出租房屋预缴的营业税</w:t>
      </w:r>
    </w:p>
    <w:p>
      <w:pPr>
        <w:spacing w:line="240" w:lineRule="auto" w:before="8"/>
        <w:rPr>
          <w:rFonts w:ascii="宋体" w:hAnsi="宋体" w:cs="宋体" w:eastAsia="宋体" w:hint="default"/>
          <w:sz w:val="30"/>
          <w:szCs w:val="30"/>
        </w:rPr>
      </w:pPr>
    </w:p>
    <w:p>
      <w:pPr>
        <w:pStyle w:val="Heading4"/>
        <w:spacing w:line="240" w:lineRule="auto"/>
        <w:ind w:right="0"/>
        <w:jc w:val="left"/>
        <w:rPr>
          <w:b w:val="0"/>
          <w:bCs w:val="0"/>
        </w:rPr>
      </w:pPr>
      <w:r>
        <w:rPr>
          <w:rFonts w:ascii="Times New Roman" w:hAnsi="Times New Roman" w:cs="Times New Roman" w:eastAsia="Times New Roman" w:hint="default"/>
        </w:rPr>
        <w:t>39</w:t>
      </w:r>
      <w:r>
        <w:rPr/>
        <w:t>、应付利息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rFonts w:ascii="Times New Roman" w:hAnsi="Times New Roman" w:cs="Times New Roman" w:eastAsia="Times New Roman" w:hint="default"/>
        </w:rPr>
        <w:t>40</w:t>
      </w:r>
      <w:r>
        <w:rPr/>
        <w:t>、应付股利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1,524,122.09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1,020,899.33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应付代垫款项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683,268.23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168,502.96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待付并购款项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201,400,000.00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203,607,390.32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1,189,402.29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42</w:t>
      </w:r>
      <w:r>
        <w:rPr/>
        <w:t>、划分为持有待售的负债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8,666,666.66</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8,666,666.66</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17,333,333.34</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17,333,333.34</w:t>
            </w:r>
          </w:p>
        </w:tc>
        <w:tc>
          <w:tcPr>
            <w:tcW w:w="318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96" w:lineRule="auto" w:before="51"/>
        <w:ind w:left="153" w:right="146"/>
        <w:jc w:val="left"/>
      </w:pPr>
      <w:r>
        <w:rPr>
          <w:sz w:val="18"/>
          <w:szCs w:val="18"/>
        </w:rPr>
        <w:t>长期借款分类的说明： </w:t>
      </w:r>
      <w:r>
        <w:rPr/>
        <w:t>公司将持有的子公司上海树维信息科技有限公司</w:t>
      </w:r>
      <w:r>
        <w:rPr>
          <w:rFonts w:ascii="Times New Roman" w:hAnsi="Times New Roman" w:cs="Times New Roman" w:eastAsia="Times New Roman" w:hint="default"/>
        </w:rPr>
        <w:t>100%</w:t>
      </w:r>
      <w:r>
        <w:rPr/>
        <w:t>股权质押给招商银行郑州分行取得</w:t>
      </w:r>
      <w:r>
        <w:rPr>
          <w:rFonts w:ascii="Times New Roman" w:hAnsi="Times New Roman" w:cs="Times New Roman" w:eastAsia="Times New Roman" w:hint="default"/>
        </w:rPr>
        <w:t>2,600.00</w:t>
      </w:r>
      <w:r>
        <w:rPr/>
        <w:t>万元长期 借款，借款期限为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日，一年到期的还款金额为</w:t>
      </w:r>
      <w:r>
        <w:rPr>
          <w:rFonts w:ascii="Times New Roman" w:hAnsi="Times New Roman" w:cs="Times New Roman" w:eastAsia="Times New Roman" w:hint="default"/>
        </w:rPr>
        <w:t>866.66</w:t>
      </w:r>
      <w:r>
        <w:rPr/>
        <w:t>万，同时第一大股东 及法人代表杨维国对招商银行郑州分行</w:t>
      </w:r>
      <w:r>
        <w:rPr>
          <w:rFonts w:ascii="Times New Roman" w:hAnsi="Times New Roman" w:cs="Times New Roman" w:eastAsia="Times New Roman" w:hint="default"/>
        </w:rPr>
        <w:t>2,600.00</w:t>
      </w:r>
      <w:r>
        <w:rPr/>
        <w:t>万元长期借款提供保证担保。</w:t>
      </w:r>
    </w:p>
    <w:p>
      <w:pPr>
        <w:spacing w:line="240" w:lineRule="auto" w:before="1"/>
        <w:rPr>
          <w:rFonts w:ascii="宋体" w:hAnsi="宋体" w:cs="宋体" w:eastAsia="宋体" w:hint="default"/>
          <w:sz w:val="19"/>
          <w:szCs w:val="19"/>
        </w:rPr>
      </w:pPr>
    </w:p>
    <w:p>
      <w:pPr>
        <w:pStyle w:val="Heading4"/>
        <w:spacing w:line="240" w:lineRule="auto"/>
        <w:ind w:left="153" w:right="0"/>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rFonts w:ascii="Times New Roman" w:hAnsi="Times New Roman" w:cs="Times New Roman" w:eastAsia="Times New Roman" w:hint="default"/>
        </w:rPr>
        <w:t>47</w:t>
      </w:r>
      <w:r>
        <w:rPr/>
        <w:t>、长期应付款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rFonts w:ascii="Times New Roman" w:hAnsi="Times New Roman" w:cs="Times New Roman" w:eastAsia="Times New Roman" w:hint="default"/>
        </w:rPr>
        <w:t>49</w:t>
      </w:r>
      <w:r>
        <w:rPr/>
        <w:t>、专项应付款</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4"/>
        <w:spacing w:line="240" w:lineRule="auto" w:before="35"/>
        <w:ind w:right="0"/>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808,531.04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808,531.04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98" w:lineRule="auto" w:before="51"/>
        <w:ind w:right="139"/>
        <w:jc w:val="left"/>
      </w:pPr>
      <w:r>
        <w:rPr>
          <w:sz w:val="18"/>
          <w:szCs w:val="18"/>
        </w:rPr>
        <w:t>其他说明，包括重要预计负债的相关重要假设、估计说明：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日公司收到贵州省凯里市人民法院送达的《应诉通知书》（（</w:t>
      </w:r>
      <w:r>
        <w:rPr>
          <w:rFonts w:ascii="Times New Roman" w:hAnsi="Times New Roman" w:cs="Times New Roman" w:eastAsia="Times New Roman" w:hint="default"/>
        </w:rPr>
        <w:t>2014</w:t>
      </w:r>
      <w:r>
        <w:rPr/>
        <w:t>）凯民初字第</w:t>
      </w:r>
      <w:r>
        <w:rPr>
          <w:rFonts w:ascii="Times New Roman" w:hAnsi="Times New Roman" w:cs="Times New Roman" w:eastAsia="Times New Roman" w:hint="default"/>
        </w:rPr>
        <w:t>1230</w:t>
      </w:r>
      <w:r>
        <w:rPr>
          <w:rFonts w:ascii="Times New Roman" w:hAnsi="Times New Roman" w:cs="Times New Roman" w:eastAsia="Times New Roman" w:hint="default"/>
          <w:spacing w:val="23"/>
        </w:rPr>
        <w:t> </w:t>
      </w:r>
      <w:r>
        <w:rPr/>
        <w:t>号）， </w:t>
      </w:r>
      <w:r>
        <w:rPr>
          <w:spacing w:val="-1"/>
        </w:rPr>
        <w:t>因参股子公司凯里智慧城市通卡管理有限公司被合同对方北京盛世远景科技发展有限公司提起诉讼。要求</w:t>
      </w:r>
      <w:r>
        <w:rPr>
          <w:spacing w:val="-81"/>
        </w:rPr>
        <w:t> </w:t>
      </w:r>
      <w:r>
        <w:rPr>
          <w:spacing w:val="-81"/>
        </w:rPr>
      </w:r>
      <w:r>
        <w:rPr>
          <w:spacing w:val="-2"/>
        </w:rPr>
        <w:t>凯里智慧城市通卡管理有限公司支付其设计布展施工费用及违约金合计</w:t>
      </w:r>
      <w:r>
        <w:rPr>
          <w:rFonts w:ascii="Times New Roman" w:hAnsi="Times New Roman" w:cs="Times New Roman" w:eastAsia="Times New Roman" w:hint="default"/>
          <w:spacing w:val="-2"/>
        </w:rPr>
        <w:t>2,148,840.00</w:t>
      </w:r>
      <w:r>
        <w:rPr>
          <w:spacing w:val="-2"/>
        </w:rPr>
        <w:t>元，公司在未实缴出资</w:t>
      </w:r>
      <w:r>
        <w:rPr>
          <w:spacing w:val="-82"/>
        </w:rPr>
        <w:t> </w:t>
      </w:r>
      <w:r>
        <w:rPr>
          <w:spacing w:val="-82"/>
        </w:rPr>
      </w:r>
      <w:r>
        <w:rPr/>
        <w:t>范围内承担连带赔偿责任金额为</w:t>
      </w:r>
      <w:r>
        <w:rPr>
          <w:rFonts w:ascii="Times New Roman" w:hAnsi="Times New Roman" w:cs="Times New Roman" w:eastAsia="Times New Roman" w:hint="default"/>
        </w:rPr>
        <w:t>808,531.04</w:t>
      </w:r>
      <w:r>
        <w:rPr/>
        <w:t>元。</w:t>
      </w:r>
    </w:p>
    <w:p>
      <w:pPr>
        <w:spacing w:line="240" w:lineRule="auto" w:before="11"/>
        <w:rPr>
          <w:rFonts w:ascii="宋体" w:hAnsi="宋体" w:cs="宋体" w:eastAsia="宋体" w:hint="default"/>
          <w:sz w:val="18"/>
          <w:szCs w:val="18"/>
        </w:rPr>
      </w:pPr>
    </w:p>
    <w:p>
      <w:pPr>
        <w:pStyle w:val="Heading4"/>
        <w:spacing w:line="240" w:lineRule="auto"/>
        <w:ind w:right="0"/>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9,563,001.67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1,378,420.00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15,184,581.67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9,563,001.67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1,378,420.00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15,184,581.67</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高新区科技局研 发经费</w:t>
            </w:r>
            <w:r>
              <w:rPr>
                <w:rFonts w:ascii="Times New Roman" w:hAnsi="Times New Roman" w:cs="Times New Roman" w:eastAsia="Times New Roman" w:hint="default"/>
                <w:sz w:val="18"/>
                <w:szCs w:val="18"/>
              </w:rPr>
              <w:t>"</w:t>
            </w:r>
            <w:r>
              <w:rPr>
                <w:rFonts w:ascii="宋体" w:hAnsi="宋体" w:cs="宋体" w:eastAsia="宋体" w:hint="default"/>
                <w:sz w:val="18"/>
                <w:szCs w:val="18"/>
              </w:rPr>
              <w:t>重大科 技专项基于电信 运营的小额支付</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年郑州市第 三批技术研究与 开发经费项目： 智能卡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支 付与识别产品产 业化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866,666.67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666,666.67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高新区财政局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年物联网发 展专项资金款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7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郑州市财政局</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年河南省高</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67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新技术产业化项 目资金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郑州市财政局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年度科技经 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年电子信息 产业振兴和技术 改造项目建设中 央投资地方专项 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972,000.00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648,000.00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324,000.00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郑州</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年度信 息化发展专项资 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郑州市财政局产 业技术创新专项 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高新区管委会奖 励车辆（豫 </w:t>
            </w:r>
            <w:r>
              <w:rPr>
                <w:rFonts w:ascii="Times New Roman" w:hAnsi="Times New Roman" w:cs="Times New Roman" w:eastAsia="Times New Roman" w:hint="default"/>
                <w:sz w:val="18"/>
                <w:szCs w:val="18"/>
              </w:rPr>
              <w:t>A521GX</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124,335.00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18,420.00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105,915.00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河南省财政厅高 新技术产业化专 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基于金 融</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卡的移动支 付信息化服务平 台与终端项目</w:t>
            </w:r>
            <w:r>
              <w:rPr>
                <w:rFonts w:ascii="Times New Roman" w:hAnsi="Times New Roman" w:cs="Times New Roman" w:eastAsia="Times New Roman"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322,000.00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1,288,000.00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7"/>
              <w:jc w:val="both"/>
              <w:rPr>
                <w:rFonts w:ascii="宋体" w:hAnsi="宋体" w:cs="宋体" w:eastAsia="宋体" w:hint="default"/>
                <w:sz w:val="18"/>
                <w:szCs w:val="18"/>
              </w:rPr>
            </w:pPr>
            <w:r>
              <w:rPr>
                <w:rFonts w:ascii="宋体" w:hAnsi="宋体" w:cs="宋体" w:eastAsia="宋体" w:hint="default"/>
                <w:sz w:val="18"/>
                <w:szCs w:val="18"/>
              </w:rPr>
              <w:t>云架构的金融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 </w:t>
            </w:r>
            <w:r>
              <w:rPr>
                <w:rFonts w:ascii="宋体" w:hAnsi="宋体" w:cs="宋体" w:eastAsia="宋体" w:hint="default"/>
                <w:sz w:val="18"/>
                <w:szCs w:val="18"/>
              </w:rPr>
              <w:t>卡公共服务运营 平台及终端项目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远距离射频识别 技术的终端产品 研究与开发项目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物联网通信与组 网关键技术的研 究与应用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高新区管委会技 术研究与开发经 费项目</w:t>
            </w:r>
            <w:r>
              <w:rPr>
                <w:rFonts w:ascii="Times New Roman" w:hAnsi="Times New Roman" w:cs="Times New Roman" w:eastAsia="Times New Roman" w:hint="default"/>
                <w:sz w:val="18"/>
                <w:szCs w:val="18"/>
              </w:rPr>
              <w:t>"</w:t>
            </w:r>
            <w:r>
              <w:rPr>
                <w:rFonts w:ascii="宋体" w:hAnsi="宋体" w:cs="宋体" w:eastAsia="宋体" w:hint="default"/>
                <w:sz w:val="18"/>
                <w:szCs w:val="18"/>
              </w:rPr>
              <w:t>驾校综 合管理系统研发</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7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NFC</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技术的 金融</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卡移动支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付综合应用系统</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郑州市信息化发</w:t>
            </w:r>
          </w:p>
        </w:tc>
        <w:tc>
          <w:tcPr>
            <w:tcW w:w="1369"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367"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展专项资金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金 融支付系统及终</w:t>
            </w:r>
          </w:p>
        </w:tc>
        <w:tc>
          <w:tcPr>
            <w:tcW w:w="1369"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1,300,000.00</w:t>
            </w: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7" w:hRule="exact"/>
        </w:trPr>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端项目</w:t>
            </w:r>
            <w:r>
              <w:rPr>
                <w:rFonts w:ascii="Times New Roman" w:hAnsi="Times New Roman" w:cs="Times New Roman" w:eastAsia="Times New Roman" w:hint="default"/>
                <w:sz w:val="18"/>
                <w:szCs w:val="18"/>
              </w:rPr>
              <w:t>"</w:t>
            </w:r>
          </w:p>
        </w:tc>
        <w:tc>
          <w:tcPr>
            <w:tcW w:w="1369"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郑州市科技计划</w:t>
            </w:r>
          </w:p>
        </w:tc>
        <w:tc>
          <w:tcPr>
            <w:tcW w:w="1369"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经费</w:t>
            </w:r>
            <w:r>
              <w:rPr>
                <w:rFonts w:ascii="Times New Roman" w:hAnsi="Times New Roman" w:cs="Times New Roman" w:eastAsia="Times New Roman" w:hint="default"/>
                <w:sz w:val="18"/>
                <w:szCs w:val="18"/>
              </w:rPr>
              <w:t>"</w:t>
            </w:r>
            <w:r>
              <w:rPr>
                <w:rFonts w:ascii="宋体" w:hAnsi="宋体" w:cs="宋体" w:eastAsia="宋体" w:hint="default"/>
                <w:sz w:val="18"/>
                <w:szCs w:val="18"/>
              </w:rPr>
              <w:t>基于物联</w:t>
            </w:r>
          </w:p>
        </w:tc>
        <w:tc>
          <w:tcPr>
            <w:tcW w:w="1369"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网与金融</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卡的</w:t>
            </w:r>
          </w:p>
        </w:tc>
        <w:tc>
          <w:tcPr>
            <w:tcW w:w="1369"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1" w:hRule="exact"/>
        </w:trPr>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智能终端产业化</w:t>
            </w:r>
          </w:p>
        </w:tc>
        <w:tc>
          <w:tcPr>
            <w:tcW w:w="1369"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9"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河南省扶持企业</w:t>
            </w:r>
          </w:p>
        </w:tc>
        <w:tc>
          <w:tcPr>
            <w:tcW w:w="1369"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自主创新资金</w:t>
            </w:r>
            <w:r>
              <w:rPr>
                <w:rFonts w:ascii="Times New Roman" w:hAnsi="Times New Roman" w:cs="Times New Roman" w:eastAsia="Times New Roman" w:hint="default"/>
                <w:sz w:val="18"/>
                <w:szCs w:val="18"/>
              </w:rPr>
              <w:t>"</w:t>
            </w:r>
          </w:p>
        </w:tc>
        <w:tc>
          <w:tcPr>
            <w:tcW w:w="1369"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367"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23"/>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NFC</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技术的 金融</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卡移动支</w:t>
            </w:r>
          </w:p>
        </w:tc>
        <w:tc>
          <w:tcPr>
            <w:tcW w:w="1369"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3,700,000.00</w:t>
            </w: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3,700,000.00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08" w:hRule="exact"/>
        </w:trPr>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付综合应用系统</w:t>
            </w:r>
          </w:p>
        </w:tc>
        <w:tc>
          <w:tcPr>
            <w:tcW w:w="1369"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研发及产业化</w:t>
            </w:r>
            <w:r>
              <w:rPr>
                <w:rFonts w:ascii="Times New Roman" w:hAnsi="Times New Roman" w:cs="Times New Roman" w:eastAsia="Times New Roman" w:hint="default"/>
                <w:sz w:val="18"/>
                <w:szCs w:val="18"/>
              </w:rPr>
              <w:t>"</w:t>
            </w:r>
          </w:p>
        </w:tc>
        <w:tc>
          <w:tcPr>
            <w:tcW w:w="1369"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9,563,001.67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9" w:right="0"/>
              <w:jc w:val="left"/>
              <w:rPr>
                <w:rFonts w:ascii="Times New Roman" w:hAnsi="Times New Roman" w:cs="Times New Roman" w:eastAsia="Times New Roman" w:hint="default"/>
                <w:sz w:val="18"/>
                <w:szCs w:val="18"/>
              </w:rPr>
            </w:pPr>
            <w:r>
              <w:rPr>
                <w:rFonts w:ascii="Times New Roman"/>
                <w:sz w:val="18"/>
              </w:rPr>
              <w:t>1,378,420.00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15,184,581.67</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388" w:lineRule="auto" w:before="0"/>
        <w:ind w:left="871" w:right="128"/>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2011</w:t>
      </w:r>
      <w:r>
        <w:rPr>
          <w:spacing w:val="2"/>
        </w:rPr>
        <w:t>年郑州市第三批技术研究与开发经费项目：智能卡</w:t>
      </w:r>
      <w:r>
        <w:rPr>
          <w:rFonts w:ascii="Times New Roman" w:hAnsi="Times New Roman" w:cs="Times New Roman" w:eastAsia="Times New Roman" w:hint="default"/>
          <w:spacing w:val="2"/>
        </w:rPr>
        <w:t>RFID</w:t>
      </w:r>
      <w:r>
        <w:rPr>
          <w:spacing w:val="2"/>
        </w:rPr>
        <w:t>支付与识别产品产业化已于</w:t>
      </w:r>
      <w:r>
        <w:rPr>
          <w:rFonts w:ascii="Times New Roman" w:hAnsi="Times New Roman" w:cs="Times New Roman" w:eastAsia="Times New Roman" w:hint="default"/>
          <w:spacing w:val="2"/>
        </w:rPr>
        <w:t>2014</w:t>
      </w:r>
      <w:r>
        <w:rPr>
          <w:rFonts w:ascii="Times New Roman" w:hAnsi="Times New Roman" w:cs="Times New Roman" w:eastAsia="Times New Roman" w:hint="default"/>
          <w:spacing w:val="-30"/>
        </w:rPr>
        <w:t> </w:t>
      </w:r>
      <w:r>
        <w:rPr/>
        <w:t>年</w:t>
      </w:r>
      <w:r>
        <w:rPr>
          <w:rFonts w:ascii="Times New Roman" w:hAnsi="Times New Roman" w:cs="Times New Roman" w:eastAsia="Times New Roman" w:hint="default"/>
        </w:rPr>
        <w:t>4</w:t>
      </w:r>
      <w:r>
        <w:rPr/>
        <w:t>月验收合格并开始摊销，按照</w:t>
      </w:r>
      <w:r>
        <w:rPr>
          <w:rFonts w:ascii="Times New Roman" w:hAnsi="Times New Roman" w:cs="Times New Roman" w:eastAsia="Times New Roman" w:hint="default"/>
        </w:rPr>
        <w:t>5</w:t>
      </w:r>
      <w:r>
        <w:rPr/>
        <w:t>年摊销，本年摊销额</w:t>
      </w:r>
      <w:r>
        <w:rPr>
          <w:rFonts w:ascii="Times New Roman" w:hAnsi="Times New Roman" w:cs="Times New Roman" w:eastAsia="Times New Roman" w:hint="default"/>
        </w:rPr>
        <w:t>20.00</w:t>
      </w:r>
      <w:r>
        <w:rPr/>
        <w:t>万，期末余额</w:t>
      </w:r>
      <w:r>
        <w:rPr>
          <w:rFonts w:ascii="Times New Roman" w:hAnsi="Times New Roman" w:cs="Times New Roman" w:eastAsia="Times New Roman" w:hint="default"/>
        </w:rPr>
        <w:t>66.67</w:t>
      </w:r>
      <w:r>
        <w:rPr/>
        <w:t>万； </w:t>
      </w:r>
      <w:r>
        <w:rPr>
          <w:rFonts w:ascii="Times New Roman" w:hAnsi="Times New Roman" w:cs="Times New Roman" w:eastAsia="Times New Roman" w:hint="default"/>
          <w:spacing w:val="-2"/>
        </w:rPr>
        <w:t>2</w:t>
      </w:r>
      <w:r>
        <w:rPr>
          <w:spacing w:val="-2"/>
        </w:rPr>
        <w:t>、郑州市财政局</w:t>
      </w:r>
      <w:r>
        <w:rPr>
          <w:rFonts w:ascii="Times New Roman" w:hAnsi="Times New Roman" w:cs="Times New Roman" w:eastAsia="Times New Roman" w:hint="default"/>
          <w:spacing w:val="-2"/>
        </w:rPr>
        <w:t>2009</w:t>
      </w:r>
      <w:r>
        <w:rPr>
          <w:spacing w:val="-2"/>
        </w:rPr>
        <w:t>年河南省高新技术产业化项目资金原值</w:t>
      </w:r>
      <w:r>
        <w:rPr>
          <w:rFonts w:ascii="Times New Roman" w:hAnsi="Times New Roman" w:cs="Times New Roman" w:eastAsia="Times New Roman" w:hint="default"/>
          <w:spacing w:val="-2"/>
        </w:rPr>
        <w:t>100.00</w:t>
      </w:r>
      <w:r>
        <w:rPr>
          <w:spacing w:val="-2"/>
        </w:rPr>
        <w:t>万，按照</w:t>
      </w:r>
      <w:r>
        <w:rPr>
          <w:rFonts w:ascii="Times New Roman" w:hAnsi="Times New Roman" w:cs="Times New Roman" w:eastAsia="Times New Roman" w:hint="default"/>
          <w:spacing w:val="-2"/>
        </w:rPr>
        <w:t>5</w:t>
      </w:r>
      <w:r>
        <w:rPr>
          <w:spacing w:val="-2"/>
        </w:rPr>
        <w:t>年进行摊销，本年摊</w:t>
      </w:r>
      <w:r>
        <w:rPr>
          <w:spacing w:val="-76"/>
        </w:rPr>
        <w:t> </w:t>
      </w:r>
      <w:r>
        <w:rPr>
          <w:spacing w:val="-76"/>
        </w:rPr>
      </w:r>
      <w:r>
        <w:rPr/>
        <w:t>销金额</w:t>
      </w:r>
      <w:r>
        <w:rPr>
          <w:rFonts w:ascii="Times New Roman" w:hAnsi="Times New Roman" w:cs="Times New Roman" w:eastAsia="Times New Roman" w:hint="default"/>
        </w:rPr>
        <w:t>10.00</w:t>
      </w:r>
      <w:r>
        <w:rPr/>
        <w:t>万，累计摊销额</w:t>
      </w:r>
      <w:r>
        <w:rPr>
          <w:rFonts w:ascii="Times New Roman" w:hAnsi="Times New Roman" w:cs="Times New Roman" w:eastAsia="Times New Roman" w:hint="default"/>
        </w:rPr>
        <w:t>100.00</w:t>
      </w:r>
      <w:r>
        <w:rPr/>
        <w:t>万，已摊销到期； </w:t>
      </w:r>
      <w:r>
        <w:rPr>
          <w:rFonts w:ascii="Times New Roman" w:hAnsi="Times New Roman" w:cs="Times New Roman" w:eastAsia="Times New Roman" w:hint="default"/>
          <w:spacing w:val="-4"/>
        </w:rPr>
        <w:t>3</w:t>
      </w:r>
      <w:r>
        <w:rPr>
          <w:spacing w:val="-4"/>
        </w:rPr>
        <w:t>、郑州市财政局</w:t>
      </w:r>
      <w:r>
        <w:rPr>
          <w:rFonts w:ascii="Times New Roman" w:hAnsi="Times New Roman" w:cs="Times New Roman" w:eastAsia="Times New Roman" w:hint="default"/>
          <w:spacing w:val="-4"/>
        </w:rPr>
        <w:t>2009</w:t>
      </w:r>
      <w:r>
        <w:rPr>
          <w:spacing w:val="-4"/>
        </w:rPr>
        <w:t>年度科技经费原值</w:t>
      </w:r>
      <w:r>
        <w:rPr>
          <w:rFonts w:ascii="Times New Roman" w:hAnsi="Times New Roman" w:cs="Times New Roman" w:eastAsia="Times New Roman" w:hint="default"/>
          <w:spacing w:val="-4"/>
        </w:rPr>
        <w:t>50.00</w:t>
      </w:r>
      <w:r>
        <w:rPr>
          <w:spacing w:val="-4"/>
        </w:rPr>
        <w:t>万，按照</w:t>
      </w:r>
      <w:r>
        <w:rPr>
          <w:rFonts w:ascii="Times New Roman" w:hAnsi="Times New Roman" w:cs="Times New Roman" w:eastAsia="Times New Roman" w:hint="default"/>
          <w:spacing w:val="-4"/>
        </w:rPr>
        <w:t>5</w:t>
      </w:r>
      <w:r>
        <w:rPr>
          <w:spacing w:val="-4"/>
        </w:rPr>
        <w:t>年摊销，本年摊销</w:t>
      </w:r>
      <w:r>
        <w:rPr>
          <w:rFonts w:ascii="Times New Roman" w:hAnsi="Times New Roman" w:cs="Times New Roman" w:eastAsia="Times New Roman" w:hint="default"/>
          <w:spacing w:val="-4"/>
        </w:rPr>
        <w:t>5.00</w:t>
      </w:r>
      <w:r>
        <w:rPr>
          <w:spacing w:val="-4"/>
        </w:rPr>
        <w:t>万，累计摊销额</w:t>
      </w:r>
      <w:r>
        <w:rPr>
          <w:rFonts w:ascii="Times New Roman" w:hAnsi="Times New Roman" w:cs="Times New Roman" w:eastAsia="Times New Roman" w:hint="default"/>
          <w:spacing w:val="-4"/>
        </w:rPr>
        <w:t>50.00</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t>万，已摊销到期； </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2009</w:t>
      </w:r>
      <w:r>
        <w:rPr>
          <w:spacing w:val="-2"/>
        </w:rPr>
        <w:t>年电子信息产业振兴和技术改造项目建设中央投资地方专项资金原值</w:t>
      </w:r>
      <w:r>
        <w:rPr>
          <w:rFonts w:ascii="Times New Roman" w:hAnsi="Times New Roman" w:cs="Times New Roman" w:eastAsia="Times New Roman" w:hint="default"/>
          <w:spacing w:val="-2"/>
        </w:rPr>
        <w:t>324.00</w:t>
      </w:r>
      <w:r>
        <w:rPr>
          <w:spacing w:val="-2"/>
        </w:rPr>
        <w:t>万，按照</w:t>
      </w:r>
      <w:r>
        <w:rPr>
          <w:rFonts w:ascii="Times New Roman" w:hAnsi="Times New Roman" w:cs="Times New Roman" w:eastAsia="Times New Roman" w:hint="default"/>
          <w:spacing w:val="-2"/>
        </w:rPr>
        <w:t>5</w:t>
      </w:r>
      <w:r>
        <w:rPr>
          <w:spacing w:val="-2"/>
        </w:rPr>
        <w:t>年摊</w:t>
      </w:r>
      <w:r>
        <w:rPr>
          <w:spacing w:val="-71"/>
        </w:rPr>
        <w:t> </w:t>
      </w:r>
      <w:r>
        <w:rPr/>
        <w:t>销，本年摊销额</w:t>
      </w:r>
      <w:r>
        <w:rPr>
          <w:rFonts w:ascii="Times New Roman" w:hAnsi="Times New Roman" w:cs="Times New Roman" w:eastAsia="Times New Roman" w:hint="default"/>
        </w:rPr>
        <w:t>64.80</w:t>
      </w:r>
      <w:r>
        <w:rPr/>
        <w:t>万，累计摊销额</w:t>
      </w:r>
      <w:r>
        <w:rPr>
          <w:rFonts w:ascii="Times New Roman" w:hAnsi="Times New Roman" w:cs="Times New Roman" w:eastAsia="Times New Roman" w:hint="default"/>
        </w:rPr>
        <w:t>291.60</w:t>
      </w:r>
      <w:r>
        <w:rPr/>
        <w:t>万，期末余额</w:t>
      </w:r>
      <w:r>
        <w:rPr>
          <w:rFonts w:ascii="Times New Roman" w:hAnsi="Times New Roman" w:cs="Times New Roman" w:eastAsia="Times New Roman" w:hint="default"/>
        </w:rPr>
        <w:t>32.40</w:t>
      </w:r>
      <w:r>
        <w:rPr/>
        <w:t>万； </w:t>
      </w:r>
      <w:r>
        <w:rPr>
          <w:rFonts w:ascii="Times New Roman" w:hAnsi="Times New Roman" w:cs="Times New Roman" w:eastAsia="Times New Roman" w:hint="default"/>
          <w:spacing w:val="2"/>
        </w:rPr>
        <w:t>5</w:t>
      </w:r>
      <w:r>
        <w:rPr>
          <w:spacing w:val="2"/>
        </w:rPr>
        <w:t>、郑州</w:t>
      </w:r>
      <w:r>
        <w:rPr>
          <w:rFonts w:ascii="Times New Roman" w:hAnsi="Times New Roman" w:cs="Times New Roman" w:eastAsia="Times New Roman" w:hint="default"/>
          <w:spacing w:val="2"/>
        </w:rPr>
        <w:t>2009</w:t>
      </w:r>
      <w:r>
        <w:rPr>
          <w:spacing w:val="2"/>
        </w:rPr>
        <w:t>年度信息化发展专项资金所开展的项目已验收合格，按照</w:t>
      </w:r>
      <w:r>
        <w:rPr>
          <w:rFonts w:ascii="Times New Roman" w:hAnsi="Times New Roman" w:cs="Times New Roman" w:eastAsia="Times New Roman" w:hint="default"/>
          <w:spacing w:val="2"/>
        </w:rPr>
        <w:t>5</w:t>
      </w:r>
      <w:r>
        <w:rPr>
          <w:spacing w:val="2"/>
        </w:rPr>
        <w:t>年摊销，本年摊销额</w:t>
      </w:r>
      <w:r>
        <w:rPr>
          <w:rFonts w:ascii="Times New Roman" w:hAnsi="Times New Roman" w:cs="Times New Roman" w:eastAsia="Times New Roman" w:hint="default"/>
          <w:spacing w:val="2"/>
        </w:rPr>
        <w:t>4.00</w:t>
      </w:r>
      <w:r>
        <w:rPr>
          <w:rFonts w:ascii="Times New Roman" w:hAnsi="Times New Roman" w:cs="Times New Roman" w:eastAsia="Times New Roman" w:hint="default"/>
          <w:spacing w:val="-20"/>
        </w:rPr>
        <w:t> </w:t>
      </w:r>
      <w:r>
        <w:rPr/>
        <w:t>万，累计摊销</w:t>
      </w:r>
      <w:r>
        <w:rPr>
          <w:rFonts w:ascii="Times New Roman" w:hAnsi="Times New Roman" w:cs="Times New Roman" w:eastAsia="Times New Roman" w:hint="default"/>
        </w:rPr>
        <w:t>10.00</w:t>
      </w:r>
      <w:r>
        <w:rPr/>
        <w:t>万，期末余额</w:t>
      </w:r>
      <w:r>
        <w:rPr>
          <w:rFonts w:ascii="Times New Roman" w:hAnsi="Times New Roman" w:cs="Times New Roman" w:eastAsia="Times New Roman" w:hint="default"/>
        </w:rPr>
        <w:t>10.00</w:t>
      </w:r>
      <w:r>
        <w:rPr/>
        <w:t>万； </w:t>
      </w:r>
      <w:r>
        <w:rPr>
          <w:rFonts w:ascii="Times New Roman" w:hAnsi="Times New Roman" w:cs="Times New Roman" w:eastAsia="Times New Roman" w:hint="default"/>
          <w:spacing w:val="-1"/>
        </w:rPr>
        <w:t>6</w:t>
      </w:r>
      <w:r>
        <w:rPr>
          <w:spacing w:val="-1"/>
        </w:rPr>
        <w:t>、高新区管委会奖励车辆（豫</w:t>
      </w:r>
      <w:r>
        <w:rPr>
          <w:rFonts w:ascii="Times New Roman" w:hAnsi="Times New Roman" w:cs="Times New Roman" w:eastAsia="Times New Roman" w:hint="default"/>
          <w:spacing w:val="-1"/>
        </w:rPr>
        <w:t>A521GX</w:t>
      </w:r>
      <w:r>
        <w:rPr>
          <w:spacing w:val="-1"/>
        </w:rPr>
        <w:t>）原值</w:t>
      </w:r>
      <w:r>
        <w:rPr>
          <w:rFonts w:ascii="Times New Roman" w:hAnsi="Times New Roman" w:cs="Times New Roman" w:eastAsia="Times New Roman" w:hint="default"/>
          <w:spacing w:val="-1"/>
        </w:rPr>
        <w:t>18.42</w:t>
      </w:r>
      <w:r>
        <w:rPr>
          <w:spacing w:val="-1"/>
        </w:rPr>
        <w:t>万，按照</w:t>
      </w:r>
      <w:r>
        <w:rPr>
          <w:rFonts w:ascii="Times New Roman" w:hAnsi="Times New Roman" w:cs="Times New Roman" w:eastAsia="Times New Roman" w:hint="default"/>
          <w:spacing w:val="-1"/>
        </w:rPr>
        <w:t>10</w:t>
      </w:r>
      <w:r>
        <w:rPr>
          <w:spacing w:val="-1"/>
        </w:rPr>
        <w:t>年摊销，本年摊销</w:t>
      </w:r>
      <w:r>
        <w:rPr>
          <w:rFonts w:ascii="Times New Roman" w:hAnsi="Times New Roman" w:cs="Times New Roman" w:eastAsia="Times New Roman" w:hint="default"/>
          <w:spacing w:val="-1"/>
        </w:rPr>
        <w:t>18,420.00</w:t>
      </w:r>
      <w:r>
        <w:rPr>
          <w:spacing w:val="-1"/>
        </w:rPr>
        <w:t>元</w:t>
      </w:r>
      <w:r>
        <w:rPr>
          <w:rFonts w:ascii="Times New Roman" w:hAnsi="Times New Roman" w:cs="Times New Roman" w:eastAsia="Times New Roman" w:hint="default"/>
          <w:spacing w:val="-1"/>
        </w:rPr>
        <w:t>,</w:t>
      </w:r>
      <w:r>
        <w:rPr>
          <w:spacing w:val="-1"/>
        </w:rPr>
        <w:t>累计</w:t>
      </w:r>
      <w:r>
        <w:rPr/>
        <w:t> 摊销额</w:t>
      </w:r>
      <w:r>
        <w:rPr>
          <w:rFonts w:ascii="Times New Roman" w:hAnsi="Times New Roman" w:cs="Times New Roman" w:eastAsia="Times New Roman" w:hint="default"/>
        </w:rPr>
        <w:t>78,285.00</w:t>
      </w:r>
      <w:r>
        <w:rPr/>
        <w:t>元</w:t>
      </w:r>
      <w:r>
        <w:rPr>
          <w:rFonts w:ascii="Times New Roman" w:hAnsi="Times New Roman" w:cs="Times New Roman" w:eastAsia="Times New Roman" w:hint="default"/>
        </w:rPr>
        <w:t>,</w:t>
      </w:r>
      <w:r>
        <w:rPr/>
        <w:t>期末余额</w:t>
      </w:r>
      <w:r>
        <w:rPr>
          <w:rFonts w:ascii="Times New Roman" w:hAnsi="Times New Roman" w:cs="Times New Roman" w:eastAsia="Times New Roman" w:hint="default"/>
        </w:rPr>
        <w:t>105,915.00</w:t>
      </w:r>
      <w:r>
        <w:rPr/>
        <w:t>元； </w:t>
      </w:r>
      <w:r>
        <w:rPr>
          <w:rFonts w:ascii="Times New Roman" w:hAnsi="Times New Roman" w:cs="Times New Roman" w:eastAsia="Times New Roman" w:hint="default"/>
        </w:rPr>
        <w:t>7</w:t>
      </w:r>
      <w:r>
        <w:rPr/>
        <w:t>、河南省财政厅高新技术产业化专项资金：基于金融</w:t>
      </w:r>
      <w:r>
        <w:rPr>
          <w:rFonts w:ascii="Times New Roman" w:hAnsi="Times New Roman" w:cs="Times New Roman" w:eastAsia="Times New Roman" w:hint="default"/>
        </w:rPr>
        <w:t>IC</w:t>
      </w:r>
      <w:r>
        <w:rPr/>
        <w:t>卡的移动支付信息化服务平台与终端项目 原值</w:t>
      </w:r>
      <w:r>
        <w:rPr>
          <w:rFonts w:ascii="Times New Roman" w:hAnsi="Times New Roman" w:cs="Times New Roman" w:eastAsia="Times New Roman" w:hint="default"/>
        </w:rPr>
        <w:t>161.00</w:t>
      </w:r>
      <w:r>
        <w:rPr/>
        <w:t>万，按照</w:t>
      </w:r>
      <w:r>
        <w:rPr>
          <w:rFonts w:ascii="Times New Roman" w:hAnsi="Times New Roman" w:cs="Times New Roman" w:eastAsia="Times New Roman" w:hint="default"/>
        </w:rPr>
        <w:t>5</w:t>
      </w:r>
      <w:r>
        <w:rPr/>
        <w:t>年摊销，本年摊销</w:t>
      </w:r>
      <w:r>
        <w:rPr>
          <w:rFonts w:ascii="Times New Roman" w:hAnsi="Times New Roman" w:cs="Times New Roman" w:eastAsia="Times New Roman" w:hint="default"/>
        </w:rPr>
        <w:t>32.20</w:t>
      </w:r>
      <w:r>
        <w:rPr/>
        <w:t>万，期末余额</w:t>
      </w:r>
      <w:r>
        <w:rPr>
          <w:rFonts w:ascii="Times New Roman" w:hAnsi="Times New Roman" w:cs="Times New Roman" w:eastAsia="Times New Roman" w:hint="default"/>
        </w:rPr>
        <w:t>128.80</w:t>
      </w:r>
      <w:r>
        <w:rPr/>
        <w:t>万。 </w:t>
      </w:r>
      <w:r>
        <w:rPr>
          <w:rFonts w:ascii="Times New Roman" w:hAnsi="Times New Roman" w:cs="Times New Roman" w:eastAsia="Times New Roman" w:hint="default"/>
        </w:rPr>
        <w:t>8</w:t>
      </w:r>
      <w:r>
        <w:rPr/>
        <w:t>、金融支付系统及终端项目是郑州市信息化办公室《关于下达郑州市</w:t>
      </w:r>
      <w:r>
        <w:rPr>
          <w:rFonts w:ascii="Times New Roman" w:hAnsi="Times New Roman" w:cs="Times New Roman" w:eastAsia="Times New Roman" w:hint="default"/>
        </w:rPr>
        <w:t>2013</w:t>
      </w:r>
      <w:r>
        <w:rPr/>
        <w:t>年度郑州市信息化发展 </w:t>
      </w:r>
      <w:r>
        <w:rPr>
          <w:spacing w:val="-2"/>
        </w:rPr>
        <w:t>专项资金项目计划的通知》（郑信办</w:t>
      </w:r>
      <w:r>
        <w:rPr>
          <w:rFonts w:ascii="Times New Roman" w:hAnsi="Times New Roman" w:cs="Times New Roman" w:eastAsia="Times New Roman" w:hint="default"/>
          <w:spacing w:val="-2"/>
        </w:rPr>
        <w:t>[2014]22</w:t>
      </w:r>
      <w:r>
        <w:rPr>
          <w:spacing w:val="-2"/>
        </w:rPr>
        <w:t>号）中的项目，于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31</w:t>
      </w:r>
      <w:r>
        <w:rPr>
          <w:spacing w:val="-2"/>
        </w:rPr>
        <w:t>日和</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24</w:t>
      </w:r>
      <w:r>
        <w:rPr>
          <w:spacing w:val="-2"/>
        </w:rPr>
        <w:t>日收</w:t>
      </w:r>
      <w:r>
        <w:rPr/>
      </w:r>
    </w:p>
    <w:p>
      <w:pPr>
        <w:spacing w:after="0" w:line="388"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386" w:lineRule="auto" w:before="35"/>
        <w:ind w:left="871" w:right="95"/>
        <w:jc w:val="left"/>
      </w:pPr>
      <w:r>
        <w:rPr/>
        <w:t>到国家金库河南省分库拔付的共计</w:t>
      </w:r>
      <w:r>
        <w:rPr>
          <w:rFonts w:ascii="Times New Roman" w:hAnsi="Times New Roman" w:cs="Times New Roman" w:eastAsia="Times New Roman" w:hint="default"/>
        </w:rPr>
        <w:t>130.00</w:t>
      </w:r>
      <w:r>
        <w:rPr/>
        <w:t>万的政府补助，因该项目尚未实施完工，故尚未摊销。 </w:t>
      </w:r>
      <w:r>
        <w:rPr>
          <w:rFonts w:ascii="Times New Roman" w:hAnsi="Times New Roman" w:cs="Times New Roman" w:eastAsia="Times New Roman" w:hint="default"/>
        </w:rPr>
        <w:t>9</w:t>
      </w:r>
      <w:r>
        <w:rPr/>
        <w:t>、基于物联网与金融</w:t>
      </w:r>
      <w:r>
        <w:rPr>
          <w:rFonts w:ascii="Times New Roman" w:hAnsi="Times New Roman" w:cs="Times New Roman" w:eastAsia="Times New Roman" w:hint="default"/>
        </w:rPr>
        <w:t>IC</w:t>
      </w:r>
      <w:r>
        <w:rPr/>
        <w:t>卡的智能终端产业化是郑州市科学技术局、郑州市财政局《关于下达郑州 </w:t>
      </w:r>
      <w:r>
        <w:rPr>
          <w:spacing w:val="-2"/>
        </w:rPr>
        <w:t>市</w:t>
      </w:r>
      <w:r>
        <w:rPr>
          <w:rFonts w:ascii="Times New Roman" w:hAnsi="Times New Roman" w:cs="Times New Roman" w:eastAsia="Times New Roman" w:hint="default"/>
          <w:spacing w:val="-2"/>
        </w:rPr>
        <w:t>2015</w:t>
      </w:r>
      <w:r>
        <w:rPr>
          <w:spacing w:val="-2"/>
        </w:rPr>
        <w:t>年第二批科技计划项目经费的通知》（郑科计</w:t>
      </w:r>
      <w:r>
        <w:rPr>
          <w:rFonts w:ascii="Times New Roman" w:hAnsi="Times New Roman" w:cs="Times New Roman" w:eastAsia="Times New Roman" w:hint="default"/>
          <w:spacing w:val="-2"/>
        </w:rPr>
        <w:t>[2015]6</w:t>
      </w:r>
      <w:r>
        <w:rPr>
          <w:spacing w:val="-2"/>
        </w:rPr>
        <w:t>号）中的项目，于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17</w:t>
      </w:r>
      <w:r>
        <w:rPr>
          <w:spacing w:val="-2"/>
        </w:rPr>
        <w:t>日收到</w:t>
      </w:r>
      <w:r>
        <w:rPr>
          <w:spacing w:val="-56"/>
        </w:rPr>
        <w:t> </w:t>
      </w:r>
      <w:r>
        <w:rPr>
          <w:spacing w:val="-56"/>
        </w:rPr>
      </w:r>
      <w:r>
        <w:rPr/>
        <w:t>从郑州市财政局国库支付专户拨付的</w:t>
      </w:r>
      <w:r>
        <w:rPr>
          <w:rFonts w:ascii="Times New Roman" w:hAnsi="Times New Roman" w:cs="Times New Roman" w:eastAsia="Times New Roman" w:hint="default"/>
        </w:rPr>
        <w:t>200.00</w:t>
      </w:r>
      <w:r>
        <w:rPr/>
        <w:t>万元政府补助，因该项目未实施完工，故尚未摊销。 </w:t>
      </w:r>
      <w:r>
        <w:rPr>
          <w:rFonts w:ascii="Times New Roman" w:hAnsi="Times New Roman" w:cs="Times New Roman" w:eastAsia="Times New Roman" w:hint="default"/>
          <w:spacing w:val="-3"/>
        </w:rPr>
        <w:t>10</w:t>
      </w:r>
      <w:r>
        <w:rPr>
          <w:spacing w:val="-3"/>
        </w:rPr>
        <w:t>、基于</w:t>
      </w:r>
      <w:r>
        <w:rPr>
          <w:rFonts w:ascii="Times New Roman" w:hAnsi="Times New Roman" w:cs="Times New Roman" w:eastAsia="Times New Roman" w:hint="default"/>
          <w:spacing w:val="-3"/>
        </w:rPr>
        <w:t>NFC</w:t>
      </w:r>
      <w:r>
        <w:rPr>
          <w:spacing w:val="-3"/>
        </w:rPr>
        <w:t>技术的金融</w:t>
      </w:r>
      <w:r>
        <w:rPr>
          <w:rFonts w:ascii="Times New Roman" w:hAnsi="Times New Roman" w:cs="Times New Roman" w:eastAsia="Times New Roman" w:hint="default"/>
          <w:spacing w:val="-3"/>
        </w:rPr>
        <w:t>IC</w:t>
      </w:r>
      <w:r>
        <w:rPr>
          <w:spacing w:val="-3"/>
        </w:rPr>
        <w:t>卡移动支付综合应用系统研发及产业化是郑州市财政局《关于拨付</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t>年河南省扶持企业自主创新项目资金的通知》（郑财预</w:t>
      </w:r>
      <w:r>
        <w:rPr>
          <w:rFonts w:ascii="Times New Roman" w:hAnsi="Times New Roman" w:cs="Times New Roman" w:eastAsia="Times New Roman" w:hint="default"/>
        </w:rPr>
        <w:t>[2014]525</w:t>
      </w:r>
      <w:r>
        <w:rPr/>
        <w:t>号）中的项目，于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 收到国家金库河南省分库拔付的共计</w:t>
      </w:r>
      <w:r>
        <w:rPr>
          <w:rFonts w:ascii="Times New Roman" w:hAnsi="Times New Roman" w:cs="Times New Roman" w:eastAsia="Times New Roman" w:hint="default"/>
        </w:rPr>
        <w:t>370.00</w:t>
      </w:r>
      <w:r>
        <w:rPr/>
        <w:t>万的政府补助，因该项目尚未实施完工，故尚未摊销。</w:t>
      </w:r>
    </w:p>
    <w:p>
      <w:pPr>
        <w:spacing w:line="240" w:lineRule="auto" w:before="10"/>
        <w:rPr>
          <w:rFonts w:ascii="宋体" w:hAnsi="宋体" w:cs="宋体" w:eastAsia="宋体" w:hint="default"/>
          <w:sz w:val="19"/>
          <w:szCs w:val="19"/>
        </w:rPr>
      </w:pPr>
    </w:p>
    <w:p>
      <w:pPr>
        <w:pStyle w:val="Heading4"/>
        <w:spacing w:line="240" w:lineRule="auto"/>
        <w:ind w:right="7418"/>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7418"/>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8"/>
        <w:rPr>
          <w:rFonts w:ascii="宋体" w:hAnsi="宋体" w:cs="宋体" w:eastAsia="宋体" w:hint="default"/>
          <w:b/>
          <w:bCs/>
          <w:sz w:val="26"/>
          <w:szCs w:val="26"/>
        </w:rPr>
      </w:pPr>
    </w:p>
    <w:p>
      <w:pPr>
        <w:spacing w:before="0"/>
        <w:ind w:left="0" w:right="17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5"/>
        <w:gridCol w:w="1196"/>
        <w:gridCol w:w="1196"/>
        <w:gridCol w:w="1196"/>
        <w:gridCol w:w="1195"/>
        <w:gridCol w:w="1196"/>
        <w:gridCol w:w="1196"/>
        <w:gridCol w:w="1195"/>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3D3D3"/>
          </w:tcPr>
          <w:p>
            <w:pP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5"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142,720,000.00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7" w:right="0"/>
              <w:jc w:val="center"/>
              <w:rPr>
                <w:rFonts w:ascii="Times New Roman" w:hAnsi="Times New Roman" w:cs="Times New Roman" w:eastAsia="Times New Roman" w:hint="default"/>
                <w:sz w:val="18"/>
                <w:szCs w:val="18"/>
              </w:rPr>
            </w:pPr>
            <w:r>
              <w:rPr>
                <w:rFonts w:ascii="Times New Roman"/>
                <w:sz w:val="18"/>
              </w:rPr>
              <w:t>16,654,901.00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 w:right="0"/>
              <w:jc w:val="center"/>
              <w:rPr>
                <w:rFonts w:ascii="Times New Roman" w:hAnsi="Times New Roman" w:cs="Times New Roman" w:eastAsia="Times New Roman" w:hint="default"/>
                <w:sz w:val="18"/>
                <w:szCs w:val="18"/>
              </w:rPr>
            </w:pPr>
            <w:r>
              <w:rPr>
                <w:rFonts w:ascii="Times New Roman"/>
                <w:sz w:val="18"/>
              </w:rPr>
              <w:t>142,720,000.00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 w:right="0"/>
              <w:jc w:val="center"/>
              <w:rPr>
                <w:rFonts w:ascii="Times New Roman" w:hAnsi="Times New Roman" w:cs="Times New Roman" w:eastAsia="Times New Roman" w:hint="default"/>
                <w:sz w:val="18"/>
                <w:szCs w:val="18"/>
              </w:rPr>
            </w:pPr>
            <w:r>
              <w:rPr>
                <w:rFonts w:ascii="Times New Roman"/>
                <w:sz w:val="18"/>
              </w:rPr>
              <w:t>159,374,901.00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302,094,901.00</w:t>
            </w:r>
          </w:p>
        </w:tc>
      </w:tr>
    </w:tbl>
    <w:p>
      <w:pPr>
        <w:spacing w:before="51"/>
        <w:ind w:left="154" w:right="741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12"/>
          <w:szCs w:val="12"/>
        </w:rPr>
      </w:pPr>
    </w:p>
    <w:p>
      <w:pPr>
        <w:pStyle w:val="BodyText"/>
        <w:spacing w:line="396" w:lineRule="auto" w:before="0"/>
        <w:ind w:left="862" w:right="157" w:hanging="1"/>
        <w:jc w:val="left"/>
      </w:pPr>
      <w:r>
        <w:rPr/>
        <w:t>说明：</w:t>
      </w:r>
      <w:r>
        <w:rPr>
          <w:rFonts w:ascii="Times New Roman" w:hAnsi="Times New Roman" w:cs="Times New Roman" w:eastAsia="Times New Roman" w:hint="default"/>
        </w:rPr>
        <w:t>1</w:t>
      </w:r>
      <w:r>
        <w:rPr/>
        <w:t>、历年股份变动情况，见公司历史沿革； </w:t>
      </w:r>
      <w:r>
        <w:rPr>
          <w:rFonts w:ascii="Times New Roman" w:hAnsi="Times New Roman" w:cs="Times New Roman" w:eastAsia="Times New Roman" w:hint="default"/>
        </w:rPr>
        <w:t>2</w:t>
      </w:r>
      <w:r>
        <w:rPr/>
        <w:t>、实际控制人杨维国将其持有的本公司的股份</w:t>
      </w:r>
      <w:r>
        <w:rPr>
          <w:rFonts w:ascii="Times New Roman" w:hAnsi="Times New Roman" w:cs="Times New Roman" w:eastAsia="Times New Roman" w:hint="default"/>
        </w:rPr>
        <w:t>1,030</w:t>
      </w:r>
      <w:r>
        <w:rPr/>
        <w:t>万股和</w:t>
      </w:r>
      <w:r>
        <w:rPr>
          <w:rFonts w:ascii="Times New Roman" w:hAnsi="Times New Roman" w:cs="Times New Roman" w:eastAsia="Times New Roman" w:hint="default"/>
        </w:rPr>
        <w:t>600</w:t>
      </w:r>
      <w:r>
        <w:rPr/>
        <w:t>万股分别向南京证券、安信证券办</w:t>
      </w:r>
      <w:r>
        <w:rPr>
          <w:spacing w:val="-63"/>
        </w:rPr>
        <w:t> </w:t>
      </w:r>
      <w:r>
        <w:rPr>
          <w:spacing w:val="-63"/>
        </w:rPr>
      </w:r>
      <w:r>
        <w:rPr/>
        <w:t>理了质押式回购；</w:t>
      </w:r>
      <w:r>
        <w:rPr/>
        <w:t> </w:t>
      </w:r>
      <w:r>
        <w:rPr>
          <w:rFonts w:ascii="Times New Roman" w:hAnsi="Times New Roman" w:cs="Times New Roman" w:eastAsia="Times New Roman" w:hint="default"/>
          <w:spacing w:val="-3"/>
        </w:rPr>
        <w:t>3</w:t>
      </w:r>
      <w:r>
        <w:rPr>
          <w:spacing w:val="-3"/>
        </w:rPr>
        <w:t>、公司高管人员杜建平将其持有的本公司的股份</w:t>
      </w:r>
      <w:r>
        <w:rPr>
          <w:rFonts w:ascii="Times New Roman" w:hAnsi="Times New Roman" w:cs="Times New Roman" w:eastAsia="Times New Roman" w:hint="default"/>
          <w:spacing w:val="-3"/>
        </w:rPr>
        <w:t>214</w:t>
      </w:r>
      <w:r>
        <w:rPr>
          <w:spacing w:val="-3"/>
        </w:rPr>
        <w:t>万、</w:t>
      </w:r>
      <w:r>
        <w:rPr>
          <w:rFonts w:ascii="Times New Roman" w:hAnsi="Times New Roman" w:cs="Times New Roman" w:eastAsia="Times New Roman" w:hint="default"/>
          <w:spacing w:val="-3"/>
        </w:rPr>
        <w:t>40</w:t>
      </w:r>
      <w:r>
        <w:rPr>
          <w:spacing w:val="-3"/>
        </w:rPr>
        <w:t>万股和</w:t>
      </w:r>
      <w:r>
        <w:rPr>
          <w:rFonts w:ascii="Times New Roman" w:hAnsi="Times New Roman" w:cs="Times New Roman" w:eastAsia="Times New Roman" w:hint="default"/>
          <w:spacing w:val="-3"/>
        </w:rPr>
        <w:t>60</w:t>
      </w:r>
      <w:r>
        <w:rPr>
          <w:spacing w:val="-3"/>
        </w:rPr>
        <w:t>万股分别向南京证券、海通证</w:t>
      </w:r>
      <w:r>
        <w:rPr>
          <w:spacing w:val="-71"/>
        </w:rPr>
        <w:t> </w:t>
      </w:r>
      <w:r>
        <w:rPr>
          <w:spacing w:val="-71"/>
        </w:rPr>
      </w:r>
      <w:r>
        <w:rPr/>
        <w:t>券和新时代证券办理了质押式回购； </w:t>
      </w:r>
      <w:r>
        <w:rPr>
          <w:rFonts w:ascii="Times New Roman" w:hAnsi="Times New Roman" w:cs="Times New Roman" w:eastAsia="Times New Roman" w:hint="default"/>
        </w:rPr>
        <w:t>4</w:t>
      </w:r>
      <w:r>
        <w:rPr/>
        <w:t>、公司高管人员傅常顺将其持有的本公司的股份</w:t>
      </w:r>
      <w:r>
        <w:rPr>
          <w:rFonts w:ascii="Times New Roman" w:hAnsi="Times New Roman" w:cs="Times New Roman" w:eastAsia="Times New Roman" w:hint="default"/>
        </w:rPr>
        <w:t>100</w:t>
      </w:r>
      <w:r>
        <w:rPr/>
        <w:t>万和</w:t>
      </w:r>
      <w:r>
        <w:rPr>
          <w:rFonts w:ascii="Times New Roman" w:hAnsi="Times New Roman" w:cs="Times New Roman" w:eastAsia="Times New Roman" w:hint="default"/>
        </w:rPr>
        <w:t>220</w:t>
      </w:r>
      <w:r>
        <w:rPr/>
        <w:t>万股分别向南京证券和海通证券办理 了质押式回购，； </w:t>
      </w:r>
      <w:r>
        <w:rPr>
          <w:rFonts w:ascii="Times New Roman" w:hAnsi="Times New Roman" w:cs="Times New Roman" w:eastAsia="Times New Roman" w:hint="default"/>
          <w:spacing w:val="-3"/>
        </w:rPr>
        <w:t>5</w:t>
      </w:r>
      <w:r>
        <w:rPr>
          <w:spacing w:val="-3"/>
        </w:rPr>
        <w:t>、公司高管人员华梦阳将其持有的本公司的股份</w:t>
      </w:r>
      <w:r>
        <w:rPr>
          <w:rFonts w:ascii="Times New Roman" w:hAnsi="Times New Roman" w:cs="Times New Roman" w:eastAsia="Times New Roman" w:hint="default"/>
          <w:spacing w:val="-3"/>
        </w:rPr>
        <w:t>80</w:t>
      </w:r>
      <w:r>
        <w:rPr>
          <w:spacing w:val="-3"/>
        </w:rPr>
        <w:t>万股和</w:t>
      </w:r>
      <w:r>
        <w:rPr>
          <w:rFonts w:ascii="Times New Roman" w:hAnsi="Times New Roman" w:cs="Times New Roman" w:eastAsia="Times New Roman" w:hint="default"/>
          <w:spacing w:val="-3"/>
        </w:rPr>
        <w:t>121</w:t>
      </w:r>
      <w:r>
        <w:rPr>
          <w:spacing w:val="-3"/>
        </w:rPr>
        <w:t>万股分别向海通证券和南京证券办理</w:t>
      </w:r>
      <w:r>
        <w:rPr>
          <w:spacing w:val="-75"/>
        </w:rPr>
        <w:t> </w:t>
      </w:r>
      <w:r>
        <w:rPr>
          <w:spacing w:val="-75"/>
        </w:rPr>
      </w:r>
      <w:r>
        <w:rPr/>
        <w:t>了质押式回购； </w:t>
      </w:r>
      <w:r>
        <w:rPr>
          <w:rFonts w:ascii="Times New Roman" w:hAnsi="Times New Roman" w:cs="Times New Roman" w:eastAsia="Times New Roman" w:hint="default"/>
          <w:spacing w:val="-3"/>
        </w:rPr>
        <w:t>6</w:t>
      </w:r>
      <w:r>
        <w:rPr>
          <w:spacing w:val="-3"/>
        </w:rPr>
        <w:t>、公司高管人员刘恩臣将其持有的本公司的股份</w:t>
      </w:r>
      <w:r>
        <w:rPr>
          <w:rFonts w:ascii="Times New Roman" w:hAnsi="Times New Roman" w:cs="Times New Roman" w:eastAsia="Times New Roman" w:hint="default"/>
          <w:spacing w:val="-3"/>
        </w:rPr>
        <w:t>74</w:t>
      </w:r>
      <w:r>
        <w:rPr>
          <w:spacing w:val="-3"/>
        </w:rPr>
        <w:t>万股和</w:t>
      </w:r>
      <w:r>
        <w:rPr>
          <w:rFonts w:ascii="Times New Roman" w:hAnsi="Times New Roman" w:cs="Times New Roman" w:eastAsia="Times New Roman" w:hint="default"/>
          <w:spacing w:val="-3"/>
        </w:rPr>
        <w:t>170</w:t>
      </w:r>
      <w:r>
        <w:rPr>
          <w:spacing w:val="-3"/>
        </w:rPr>
        <w:t>万股分别向南京证券和海通证券办理</w:t>
      </w:r>
      <w:r>
        <w:rPr>
          <w:spacing w:val="-75"/>
        </w:rPr>
        <w:t> </w:t>
      </w:r>
      <w:r>
        <w:rPr>
          <w:spacing w:val="-75"/>
        </w:rPr>
      </w:r>
      <w:r>
        <w:rPr/>
        <w:t>质了押式回购； </w:t>
      </w:r>
      <w:r>
        <w:rPr>
          <w:rFonts w:ascii="Times New Roman" w:hAnsi="Times New Roman" w:cs="Times New Roman" w:eastAsia="Times New Roman" w:hint="default"/>
        </w:rPr>
        <w:t>7</w:t>
      </w:r>
      <w:r>
        <w:rPr/>
        <w:t>、公司高管人员付秋生将其持有的本公司的股份</w:t>
      </w:r>
      <w:r>
        <w:rPr>
          <w:rFonts w:ascii="Times New Roman" w:hAnsi="Times New Roman" w:cs="Times New Roman" w:eastAsia="Times New Roman" w:hint="default"/>
        </w:rPr>
        <w:t>305</w:t>
      </w:r>
      <w:r>
        <w:rPr/>
        <w:t>万股向南京证券办理质押式回购；</w:t>
      </w:r>
    </w:p>
    <w:p>
      <w:pPr>
        <w:pStyle w:val="BodyText"/>
        <w:spacing w:line="240" w:lineRule="auto" w:before="26"/>
        <w:ind w:left="862" w:right="96"/>
        <w:jc w:val="left"/>
      </w:pPr>
      <w:r>
        <w:rPr>
          <w:rFonts w:ascii="Times New Roman" w:hAnsi="Times New Roman" w:cs="Times New Roman" w:eastAsia="Times New Roman" w:hint="default"/>
        </w:rPr>
        <w:t>8</w:t>
      </w:r>
      <w:r>
        <w:rPr/>
        <w:t>、公司高管人员尚卫国将其持有的本公司的股份</w:t>
      </w:r>
      <w:r>
        <w:rPr>
          <w:rFonts w:ascii="Times New Roman" w:hAnsi="Times New Roman" w:cs="Times New Roman" w:eastAsia="Times New Roman" w:hint="default"/>
        </w:rPr>
        <w:t>124</w:t>
      </w:r>
      <w:r>
        <w:rPr/>
        <w:t>万股向南京证券办理质押式回购；</w:t>
      </w:r>
    </w:p>
    <w:p>
      <w:pPr>
        <w:pStyle w:val="BodyText"/>
        <w:spacing w:line="386" w:lineRule="auto" w:before="177"/>
        <w:ind w:left="862" w:right="96" w:hanging="1"/>
        <w:jc w:val="left"/>
      </w:pPr>
      <w:r>
        <w:rPr>
          <w:rFonts w:ascii="Times New Roman" w:hAnsi="Times New Roman" w:cs="Times New Roman" w:eastAsia="Times New Roman" w:hint="default"/>
          <w:spacing w:val="-3"/>
        </w:rPr>
        <w:t>9</w:t>
      </w:r>
      <w:r>
        <w:rPr>
          <w:spacing w:val="-3"/>
        </w:rPr>
        <w:t>、公司高管人员赵利宾将其持有的本公司的股份</w:t>
      </w:r>
      <w:r>
        <w:rPr>
          <w:rFonts w:ascii="Times New Roman" w:hAnsi="Times New Roman" w:cs="Times New Roman" w:eastAsia="Times New Roman" w:hint="default"/>
          <w:spacing w:val="-3"/>
        </w:rPr>
        <w:t>662</w:t>
      </w:r>
      <w:r>
        <w:rPr>
          <w:spacing w:val="-3"/>
        </w:rPr>
        <w:t>万股向中银国际证券有限责任公司办理了质押</w:t>
      </w:r>
      <w:r>
        <w:rPr>
          <w:spacing w:val="-75"/>
        </w:rPr>
        <w:t> </w:t>
      </w:r>
      <w:r>
        <w:rPr>
          <w:spacing w:val="-75"/>
        </w:rPr>
      </w:r>
      <w:r>
        <w:rPr/>
        <w:t>式回购。</w:t>
      </w:r>
    </w:p>
    <w:p>
      <w:pPr>
        <w:spacing w:after="0" w:line="386" w:lineRule="auto"/>
        <w:jc w:val="left"/>
        <w:sectPr>
          <w:pgSz w:w="11910" w:h="16840"/>
          <w:pgMar w:header="877" w:footer="982" w:top="1100" w:bottom="1180" w:left="980" w:right="960"/>
        </w:sectPr>
      </w:pPr>
    </w:p>
    <w:p>
      <w:pPr>
        <w:spacing w:line="240" w:lineRule="auto" w:before="10"/>
        <w:rPr>
          <w:rFonts w:ascii="宋体" w:hAnsi="宋体" w:cs="宋体" w:eastAsia="宋体" w:hint="default"/>
          <w:sz w:val="20"/>
          <w:szCs w:val="20"/>
        </w:rPr>
      </w:pPr>
    </w:p>
    <w:p>
      <w:pPr>
        <w:pStyle w:val="Heading4"/>
        <w:spacing w:line="240" w:lineRule="auto" w:before="35"/>
        <w:ind w:right="95"/>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95"/>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95"/>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95"/>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3"/>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206,469,044.44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210,299,147.74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274,048,192.18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206,469,044.44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210,299,147.74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274,048,192.18</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2"/>
        <w:rPr>
          <w:rFonts w:ascii="宋体" w:hAnsi="宋体" w:cs="宋体" w:eastAsia="宋体" w:hint="default"/>
          <w:sz w:val="12"/>
          <w:szCs w:val="12"/>
        </w:rPr>
      </w:pPr>
    </w:p>
    <w:p>
      <w:pPr>
        <w:pStyle w:val="BodyText"/>
        <w:spacing w:line="240" w:lineRule="auto" w:before="0"/>
        <w:ind w:right="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日，根据公司</w:t>
      </w:r>
      <w:r>
        <w:rPr>
          <w:rFonts w:ascii="Times New Roman" w:hAnsi="Times New Roman" w:cs="Times New Roman" w:eastAsia="Times New Roman" w:hint="default"/>
        </w:rPr>
        <w:t>2014</w:t>
      </w:r>
      <w:r>
        <w:rPr/>
        <w:t>年年度股东会决议及修改后章程的规定，公司申请增加注册资本人民币</w:t>
      </w:r>
    </w:p>
    <w:p>
      <w:pPr>
        <w:pStyle w:val="BodyText"/>
        <w:spacing w:line="386" w:lineRule="auto" w:before="177"/>
        <w:ind w:left="153" w:right="95"/>
        <w:jc w:val="left"/>
      </w:pPr>
      <w:r>
        <w:rPr>
          <w:rFonts w:ascii="Times New Roman" w:hAnsi="Times New Roman" w:cs="Times New Roman" w:eastAsia="Times New Roman" w:hint="default"/>
          <w:spacing w:val="-1"/>
        </w:rPr>
        <w:t>14,272.00</w:t>
      </w:r>
      <w:r>
        <w:rPr>
          <w:spacing w:val="-1"/>
        </w:rPr>
        <w:t>万元，公司按每</w:t>
      </w:r>
      <w:r>
        <w:rPr>
          <w:rFonts w:ascii="Times New Roman" w:hAnsi="Times New Roman" w:cs="Times New Roman" w:eastAsia="Times New Roman" w:hint="default"/>
          <w:spacing w:val="-1"/>
        </w:rPr>
        <w:t>10.00</w:t>
      </w:r>
      <w:r>
        <w:rPr>
          <w:spacing w:val="-1"/>
        </w:rPr>
        <w:t>股转增</w:t>
      </w:r>
      <w:r>
        <w:rPr>
          <w:rFonts w:ascii="Times New Roman" w:hAnsi="Times New Roman" w:cs="Times New Roman" w:eastAsia="Times New Roman" w:hint="default"/>
          <w:spacing w:val="-1"/>
        </w:rPr>
        <w:t>10.00</w:t>
      </w:r>
      <w:r>
        <w:rPr>
          <w:spacing w:val="-1"/>
        </w:rPr>
        <w:t>股的比例，以资本公积向全体股东转增股份总额</w:t>
      </w:r>
      <w:r>
        <w:rPr>
          <w:rFonts w:ascii="Times New Roman" w:hAnsi="Times New Roman" w:cs="Times New Roman" w:eastAsia="Times New Roman" w:hint="default"/>
          <w:spacing w:val="-1"/>
        </w:rPr>
        <w:t>14,272.00</w:t>
      </w:r>
      <w:r>
        <w:rPr>
          <w:spacing w:val="-1"/>
        </w:rPr>
        <w:t>万股，</w:t>
      </w:r>
      <w:r>
        <w:rPr>
          <w:spacing w:val="-81"/>
        </w:rPr>
        <w:t> </w:t>
      </w:r>
      <w:r>
        <w:rPr>
          <w:spacing w:val="-81"/>
        </w:rPr>
      </w:r>
      <w:r>
        <w:rPr/>
        <w:t>每股面值</w:t>
      </w:r>
      <w:r>
        <w:rPr>
          <w:rFonts w:ascii="Times New Roman" w:hAnsi="Times New Roman" w:cs="Times New Roman" w:eastAsia="Times New Roman" w:hint="default"/>
        </w:rPr>
        <w:t>1</w:t>
      </w:r>
      <w:r>
        <w:rPr/>
        <w:t>元，共计增加股本</w:t>
      </w:r>
      <w:r>
        <w:rPr>
          <w:rFonts w:ascii="Times New Roman" w:hAnsi="Times New Roman" w:cs="Times New Roman" w:eastAsia="Times New Roman" w:hint="default"/>
        </w:rPr>
        <w:t>14,272.00</w:t>
      </w:r>
      <w:r>
        <w:rPr/>
        <w:t>万元。</w:t>
      </w:r>
    </w:p>
    <w:p>
      <w:pPr>
        <w:pStyle w:val="BodyText"/>
        <w:spacing w:line="391" w:lineRule="auto" w:before="35"/>
        <w:ind w:left="153" w:right="202"/>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日公司</w:t>
      </w:r>
      <w:r>
        <w:rPr>
          <w:rFonts w:ascii="Times New Roman" w:hAnsi="Times New Roman" w:cs="Times New Roman" w:eastAsia="Times New Roman" w:hint="default"/>
        </w:rPr>
        <w:t>2014 </w:t>
      </w:r>
      <w:r>
        <w:rPr/>
        <w:t>年年度股东大会审议通过的《关于公司发行股份及支付现金购买资产方案的</w:t>
      </w:r>
      <w:r>
        <w:rPr>
          <w:spacing w:val="-92"/>
        </w:rPr>
        <w:t> </w:t>
      </w:r>
      <w:r>
        <w:rPr>
          <w:spacing w:val="-1"/>
        </w:rPr>
        <w:t>议案》、《关于公司募集配套资金方案的议案》等相关议案，及中国证券监督管理委员会出具的《关于核</w:t>
      </w:r>
      <w:r>
        <w:rPr>
          <w:spacing w:val="-83"/>
        </w:rPr>
        <w:t> </w:t>
      </w:r>
      <w:r>
        <w:rPr>
          <w:spacing w:val="-83"/>
        </w:rPr>
      </w:r>
      <w:r>
        <w:rPr/>
        <w:t>准新开普电子股份有限公司向刘永春等发行股份购买资产并募集配套资金的批复》（证监许可</w:t>
      </w:r>
      <w:r>
        <w:rPr>
          <w:rFonts w:ascii="Times New Roman" w:hAnsi="Times New Roman" w:cs="Times New Roman" w:eastAsia="Times New Roman" w:hint="default"/>
        </w:rPr>
        <w:t>[2015]1417</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spacing w:val="-2"/>
        </w:rPr>
        <w:t>号），公司通过发行股份与支付现金相结合的方式，购买北京迪科远望科技有限公司</w:t>
      </w:r>
      <w:r>
        <w:rPr>
          <w:rFonts w:ascii="Times New Roman" w:hAnsi="Times New Roman" w:cs="Times New Roman" w:eastAsia="Times New Roman" w:hint="default"/>
          <w:spacing w:val="-2"/>
        </w:rPr>
        <w:t>100%</w:t>
      </w:r>
      <w:r>
        <w:rPr>
          <w:spacing w:val="-2"/>
        </w:rPr>
        <w:t>的股权，本次发</w:t>
      </w:r>
      <w:r>
        <w:rPr/>
        <w:t> </w:t>
      </w:r>
      <w:r>
        <w:rPr>
          <w:spacing w:val="6"/>
        </w:rPr>
        <w:t>行人民币普通股</w:t>
      </w:r>
      <w:r>
        <w:rPr>
          <w:rFonts w:ascii="Times New Roman" w:hAnsi="Times New Roman" w:cs="Times New Roman" w:eastAsia="Times New Roman" w:hint="default"/>
          <w:spacing w:val="6"/>
        </w:rPr>
        <w:t>16,654,901</w:t>
      </w:r>
      <w:r>
        <w:rPr>
          <w:spacing w:val="6"/>
        </w:rPr>
        <w:t>股（每股面值</w:t>
      </w:r>
      <w:r>
        <w:rPr>
          <w:rFonts w:ascii="Times New Roman" w:hAnsi="Times New Roman" w:cs="Times New Roman" w:eastAsia="Times New Roman" w:hint="default"/>
          <w:spacing w:val="6"/>
        </w:rPr>
        <w:t>1</w:t>
      </w:r>
      <w:r>
        <w:rPr>
          <w:spacing w:val="6"/>
        </w:rPr>
        <w:t>元），每股发行价格人民币</w:t>
      </w:r>
      <w:r>
        <w:rPr>
          <w:rFonts w:ascii="Times New Roman" w:hAnsi="Times New Roman" w:cs="Times New Roman" w:eastAsia="Times New Roman" w:hint="default"/>
          <w:spacing w:val="6"/>
        </w:rPr>
        <w:t>14.17</w:t>
      </w:r>
      <w:r>
        <w:rPr>
          <w:spacing w:val="6"/>
        </w:rPr>
        <w:t>元，发行股份总额为人民币</w:t>
      </w:r>
      <w:r>
        <w:rPr>
          <w:spacing w:val="-96"/>
        </w:rPr>
        <w:t> </w:t>
      </w:r>
      <w:r>
        <w:rPr>
          <w:spacing w:val="-96"/>
        </w:rPr>
      </w:r>
      <w:r>
        <w:rPr>
          <w:rFonts w:ascii="Times New Roman" w:hAnsi="Times New Roman" w:cs="Times New Roman" w:eastAsia="Times New Roman" w:hint="default"/>
        </w:rPr>
        <w:t>235,999,979.93</w:t>
      </w:r>
      <w:r>
        <w:rPr>
          <w:rFonts w:ascii="Times New Roman" w:hAnsi="Times New Roman" w:cs="Times New Roman" w:eastAsia="Times New Roman" w:hint="default"/>
          <w:spacing w:val="-21"/>
        </w:rPr>
        <w:t> </w:t>
      </w:r>
      <w:r>
        <w:rPr/>
        <w:t>元，扣除与发行有关的费用</w:t>
      </w:r>
      <w:r>
        <w:rPr>
          <w:rFonts w:ascii="Times New Roman" w:hAnsi="Times New Roman" w:cs="Times New Roman" w:eastAsia="Times New Roman" w:hint="default"/>
        </w:rPr>
        <w:t>9,045,931.19</w:t>
      </w:r>
      <w:r>
        <w:rPr/>
        <w:t>元后的净额为人民币</w:t>
      </w:r>
      <w:r>
        <w:rPr>
          <w:rFonts w:ascii="Times New Roman" w:hAnsi="Times New Roman" w:cs="Times New Roman" w:eastAsia="Times New Roman" w:hint="default"/>
        </w:rPr>
        <w:t>226,954,048.74</w:t>
      </w:r>
      <w:r>
        <w:rPr/>
        <w:t>元，其中计入股 本为人民币</w:t>
      </w:r>
      <w:r>
        <w:rPr>
          <w:rFonts w:ascii="Times New Roman" w:hAnsi="Times New Roman" w:cs="Times New Roman" w:eastAsia="Times New Roman" w:hint="default"/>
        </w:rPr>
        <w:t>16,654,901.00</w:t>
      </w:r>
      <w:r>
        <w:rPr/>
        <w:t>元，计入资本公积－股本溢价为人民币</w:t>
      </w:r>
      <w:r>
        <w:rPr>
          <w:rFonts w:ascii="Times New Roman" w:hAnsi="Times New Roman" w:cs="Times New Roman" w:eastAsia="Times New Roman" w:hint="default"/>
        </w:rPr>
        <w:t>210,299,147.74</w:t>
      </w:r>
      <w:r>
        <w:rPr>
          <w:rFonts w:ascii="Times New Roman" w:hAnsi="Times New Roman" w:cs="Times New Roman" w:eastAsia="Times New Roman" w:hint="default"/>
          <w:spacing w:val="19"/>
        </w:rPr>
        <w:t> </w:t>
      </w:r>
      <w:r>
        <w:rPr/>
        <w:t>元。</w:t>
      </w:r>
    </w:p>
    <w:p>
      <w:pPr>
        <w:spacing w:line="240" w:lineRule="auto" w:before="5"/>
        <w:rPr>
          <w:rFonts w:ascii="宋体" w:hAnsi="宋体" w:cs="宋体" w:eastAsia="宋体" w:hint="default"/>
          <w:sz w:val="19"/>
          <w:szCs w:val="19"/>
        </w:rPr>
      </w:pPr>
    </w:p>
    <w:p>
      <w:pPr>
        <w:pStyle w:val="Heading4"/>
        <w:spacing w:line="240" w:lineRule="auto"/>
        <w:ind w:right="0"/>
        <w:jc w:val="both"/>
        <w:rPr>
          <w:b w:val="0"/>
          <w:bCs w:val="0"/>
        </w:rPr>
      </w:pP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8"/>
        <w:rPr>
          <w:rFonts w:ascii="宋体" w:hAnsi="宋体" w:cs="宋体" w:eastAsia="宋体" w:hint="default"/>
          <w:b/>
          <w:bCs/>
          <w:sz w:val="26"/>
          <w:szCs w:val="26"/>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21,449,656.21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3,483,535.28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24,933,191.49</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21,449,656.21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3,483,535.28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24,933,191.49</w:t>
            </w:r>
          </w:p>
        </w:tc>
      </w:tr>
    </w:tbl>
    <w:p>
      <w:pPr>
        <w:spacing w:before="51"/>
        <w:ind w:left="154" w:right="95"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after="0"/>
        <w:jc w:val="left"/>
        <w:rPr>
          <w:rFonts w:ascii="宋体" w:hAnsi="宋体" w:cs="宋体" w:eastAsia="宋体" w:hint="default"/>
          <w:sz w:val="18"/>
          <w:szCs w:val="18"/>
        </w:rPr>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240" w:lineRule="auto" w:before="35"/>
        <w:ind w:right="0"/>
        <w:jc w:val="left"/>
      </w:pPr>
      <w:r>
        <w:rPr/>
        <w:t>公司按母公司净利润的</w:t>
      </w:r>
      <w:r>
        <w:rPr>
          <w:rFonts w:ascii="Times New Roman" w:hAnsi="Times New Roman" w:cs="Times New Roman" w:eastAsia="Times New Roman" w:hint="default"/>
        </w:rPr>
        <w:t>10.00%</w:t>
      </w:r>
      <w:r>
        <w:rPr/>
        <w:t>提取法定盈余公积。</w:t>
      </w:r>
    </w:p>
    <w:p>
      <w:pPr>
        <w:spacing w:line="240" w:lineRule="auto" w:before="8"/>
        <w:rPr>
          <w:rFonts w:ascii="宋体" w:hAnsi="宋体" w:cs="宋体" w:eastAsia="宋体" w:hint="default"/>
          <w:sz w:val="30"/>
          <w:szCs w:val="30"/>
        </w:rPr>
      </w:pPr>
    </w:p>
    <w:p>
      <w:pPr>
        <w:pStyle w:val="Heading4"/>
        <w:spacing w:line="240" w:lineRule="auto"/>
        <w:ind w:left="153" w:right="0"/>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8"/>
      </w:tblGrid>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165,432,136.29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140,836,572.40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165,432,136.29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140,836,572.40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60,401,993.08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37,756,702.33</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3,483,535.28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4,241,138.44</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14,272,000.00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8,920,000.00</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208,078,594.09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165,432,136.29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1"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506,198,127.53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236,388,562.77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314,960,861.85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149,135,520.14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4,245,139.94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970,464.88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510,443,267.47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237,359,027.65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315,360,861.85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149,135,520.14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62</w:t>
      </w:r>
      <w:r>
        <w:rPr/>
        <w:t>、营业税金及附加</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289,311.60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42,195.98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3,177,571.25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1,707,413.61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1,384,117.24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743,221.00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922,744.82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495,480.70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37,708.14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17,422.53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5,811,453.05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3,005,733.82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57,489,875.59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43,087,145.46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22,795,959.86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12,584,122.01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1,368,908.66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1,195,904.27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9,773,486.87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5,409,925.14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9,344,896.10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5,281,752.59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9,176,006.13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6,638,025.38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4,015,377.58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668,489.63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2,500,017.77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1,852,291.20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5,383,212.97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4,402,045.46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1,279,905.47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1,336,986.80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955,534.51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256,701.96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274,217.61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404,400.74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124,357,399.12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83,117,790.64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研究与开发费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34,759,538.73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23,103,840.27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14,146,899.33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7,787,609.64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2,987,893.36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2,788,580.23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3,384,993.58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2,367,026.20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2,294,859.21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1,091,762.09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704,206.57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563,507.00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895,758.26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538,336.93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聘请中介机构费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3,890,613.27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487,069.28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271,580.00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316,351.90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1,076,893.61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454,048.36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668,081.93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416,788.77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140,441.67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110,831.05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1,427,494.31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380,998.02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880,457.77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586,804.63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67,529,711.60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40,993,554.37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65</w:t>
      </w:r>
      <w:r>
        <w:rPr/>
        <w:t>、财务费用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1,678,395.68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1,827,953.99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2,955,354.70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101,870.67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77,198.25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-47,687.64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-2,878,156.45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66</w:t>
      </w:r>
      <w:r>
        <w:rPr/>
        <w:t>、资产减值损失</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7,612,096.42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8,533,804.69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1,723,273.89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1,719,018.69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9,335,370.31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10,252,823.38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67</w:t>
      </w:r>
      <w:r>
        <w:rPr/>
        <w:t>、公允价值变动收益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7"/>
      </w:tblGrid>
      <w:tr>
        <w:trPr>
          <w:trHeight w:val="401"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217,111.05</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217,111.05</w:t>
            </w:r>
          </w:p>
        </w:tc>
        <w:tc>
          <w:tcPr>
            <w:tcW w:w="29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69</w:t>
      </w:r>
      <w:r>
        <w:rPr/>
        <w:t>、营业外收入</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161" w:hRule="exact"/>
        </w:trPr>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9" w:type="dxa"/>
            <w:vMerge/>
            <w:tcBorders>
              <w:left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13,260.51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13,260.51</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5,158,790.66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11,424,294.28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1,884,156.54</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6,252.07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29,027.26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6,252.07</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5,165,042.73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11,466,582.05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1,890,408.61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3"/>
        <w:gridCol w:w="1063"/>
        <w:gridCol w:w="1063"/>
        <w:gridCol w:w="1063"/>
        <w:gridCol w:w="1062"/>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76" w:right="49"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left"/>
              <w:rPr>
                <w:rFonts w:ascii="宋体" w:hAnsi="宋体" w:cs="宋体" w:eastAsia="宋体" w:hint="default"/>
                <w:sz w:val="18"/>
                <w:szCs w:val="18"/>
              </w:rPr>
            </w:pPr>
            <w:r>
              <w:rPr>
                <w:rFonts w:ascii="宋体" w:hAnsi="宋体" w:cs="宋体" w:eastAsia="宋体" w:hint="default"/>
                <w:sz w:val="18"/>
                <w:szCs w:val="18"/>
              </w:rPr>
              <w:t>软件产品增 值税退税</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3,274,634.12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10,214,540.9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left"/>
              <w:rPr>
                <w:rFonts w:ascii="宋体" w:hAnsi="宋体" w:cs="宋体" w:eastAsia="宋体" w:hint="default"/>
                <w:sz w:val="18"/>
                <w:szCs w:val="18"/>
              </w:rPr>
            </w:pPr>
            <w:r>
              <w:rPr>
                <w:rFonts w:ascii="宋体" w:hAnsi="宋体" w:cs="宋体" w:eastAsia="宋体" w:hint="default"/>
                <w:sz w:val="18"/>
                <w:szCs w:val="18"/>
              </w:rPr>
              <w:t>节能降耗奖 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left"/>
              <w:rPr>
                <w:rFonts w:ascii="宋体" w:hAnsi="宋体" w:cs="宋体" w:eastAsia="宋体" w:hint="default"/>
                <w:sz w:val="18"/>
                <w:szCs w:val="18"/>
              </w:rPr>
            </w:pPr>
            <w:r>
              <w:rPr>
                <w:rFonts w:ascii="宋体" w:hAnsi="宋体" w:cs="宋体" w:eastAsia="宋体" w:hint="default"/>
                <w:sz w:val="18"/>
                <w:szCs w:val="18"/>
              </w:rPr>
              <w:t>个人所得税 手续费返还</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160,936.54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left"/>
              <w:rPr>
                <w:rFonts w:ascii="宋体" w:hAnsi="宋体" w:cs="宋体" w:eastAsia="宋体" w:hint="default"/>
                <w:sz w:val="18"/>
                <w:szCs w:val="18"/>
              </w:rPr>
            </w:pPr>
            <w:r>
              <w:rPr>
                <w:rFonts w:ascii="宋体" w:hAnsi="宋体" w:cs="宋体" w:eastAsia="宋体" w:hint="default"/>
                <w:sz w:val="18"/>
                <w:szCs w:val="18"/>
              </w:rPr>
              <w:t>政府专利申 请补助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29,800.00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信促会补贴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left"/>
              <w:rPr>
                <w:rFonts w:ascii="宋体" w:hAnsi="宋体" w:cs="宋体" w:eastAsia="宋体" w:hint="default"/>
                <w:sz w:val="18"/>
                <w:szCs w:val="18"/>
              </w:rPr>
            </w:pPr>
            <w:r>
              <w:rPr>
                <w:rFonts w:ascii="宋体" w:hAnsi="宋体" w:cs="宋体" w:eastAsia="宋体" w:hint="default"/>
                <w:sz w:val="18"/>
                <w:szCs w:val="18"/>
              </w:rPr>
              <w:t>郑州市财政 局科技经费</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both"/>
              <w:rPr>
                <w:rFonts w:ascii="宋体" w:hAnsi="宋体" w:cs="宋体" w:eastAsia="宋体" w:hint="default"/>
                <w:sz w:val="18"/>
                <w:szCs w:val="18"/>
              </w:rPr>
            </w:pPr>
            <w:r>
              <w:rPr>
                <w:rFonts w:ascii="宋体" w:hAnsi="宋体" w:cs="宋体" w:eastAsia="宋体" w:hint="default"/>
                <w:sz w:val="18"/>
                <w:szCs w:val="18"/>
              </w:rPr>
              <w:t>郑州市财政 局河南省高 新技术产业 化项目资金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both"/>
              <w:rPr>
                <w:rFonts w:ascii="宋体" w:hAnsi="宋体" w:cs="宋体" w:eastAsia="宋体" w:hint="default"/>
                <w:sz w:val="18"/>
                <w:szCs w:val="18"/>
              </w:rPr>
            </w:pPr>
            <w:r>
              <w:rPr>
                <w:rFonts w:ascii="宋体" w:hAnsi="宋体" w:cs="宋体" w:eastAsia="宋体" w:hint="default"/>
                <w:sz w:val="18"/>
                <w:szCs w:val="18"/>
              </w:rPr>
              <w:t>郑州市财政 局高新技术 产业化项目 二次补助资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648,000.00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郑州市第三 批技术研究 与开发经费 </w:t>
            </w:r>
            <w:r>
              <w:rPr>
                <w:rFonts w:ascii="宋体" w:hAnsi="宋体" w:cs="宋体" w:eastAsia="宋体" w:hint="default"/>
                <w:spacing w:val="-12"/>
                <w:sz w:val="18"/>
                <w:szCs w:val="18"/>
              </w:rPr>
              <w:t>项目：智能卡</w:t>
            </w:r>
            <w:r>
              <w:rPr>
                <w:rFonts w:ascii="宋体" w:hAnsi="宋体" w:cs="宋体" w:eastAsia="宋体" w:hint="default"/>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支付与 识别产品产 业化</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133,333.33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both"/>
              <w:rPr>
                <w:rFonts w:ascii="宋体" w:hAnsi="宋体" w:cs="宋体" w:eastAsia="宋体" w:hint="default"/>
                <w:sz w:val="18"/>
                <w:szCs w:val="18"/>
              </w:rPr>
            </w:pPr>
            <w:r>
              <w:rPr>
                <w:rFonts w:ascii="宋体" w:hAnsi="宋体" w:cs="宋体" w:eastAsia="宋体" w:hint="default"/>
                <w:sz w:val="18"/>
                <w:szCs w:val="18"/>
              </w:rPr>
              <w:t>郑州信息化 发展专项资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政府奖励商</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18,420.00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18,420.00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3"/>
        <w:gridCol w:w="1063"/>
        <w:gridCol w:w="1063"/>
        <w:gridCol w:w="1063"/>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务车一辆</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6"/>
              <w:jc w:val="both"/>
              <w:rPr>
                <w:rFonts w:ascii="宋体" w:hAnsi="宋体" w:cs="宋体" w:eastAsia="宋体" w:hint="default"/>
                <w:sz w:val="18"/>
                <w:szCs w:val="18"/>
              </w:rPr>
            </w:pPr>
            <w:r>
              <w:rPr>
                <w:rFonts w:ascii="宋体" w:hAnsi="宋体" w:cs="宋体" w:eastAsia="宋体" w:hint="default"/>
                <w:sz w:val="18"/>
                <w:szCs w:val="18"/>
              </w:rPr>
              <w:t>基于金融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 </w:t>
            </w:r>
            <w:r>
              <w:rPr>
                <w:rFonts w:ascii="宋体" w:hAnsi="宋体" w:cs="宋体" w:eastAsia="宋体" w:hint="default"/>
                <w:sz w:val="18"/>
                <w:szCs w:val="18"/>
              </w:rPr>
              <w:t>卡的移动支 付信息化服 务平台与终 端项目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322,000.00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5,158,790.66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11,424,294.2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88" w:lineRule="auto" w:before="51"/>
        <w:ind w:left="153" w:right="151"/>
        <w:jc w:val="left"/>
      </w:pPr>
      <w:r>
        <w:rPr>
          <w:sz w:val="18"/>
          <w:szCs w:val="18"/>
        </w:rPr>
        <w:t>其他说明： </w:t>
      </w:r>
      <w:r>
        <w:rPr>
          <w:rFonts w:ascii="Times New Roman" w:hAnsi="Times New Roman" w:cs="Times New Roman" w:eastAsia="Times New Roman" w:hint="default"/>
          <w:spacing w:val="-2"/>
        </w:rPr>
        <w:t>1</w:t>
      </w:r>
      <w:r>
        <w:rPr>
          <w:spacing w:val="-2"/>
        </w:rPr>
        <w:t>、根据郑州高新技术产业开发区国家税务局税务事项通知书（税通</w:t>
      </w:r>
      <w:r>
        <w:rPr>
          <w:rFonts w:ascii="Times New Roman" w:hAnsi="Times New Roman" w:cs="Times New Roman" w:eastAsia="Times New Roman" w:hint="default"/>
          <w:spacing w:val="-2"/>
        </w:rPr>
        <w:t>[2015]2374</w:t>
      </w:r>
      <w:r>
        <w:rPr>
          <w:spacing w:val="-2"/>
        </w:rPr>
        <w:t>号），母公司收到郑州高新</w:t>
      </w:r>
      <w:r>
        <w:rPr>
          <w:spacing w:val="-65"/>
        </w:rPr>
        <w:t> </w:t>
      </w:r>
      <w:r>
        <w:rPr>
          <w:spacing w:val="-65"/>
        </w:rPr>
      </w:r>
      <w:r>
        <w:rPr/>
        <w:t>技术产业区国家税务局退还的</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r>
        <w:rPr/>
        <w:t>月增值税款</w:t>
      </w:r>
      <w:r>
        <w:rPr>
          <w:rFonts w:ascii="Times New Roman" w:hAnsi="Times New Roman" w:cs="Times New Roman" w:eastAsia="Times New Roman" w:hint="default"/>
        </w:rPr>
        <w:t>2,481,796.57</w:t>
      </w:r>
      <w:r>
        <w:rPr/>
        <w:t>元，子公司北京迪科收到国家税务局</w:t>
      </w:r>
      <w:r>
        <w:rPr>
          <w:spacing w:val="-60"/>
        </w:rPr>
        <w:t> </w:t>
      </w:r>
      <w:r>
        <w:rPr>
          <w:spacing w:val="-60"/>
        </w:rPr>
      </w:r>
      <w:r>
        <w:rPr/>
        <w:t>退还的增值税款</w:t>
      </w:r>
      <w:r>
        <w:rPr>
          <w:rFonts w:ascii="Times New Roman" w:hAnsi="Times New Roman" w:cs="Times New Roman" w:eastAsia="Times New Roman" w:hint="default"/>
        </w:rPr>
        <w:t>792,837.55</w:t>
      </w:r>
      <w:r>
        <w:rPr/>
        <w:t>元；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年度公司收到郑州高新技术产业开发区财政国库集中支付中心拔付的政府专利申请补助</w:t>
      </w:r>
      <w:r>
        <w:rPr>
          <w:rFonts w:ascii="Times New Roman" w:hAnsi="Times New Roman" w:cs="Times New Roman" w:eastAsia="Times New Roman" w:hint="default"/>
        </w:rPr>
        <w:t>29,800.00</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t>元，其中郑州市</w:t>
      </w:r>
      <w:r>
        <w:rPr>
          <w:rFonts w:ascii="Times New Roman" w:hAnsi="Times New Roman" w:cs="Times New Roman" w:eastAsia="Times New Roman" w:hint="default"/>
        </w:rPr>
        <w:t>2014</w:t>
      </w:r>
      <w:r>
        <w:rPr/>
        <w:t>年第一批专利申请资助资金</w:t>
      </w:r>
      <w:r>
        <w:rPr>
          <w:rFonts w:ascii="Times New Roman" w:hAnsi="Times New Roman" w:cs="Times New Roman" w:eastAsia="Times New Roman" w:hint="default"/>
        </w:rPr>
        <w:t>1,800.00</w:t>
      </w:r>
      <w:r>
        <w:rPr/>
        <w:t>元，</w:t>
      </w:r>
      <w:r>
        <w:rPr>
          <w:rFonts w:ascii="Times New Roman" w:hAnsi="Times New Roman" w:cs="Times New Roman" w:eastAsia="Times New Roman" w:hint="default"/>
        </w:rPr>
        <w:t>2013-2014</w:t>
      </w:r>
      <w:r>
        <w:rPr/>
        <w:t>年新申请发明、实用新型专利资助 经费</w:t>
      </w:r>
      <w:r>
        <w:rPr>
          <w:rFonts w:ascii="Times New Roman" w:hAnsi="Times New Roman" w:cs="Times New Roman" w:eastAsia="Times New Roman" w:hint="default"/>
        </w:rPr>
        <w:t>2,000.00</w:t>
      </w:r>
      <w:r>
        <w:rPr/>
        <w:t>元，</w:t>
      </w:r>
      <w:r>
        <w:rPr>
          <w:rFonts w:ascii="Times New Roman" w:hAnsi="Times New Roman" w:cs="Times New Roman" w:eastAsia="Times New Roman" w:hint="default"/>
        </w:rPr>
        <w:t>2013-2014</w:t>
      </w:r>
      <w:r>
        <w:rPr/>
        <w:t>年新授权软件著作权资助经费</w:t>
      </w:r>
      <w:r>
        <w:rPr>
          <w:rFonts w:ascii="Times New Roman" w:hAnsi="Times New Roman" w:cs="Times New Roman" w:eastAsia="Times New Roman" w:hint="default"/>
        </w:rPr>
        <w:t>26,000.00</w:t>
      </w:r>
      <w:r>
        <w:rPr/>
        <w:t>元； </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2015</w:t>
      </w:r>
      <w:r>
        <w:rPr>
          <w:spacing w:val="-1"/>
        </w:rPr>
        <w:t>年度公司收到郑州高新技术产业开发区管委会财政局支付的突出贡献奖</w:t>
      </w:r>
      <w:r>
        <w:rPr>
          <w:rFonts w:ascii="Times New Roman" w:hAnsi="Times New Roman" w:cs="Times New Roman" w:eastAsia="Times New Roman" w:hint="default"/>
          <w:spacing w:val="-1"/>
        </w:rPr>
        <w:t>300,000.00</w:t>
      </w:r>
      <w:r>
        <w:rPr>
          <w:spacing w:val="-1"/>
        </w:rPr>
        <w:t>元及</w:t>
      </w:r>
      <w:r>
        <w:rPr>
          <w:rFonts w:ascii="Times New Roman" w:hAnsi="Times New Roman" w:cs="Times New Roman" w:eastAsia="Times New Roman" w:hint="default"/>
          <w:spacing w:val="-1"/>
        </w:rPr>
        <w:t>2014</w:t>
      </w:r>
      <w:r>
        <w:rPr>
          <w:spacing w:val="-1"/>
        </w:rPr>
        <w:t>年度科</w:t>
      </w:r>
      <w:r>
        <w:rPr>
          <w:spacing w:val="-81"/>
        </w:rPr>
        <w:t> </w:t>
      </w:r>
      <w:r>
        <w:rPr/>
        <w:t>技创新优秀企业表彰奖</w:t>
      </w:r>
      <w:r>
        <w:rPr>
          <w:rFonts w:ascii="Times New Roman" w:hAnsi="Times New Roman" w:cs="Times New Roman" w:eastAsia="Times New Roman" w:hint="default"/>
        </w:rPr>
        <w:t>10,000.00</w:t>
      </w:r>
      <w:r>
        <w:rPr/>
        <w:t>元。 </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月子公司北京迪科远望科技有限公司收到中关村信促会补助资金</w:t>
      </w:r>
      <w:r>
        <w:rPr>
          <w:rFonts w:ascii="Times New Roman" w:hAnsi="Times New Roman" w:cs="Times New Roman" w:eastAsia="Times New Roman" w:hint="default"/>
        </w:rPr>
        <w:t>5,000.00</w:t>
      </w:r>
      <w:r>
        <w:rPr/>
        <w:t>元。</w:t>
      </w:r>
    </w:p>
    <w:p>
      <w:pPr>
        <w:pStyle w:val="BodyText"/>
        <w:spacing w:line="240" w:lineRule="auto" w:before="33"/>
        <w:ind w:right="0"/>
        <w:jc w:val="left"/>
        <w:rPr>
          <w:rFonts w:ascii="Times New Roman" w:hAnsi="Times New Roman" w:cs="Times New Roman" w:eastAsia="Times New Roman" w:hint="default"/>
        </w:rPr>
      </w:pPr>
      <w:r>
        <w:rPr>
          <w:rFonts w:ascii="Times New Roman" w:hAnsi="Times New Roman" w:cs="Times New Roman" w:eastAsia="Times New Roman" w:hint="default"/>
        </w:rPr>
        <w:t>5</w:t>
      </w:r>
      <w:r>
        <w:rPr/>
        <w:t>、对</w:t>
      </w:r>
      <w:r>
        <w:rPr>
          <w:rFonts w:ascii="Times New Roman" w:hAnsi="Times New Roman" w:cs="Times New Roman" w:eastAsia="Times New Roman" w:hint="default"/>
        </w:rPr>
        <w:t>2015</w:t>
      </w:r>
      <w:r>
        <w:rPr/>
        <w:t>年以前收到本期摊销计入政府补助的详细说明见附注</w:t>
      </w:r>
      <w:r>
        <w:rPr>
          <w:rFonts w:ascii="Times New Roman" w:hAnsi="Times New Roman" w:cs="Times New Roman" w:eastAsia="Times New Roman" w:hint="default"/>
        </w:rPr>
        <w:t>“</w:t>
      </w:r>
      <w:r>
        <w:rPr/>
        <w:t>递延收益</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2"/>
          <w:szCs w:val="22"/>
        </w:rPr>
      </w:pPr>
    </w:p>
    <w:p>
      <w:pPr>
        <w:pStyle w:val="Heading4"/>
        <w:spacing w:line="240" w:lineRule="auto" w:before="147"/>
        <w:ind w:right="0"/>
        <w:jc w:val="left"/>
        <w:rPr>
          <w:b w:val="0"/>
          <w:bCs w:val="0"/>
        </w:rPr>
      </w:pPr>
      <w:r>
        <w:rPr>
          <w:rFonts w:ascii="Times New Roman" w:hAnsi="Times New Roman" w:cs="Times New Roman" w:eastAsia="Times New Roman" w:hint="default"/>
        </w:rPr>
        <w:t>70</w:t>
      </w:r>
      <w:r>
        <w:rPr/>
        <w:t>、营业外支出</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161" w:hRule="exact"/>
        </w:trPr>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9" w:type="dxa"/>
            <w:vMerge/>
            <w:tcBorders>
              <w:left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39,662.57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8,513.01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39,662.57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8,513.01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39,662.57</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900,000.00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905,187.20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28,093.96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905,187.20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1,844,849.77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36,606.97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1,844,818.73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71</w:t>
      </w:r>
      <w:r>
        <w:rPr/>
        <w:t>、所得税费用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10,563,142.93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6,514,691.94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-1,635,413.07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-1,415,432.77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8,927,729.86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5,099,259.17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69,635,297.39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10,445,294.61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-157,094.01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10,129.73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-404,836.14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1,422,486.60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技术开发费加计扣除的影响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-2,388,250.92</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8,927,729.86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72</w:t>
      </w:r>
      <w:r>
        <w:rPr/>
        <w:t>、其他综合收益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rFonts w:ascii="Times New Roman" w:hAnsi="Times New Roman" w:cs="Times New Roman" w:eastAsia="Times New Roman" w:hint="default"/>
        </w:rPr>
        <w:t>73</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2,356,166.86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5,250,329.64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租金收入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2,417,200.00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7,348,650.00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163,336.82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620,446.78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12,285,353.68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6,220,776.42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14,186,039.87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9,000,617.76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11,032,017.56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6,411,778.31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10,089,453.39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7,176,362.31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24,890,965.46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12,584,122.01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6,422,681.85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4,974,163.66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2,500,017.77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2,052,038.07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4,290,613.27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487,069.28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4,015,377.58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668,489.63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1,584,736.22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1,439,851.43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1,227,114.51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573,053.86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1,149,380.05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454,048.36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其他间接费用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2,951,060.46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4,621,684.35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101,870.67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77,198.25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其他及往来款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11,894,398.26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18,329,812.54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96,335,726.92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68,850,289.82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退还工程保证金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1,186,000.00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1,186,000.00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派息手续费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158,631.40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63,329.32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158,631.40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63,329.32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74</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r>
        <w:rPr/>
        <w:pict>
          <v:shape style="position:absolute;margin-left:190.140594pt;margin-top:284.579987pt;width:185.55pt;height:19.650pt;mso-position-horizontal-relative:page;mso-position-vertical-relative:page;z-index:-116617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62"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60,707,567.53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38,064,311.86</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9,335,370.31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10,252,823.38</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10,767,524.75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7,009,113.76</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3,220,344.14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982,537.51</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594,179.20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261,907.39</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39,662.57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-4,747.50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1,678,395.68</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-217,111.05</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3056"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-1,635,413.07</w:t>
            </w:r>
          </w:p>
        </w:tc>
        <w:tc>
          <w:tcPr>
            <w:tcW w:w="318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-1,415,432.77</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-26,886,289.58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-33,907,797.66</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-63,942,854.13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-39,346,395.46</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85,123,675.07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22,653,424.36</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-928,000.00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78,585,051.42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3,621,744.87</w:t>
            </w:r>
          </w:p>
        </w:tc>
      </w:tr>
      <w:tr>
        <w:trPr>
          <w:trHeight w:val="161" w:hRule="exact"/>
        </w:trPr>
        <w:tc>
          <w:tcPr>
            <w:tcW w:w="3328" w:type="dxa"/>
            <w:vMerge w:val="restart"/>
            <w:tcBorders>
              <w:top w:val="single" w:sz="4" w:space="0" w:color="000000"/>
              <w:left w:val="single" w:sz="4" w:space="0" w:color="000000"/>
              <w:right w:val="single" w:sz="4" w:space="0" w:color="000000"/>
            </w:tcBorders>
            <w:shd w:val="clear" w:color="auto" w:fill="D3D3D3"/>
          </w:tcPr>
          <w:p>
            <w:pPr>
              <w:pStyle w:val="TableParagraph"/>
              <w:spacing w:line="302" w:lineRule="auto" w:before="51"/>
              <w:ind w:left="22" w:right="14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6" w:type="dxa"/>
            <w:tcBorders>
              <w:top w:val="single" w:sz="4" w:space="0" w:color="000000"/>
              <w:left w:val="single" w:sz="4" w:space="0" w:color="000000"/>
              <w:bottom w:val="nil" w:sz="6" w:space="0" w:color="auto"/>
              <w:right w:val="single" w:sz="4" w:space="0" w:color="000000"/>
            </w:tcBorders>
            <w:shd w:val="clear" w:color="auto" w:fill="D3D3D3"/>
          </w:tcPr>
          <w:p>
            <w:pPr/>
          </w:p>
        </w:tc>
        <w:tc>
          <w:tcPr>
            <w:tcW w:w="318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3328" w:type="dxa"/>
            <w:vMerge/>
            <w:tcBorders>
              <w:left w:val="single" w:sz="4" w:space="0" w:color="000000"/>
              <w:right w:val="single" w:sz="4" w:space="0" w:color="000000"/>
            </w:tcBorders>
            <w:shd w:val="clear" w:color="auto" w:fill="D3D3D3"/>
          </w:tcPr>
          <w:p>
            <w:pPr/>
          </w:p>
        </w:tc>
        <w:tc>
          <w:tcPr>
            <w:tcW w:w="30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left="1462"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8" w:type="dxa"/>
            <w:vMerge/>
            <w:tcBorders>
              <w:left w:val="single" w:sz="4" w:space="0" w:color="000000"/>
              <w:bottom w:val="single" w:sz="4" w:space="0" w:color="000000"/>
              <w:right w:val="single" w:sz="4" w:space="0" w:color="000000"/>
            </w:tcBorders>
            <w:shd w:val="clear" w:color="auto" w:fill="D3D3D3"/>
          </w:tcPr>
          <w:p>
            <w:pPr/>
          </w:p>
        </w:tc>
        <w:tc>
          <w:tcPr>
            <w:tcW w:w="3056" w:type="dxa"/>
            <w:tcBorders>
              <w:top w:val="nil" w:sz="6" w:space="0" w:color="auto"/>
              <w:left w:val="single" w:sz="4" w:space="0" w:color="000000"/>
              <w:bottom w:val="single" w:sz="4" w:space="0" w:color="000000"/>
              <w:right w:val="single" w:sz="4" w:space="0" w:color="000000"/>
            </w:tcBorders>
            <w:shd w:val="clear" w:color="auto" w:fill="D3D3D3"/>
          </w:tcPr>
          <w:p>
            <w:pPr/>
          </w:p>
        </w:tc>
        <w:tc>
          <w:tcPr>
            <w:tcW w:w="318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62"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197,234,008.33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170,830,522.59</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170,830,522.59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223,811,326.47</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26,403,485.74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-52,980,803.88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197,234,008.33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170,830,522.59</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861,589.04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69,905.39</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可随时用于支付的银行存款</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181,372,419.29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170,760,617.20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197,234,008.33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26" w:right="0"/>
              <w:jc w:val="left"/>
              <w:rPr>
                <w:rFonts w:ascii="Times New Roman" w:hAnsi="Times New Roman" w:cs="Times New Roman" w:eastAsia="Times New Roman" w:hint="default"/>
                <w:sz w:val="18"/>
                <w:szCs w:val="18"/>
              </w:rPr>
            </w:pPr>
            <w:r>
              <w:rPr>
                <w:rFonts w:ascii="Times New Roman"/>
                <w:sz w:val="18"/>
              </w:rPr>
              <w:t>170,830,522.59</w:t>
            </w:r>
          </w:p>
        </w:tc>
      </w:tr>
    </w:tbl>
    <w:p>
      <w:pPr>
        <w:spacing w:line="240" w:lineRule="auto" w:before="2"/>
        <w:rPr>
          <w:rFonts w:ascii="宋体" w:hAnsi="宋体" w:cs="宋体" w:eastAsia="宋体" w:hint="default"/>
          <w:sz w:val="19"/>
          <w:szCs w:val="19"/>
        </w:rPr>
      </w:pPr>
    </w:p>
    <w:p>
      <w:pPr>
        <w:pStyle w:val="Heading4"/>
        <w:spacing w:line="240" w:lineRule="auto" w:before="35"/>
        <w:ind w:right="95"/>
        <w:jc w:val="left"/>
        <w:rPr>
          <w:b w:val="0"/>
          <w:bCs w:val="0"/>
        </w:rPr>
      </w:pPr>
      <w:r>
        <w:rPr>
          <w:rFonts w:ascii="Times New Roman" w:hAnsi="Times New Roman" w:cs="Times New Roman" w:eastAsia="Times New Roman" w:hint="default"/>
        </w:rPr>
        <w:t>75</w:t>
      </w:r>
      <w:r>
        <w:rPr/>
        <w:t>、所有者权益变动表项目注释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5"/>
        <w:jc w:val="left"/>
        <w:rPr>
          <w:b w:val="0"/>
          <w:bCs w:val="0"/>
        </w:rPr>
      </w:pPr>
      <w:r>
        <w:rPr>
          <w:rFonts w:ascii="Times New Roman" w:hAnsi="Times New Roman" w:cs="Times New Roman" w:eastAsia="Times New Roman" w:hint="default"/>
        </w:rPr>
        <w:t>76</w:t>
      </w:r>
      <w:r>
        <w:rPr/>
        <w:t>、所有权或使用权受到限制的资产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5"/>
        <w:jc w:val="left"/>
        <w:rPr>
          <w:b w:val="0"/>
          <w:bCs w:val="0"/>
        </w:rPr>
      </w:pPr>
      <w:r>
        <w:rPr>
          <w:rFonts w:ascii="Times New Roman" w:hAnsi="Times New Roman" w:cs="Times New Roman" w:eastAsia="Times New Roman" w:hint="default"/>
        </w:rPr>
        <w:t>77</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5"/>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4"/>
        <w:spacing w:line="259" w:lineRule="auto"/>
        <w:ind w:right="95"/>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spacing w:before="0"/>
        <w:ind w:left="154"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5"/>
        <w:jc w:val="left"/>
        <w:rPr>
          <w:b w:val="0"/>
          <w:bCs w:val="0"/>
        </w:rPr>
      </w:pPr>
      <w:r>
        <w:rPr>
          <w:rFonts w:ascii="Times New Roman" w:hAnsi="Times New Roman" w:cs="Times New Roman" w:eastAsia="Times New Roman" w:hint="default"/>
        </w:rPr>
        <w:t>78</w:t>
      </w:r>
      <w:r>
        <w:rPr/>
        <w:t>、套期</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740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八、合并范围的变更</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83"/>
        <w:ind w:left="153" w:right="95"/>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3"/>
        <w:gridCol w:w="1064"/>
        <w:gridCol w:w="1063"/>
        <w:gridCol w:w="1064"/>
        <w:gridCol w:w="1064"/>
        <w:gridCol w:w="1063"/>
        <w:gridCol w:w="1062"/>
        <w:gridCol w:w="1062"/>
        <w:gridCol w:w="1062"/>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4"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北京迪科远 望科技有限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发行股份及 支付现金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已达到实际 </w:t>
            </w:r>
            <w:r>
              <w:rPr>
                <w:rFonts w:ascii="宋体" w:hAnsi="宋体" w:cs="宋体" w:eastAsia="宋体" w:hint="default"/>
                <w:spacing w:val="-13"/>
                <w:sz w:val="18"/>
                <w:szCs w:val="18"/>
              </w:rPr>
              <w:t>控制，并已办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理工商变更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58,909,793.0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15,669,049.9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上海树维信 息科技有限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支付现金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已达到实际 </w:t>
            </w:r>
            <w:r>
              <w:rPr>
                <w:rFonts w:ascii="宋体" w:hAnsi="宋体" w:cs="宋体" w:eastAsia="宋体" w:hint="default"/>
                <w:spacing w:val="-13"/>
                <w:sz w:val="18"/>
                <w:szCs w:val="18"/>
              </w:rPr>
              <w:t>控制，并已办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理工商变更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32,857,724.5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9,255,365.07</w:t>
            </w:r>
          </w:p>
        </w:tc>
      </w:tr>
    </w:tbl>
    <w:p>
      <w:pPr>
        <w:pStyle w:val="BodyText"/>
        <w:spacing w:line="393" w:lineRule="auto" w:before="51"/>
        <w:ind w:left="153" w:right="95"/>
        <w:jc w:val="left"/>
      </w:pPr>
      <w:r>
        <w:rPr>
          <w:sz w:val="18"/>
          <w:szCs w:val="18"/>
        </w:rPr>
        <w:t>其他说明： </w:t>
      </w:r>
      <w:r>
        <w:rPr>
          <w:rFonts w:ascii="Times New Roman" w:hAnsi="Times New Roman" w:cs="Times New Roman" w:eastAsia="Times New Roman" w:hint="default"/>
        </w:rPr>
        <w:t>1</w:t>
      </w:r>
      <w:r>
        <w:rPr/>
        <w:t>、新开普公司于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12</w:t>
      </w:r>
      <w:r>
        <w:rPr/>
        <w:t>日与北京迪科远望科技有限公司及全体股东签署了《发行股份及支付现金购 买资产协议》，协议约定以人民币</w:t>
      </w:r>
      <w:r>
        <w:rPr>
          <w:rFonts w:ascii="Times New Roman" w:hAnsi="Times New Roman" w:cs="Times New Roman" w:eastAsia="Times New Roman" w:hint="default"/>
        </w:rPr>
        <w:t>3.20</w:t>
      </w:r>
      <w:r>
        <w:rPr/>
        <w:t>亿元的价格收购北极迪科远望科技有限公司</w:t>
      </w:r>
      <w:r>
        <w:rPr>
          <w:rFonts w:ascii="Times New Roman" w:hAnsi="Times New Roman" w:cs="Times New Roman" w:eastAsia="Times New Roman" w:hint="default"/>
        </w:rPr>
        <w:t>100%</w:t>
      </w:r>
      <w:r>
        <w:rPr/>
        <w:t>的股权。购买日确 </w:t>
      </w:r>
      <w:r>
        <w:rPr>
          <w:spacing w:val="-5"/>
        </w:rPr>
        <w:t>定为</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9</w:t>
      </w:r>
      <w:r>
        <w:rPr>
          <w:spacing w:val="-5"/>
        </w:rPr>
        <w:t>月</w:t>
      </w:r>
      <w:r>
        <w:rPr>
          <w:rFonts w:ascii="Times New Roman" w:hAnsi="Times New Roman" w:cs="Times New Roman" w:eastAsia="Times New Roman" w:hint="default"/>
          <w:spacing w:val="-5"/>
        </w:rPr>
        <w:t>1</w:t>
      </w:r>
      <w:r>
        <w:rPr>
          <w:spacing w:val="-5"/>
        </w:rPr>
        <w:t>日，购买日确定依据：（</w:t>
      </w:r>
      <w:r>
        <w:rPr>
          <w:rFonts w:ascii="Times New Roman" w:hAnsi="Times New Roman" w:cs="Times New Roman" w:eastAsia="Times New Roman" w:hint="default"/>
          <w:spacing w:val="-5"/>
        </w:rPr>
        <w:t>1</w:t>
      </w:r>
      <w:r>
        <w:rPr>
          <w:spacing w:val="-5"/>
        </w:rPr>
        <w:t>）股权转让协议已签订；（</w:t>
      </w:r>
      <w:r>
        <w:rPr>
          <w:rFonts w:ascii="Times New Roman" w:hAnsi="Times New Roman" w:cs="Times New Roman" w:eastAsia="Times New Roman" w:hint="default"/>
          <w:spacing w:val="-5"/>
        </w:rPr>
        <w:t>2</w:t>
      </w:r>
      <w:r>
        <w:rPr>
          <w:spacing w:val="-5"/>
        </w:rPr>
        <w:t>）已支付大部分股权转让价款；（</w:t>
      </w:r>
      <w:r>
        <w:rPr>
          <w:rFonts w:ascii="Times New Roman" w:hAnsi="Times New Roman" w:cs="Times New Roman" w:eastAsia="Times New Roman" w:hint="default"/>
          <w:spacing w:val="-5"/>
        </w:rPr>
        <w:t>3</w:t>
      </w:r>
      <w:r>
        <w:rPr>
          <w:spacing w:val="-5"/>
        </w:rPr>
        <w:t>）</w:t>
      </w:r>
      <w:r>
        <w:rPr>
          <w:spacing w:val="-88"/>
        </w:rPr>
        <w:t> </w:t>
      </w:r>
      <w:r>
        <w:rPr/>
        <w:t>工商变更登记手续办理完毕。</w:t>
      </w:r>
    </w:p>
    <w:p>
      <w:pPr>
        <w:spacing w:after="0" w:line="393"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386" w:lineRule="auto" w:before="35"/>
        <w:ind w:right="97" w:hanging="1"/>
        <w:jc w:val="left"/>
        <w:rPr>
          <w:rFonts w:ascii="Times New Roman" w:hAnsi="Times New Roman" w:cs="Times New Roman" w:eastAsia="Times New Roman" w:hint="default"/>
        </w:rPr>
      </w:pPr>
      <w:r>
        <w:rPr>
          <w:rFonts w:ascii="Times New Roman" w:hAnsi="Times New Roman" w:cs="Times New Roman" w:eastAsia="Times New Roman" w:hint="default"/>
        </w:rPr>
        <w:t>2</w:t>
      </w:r>
      <w:r>
        <w:rPr/>
        <w:t>、新开普公司于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8</w:t>
      </w:r>
      <w:r>
        <w:rPr/>
        <w:t>月</w:t>
      </w:r>
      <w:r>
        <w:rPr>
          <w:spacing w:val="-39"/>
        </w:rPr>
        <w:t> </w:t>
      </w:r>
      <w:r>
        <w:rPr>
          <w:rFonts w:ascii="Times New Roman" w:hAnsi="Times New Roman" w:cs="Times New Roman" w:eastAsia="Times New Roman" w:hint="default"/>
        </w:rPr>
        <w:t>7</w:t>
      </w:r>
      <w:r>
        <w:rPr/>
        <w:t>日与上海树维信息科技有限公司全体股东签署了《现金购买资产协议》， 协议约定以人民币 </w:t>
      </w:r>
      <w:r>
        <w:rPr>
          <w:rFonts w:ascii="Times New Roman" w:hAnsi="Times New Roman" w:cs="Times New Roman" w:eastAsia="Times New Roman" w:hint="default"/>
        </w:rPr>
        <w:t>1.99 </w:t>
      </w:r>
      <w:r>
        <w:rPr/>
        <w:t>亿元的价格收购上海树维信息科技有限公</w:t>
      </w:r>
      <w:r>
        <w:rPr>
          <w:rFonts w:ascii="Times New Roman" w:hAnsi="Times New Roman" w:cs="Times New Roman" w:eastAsia="Times New Roman" w:hint="default"/>
        </w:rPr>
        <w:t>100%</w:t>
      </w:r>
      <w:r>
        <w:rPr/>
        <w:t>的股权。购买日确定为 </w:t>
      </w:r>
      <w:r>
        <w:rPr>
          <w:rFonts w:ascii="Times New Roman" w:hAnsi="Times New Roman" w:cs="Times New Roman" w:eastAsia="Times New Roman" w:hint="default"/>
        </w:rPr>
        <w:t>2015 </w:t>
      </w:r>
      <w:r>
        <w:rPr/>
        <w:t>年</w:t>
      </w:r>
      <w:r>
        <w:rPr>
          <w:spacing w:val="-46"/>
        </w:rPr>
        <w:t> </w:t>
      </w:r>
      <w:r>
        <w:rPr>
          <w:rFonts w:ascii="Times New Roman" w:hAnsi="Times New Roman" w:cs="Times New Roman" w:eastAsia="Times New Roman" w:hint="default"/>
        </w:rPr>
        <w:t>10</w:t>
      </w:r>
    </w:p>
    <w:p>
      <w:pPr>
        <w:pStyle w:val="BodyText"/>
        <w:spacing w:line="391" w:lineRule="auto" w:before="35"/>
        <w:ind w:right="0"/>
        <w:jc w:val="left"/>
      </w:pP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日，购买日确定依据：（</w:t>
      </w:r>
      <w:r>
        <w:rPr>
          <w:rFonts w:ascii="Times New Roman" w:hAnsi="Times New Roman" w:cs="Times New Roman" w:eastAsia="Times New Roman" w:hint="default"/>
        </w:rPr>
        <w:t>1</w:t>
      </w:r>
      <w:r>
        <w:rPr/>
        <w:t>）股权转让协议已签订；（</w:t>
      </w:r>
      <w:r>
        <w:rPr>
          <w:rFonts w:ascii="Times New Roman" w:hAnsi="Times New Roman" w:cs="Times New Roman" w:eastAsia="Times New Roman" w:hint="default"/>
        </w:rPr>
        <w:t>2</w:t>
      </w:r>
      <w:r>
        <w:rPr/>
        <w:t>）已支付大部分股权转让价款；（</w:t>
      </w:r>
      <w:r>
        <w:rPr>
          <w:rFonts w:ascii="Times New Roman" w:hAnsi="Times New Roman" w:cs="Times New Roman" w:eastAsia="Times New Roman" w:hint="default"/>
        </w:rPr>
        <w:t>3</w:t>
      </w:r>
      <w:r>
        <w:rPr/>
        <w:t>）工商变 更登记手续办理完毕。 </w:t>
      </w:r>
      <w:r>
        <w:rPr>
          <w:rFonts w:ascii="Times New Roman" w:hAnsi="Times New Roman" w:cs="Times New Roman" w:eastAsia="Times New Roman" w:hint="default"/>
          <w:spacing w:val="-5"/>
        </w:rPr>
        <w:t>3</w:t>
      </w:r>
      <w:r>
        <w:rPr>
          <w:spacing w:val="-5"/>
        </w:rPr>
        <w:t>、业绩承诺：北京迪科承诺</w:t>
      </w:r>
      <w:r>
        <w:rPr>
          <w:rFonts w:ascii="Times New Roman" w:hAnsi="Times New Roman" w:cs="Times New Roman" w:eastAsia="Times New Roman" w:hint="default"/>
          <w:spacing w:val="-5"/>
        </w:rPr>
        <w:t>2015</w:t>
      </w:r>
      <w:r>
        <w:rPr>
          <w:spacing w:val="-5"/>
        </w:rPr>
        <w:t>年度实现的净利润扣除非经常性损益后不低于</w:t>
      </w:r>
      <w:r>
        <w:rPr>
          <w:rFonts w:ascii="Times New Roman" w:hAnsi="Times New Roman" w:cs="Times New Roman" w:eastAsia="Times New Roman" w:hint="default"/>
          <w:spacing w:val="-5"/>
        </w:rPr>
        <w:t>2,000.00</w:t>
      </w:r>
      <w:r>
        <w:rPr>
          <w:spacing w:val="-5"/>
        </w:rPr>
        <w:t>万元，</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2016</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t>年度累计实现的净利润扣除非经常性损益后不低于</w:t>
      </w:r>
      <w:r>
        <w:rPr>
          <w:rFonts w:ascii="Times New Roman" w:hAnsi="Times New Roman" w:cs="Times New Roman" w:eastAsia="Times New Roman" w:hint="default"/>
        </w:rPr>
        <w:t>4,700.00</w:t>
      </w:r>
      <w:r>
        <w:rPr/>
        <w:t>万元；上海树维承诺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2016</w:t>
      </w:r>
      <w:r>
        <w:rPr/>
        <w:t>年度实现的 净利润扣除非经常性损益后分别不低于</w:t>
      </w:r>
      <w:r>
        <w:rPr>
          <w:rFonts w:ascii="Times New Roman" w:hAnsi="Times New Roman" w:cs="Times New Roman" w:eastAsia="Times New Roman" w:hint="default"/>
        </w:rPr>
        <w:t>1,000.00</w:t>
      </w:r>
      <w:r>
        <w:rPr/>
        <w:t>万元和</w:t>
      </w:r>
      <w:r>
        <w:rPr>
          <w:rFonts w:ascii="Times New Roman" w:hAnsi="Times New Roman" w:cs="Times New Roman" w:eastAsia="Times New Roman" w:hint="default"/>
        </w:rPr>
        <w:t>1,600.00</w:t>
      </w:r>
      <w:r>
        <w:rPr/>
        <w:t>万元。</w:t>
      </w:r>
    </w:p>
    <w:p>
      <w:pPr>
        <w:spacing w:line="240" w:lineRule="auto" w:before="5"/>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1577" w:right="0"/>
              <w:jc w:val="left"/>
              <w:rPr>
                <w:rFonts w:ascii="宋体" w:hAnsi="宋体" w:cs="宋体" w:eastAsia="宋体" w:hint="default"/>
                <w:sz w:val="18"/>
                <w:szCs w:val="18"/>
              </w:rPr>
            </w:pPr>
            <w:r>
              <w:rPr>
                <w:rFonts w:ascii="宋体" w:hAnsi="宋体" w:cs="宋体" w:eastAsia="宋体" w:hint="default"/>
                <w:sz w:val="18"/>
                <w:szCs w:val="18"/>
              </w:rPr>
              <w:t>迪科远望、上海树维</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363,000,000.00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156,000,000.00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519,000,000.00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69,415,160.43</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200"/>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449,584,839.57</w:t>
            </w:r>
          </w:p>
        </w:tc>
      </w:tr>
    </w:tbl>
    <w:p>
      <w:pPr>
        <w:spacing w:line="357" w:lineRule="auto" w:before="51"/>
        <w:ind w:left="153" w:right="5091"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 公司溢价收购迪科远望及上海树维形成商誉。</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380" w:type="dxa"/>
            <w:gridSpan w:val="2"/>
            <w:tcBorders>
              <w:top w:val="single" w:sz="4" w:space="0" w:color="000000"/>
              <w:left w:val="single" w:sz="4" w:space="0" w:color="000000"/>
              <w:bottom w:val="single" w:sz="4" w:space="0" w:color="000000"/>
              <w:right w:val="single" w:sz="4" w:space="0" w:color="000000"/>
            </w:tcBorders>
            <w:shd w:val="clear" w:color="auto" w:fill="E1FFFF"/>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6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9,371,920.46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9,371,920.46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20,307,165.80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20,307,165.80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41,651,877.98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41,651,877.98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1,030,477.11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676,411.64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29,142,378.61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3,827,763.09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10,270,388.55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10,270,388.55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19,078,304.40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19,078,304.40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69,415,160.43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43,746,479.44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69,415,160.43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43,746,479.44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38" w:lineRule="auto" w:before="117"/>
        <w:ind w:left="154" w:right="40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是否存在通过多次交易分步处置对子公司投资且在本期丧失控制权的情形</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11"/>
        <w:rPr>
          <w:rFonts w:ascii="宋体" w:hAnsi="宋体" w:cs="宋体" w:eastAsia="宋体" w:hint="default"/>
          <w:sz w:val="26"/>
          <w:szCs w:val="26"/>
        </w:rPr>
      </w:pPr>
    </w:p>
    <w:p>
      <w:pPr>
        <w:spacing w:line="487" w:lineRule="auto" w:before="0"/>
        <w:ind w:left="154" w:right="71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3"/>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迪科远望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智能一卡通系统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及产品的研发、 生产、销售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业合并</w:t>
            </w: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智能一卡通系</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上海树维</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统、数字化校园 系统、教务系统</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56"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的研发、销售</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福建新开普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能源监管平台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51.00%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7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7"/>
              <w:ind w:left="591" w:right="49"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福建新开普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49.00%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305,574.45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15,079,663.84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4"/>
        <w:gridCol w:w="736"/>
        <w:gridCol w:w="734"/>
        <w:gridCol w:w="736"/>
        <w:gridCol w:w="734"/>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1"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3D3D3"/>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福建新 开普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20,607,5</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05.29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26,283,2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07.81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46,890,7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13.10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16,115,8</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88.92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16,115,8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88.92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12,196,6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22.47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26,346,8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77.76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38,543,5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00.23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8,392,29</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7.38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8,392,29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7.38</w:t>
            </w:r>
          </w:p>
        </w:tc>
      </w:tr>
    </w:tbl>
    <w:p>
      <w:pPr>
        <w:spacing w:before="51"/>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3"/>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3D3D3"/>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7"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福建新开普</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28,416,110.2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623,621.33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623,621.33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1,122,844.99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16,855,174.5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627,774.57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627,774.57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1,868,458.81</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4"/>
          <w:szCs w:val="24"/>
        </w:rPr>
      </w:pPr>
    </w:p>
    <w:p>
      <w:pPr>
        <w:pStyle w:val="Heading2"/>
        <w:spacing w:line="477" w:lineRule="auto"/>
        <w:ind w:left="153" w:right="6880"/>
        <w:jc w:val="left"/>
        <w:rPr>
          <w:b w:val="0"/>
          <w:bCs w:val="0"/>
        </w:rPr>
      </w:pPr>
      <w:r>
        <w:rPr>
          <w:rFonts w:ascii="Times New Roman" w:hAnsi="Times New Roman" w:cs="Times New Roman" w:eastAsia="Times New Roman" w:hint="default"/>
          <w:sz w:val="21"/>
          <w:szCs w:val="21"/>
        </w:rPr>
        <w:t>6</w:t>
      </w:r>
      <w:r>
        <w:rPr>
          <w:sz w:val="21"/>
          <w:szCs w:val="21"/>
        </w:rPr>
        <w:t>、其他</w:t>
      </w:r>
      <w:r>
        <w:rPr>
          <w:spacing w:val="1"/>
          <w:w w:val="99"/>
          <w:sz w:val="21"/>
          <w:szCs w:val="21"/>
        </w:rPr>
        <w:t> </w:t>
      </w:r>
      <w:r>
        <w:rPr/>
        <w:t>十、与金融工具相关的风险</w:t>
      </w:r>
      <w:r>
        <w:rPr>
          <w:spacing w:val="1"/>
          <w:w w:val="99"/>
        </w:rPr>
        <w:t> </w:t>
      </w:r>
      <w:r>
        <w:rPr/>
        <w:t>十一、公允价值的披露</w:t>
      </w:r>
      <w:r>
        <w:rPr>
          <w:b w:val="0"/>
          <w:bCs w:val="0"/>
        </w:rPr>
      </w:r>
    </w:p>
    <w:p>
      <w:pPr>
        <w:pStyle w:val="Heading4"/>
        <w:spacing w:line="240" w:lineRule="auto" w:before="85"/>
        <w:ind w:right="0"/>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after="0" w:line="240" w:lineRule="auto"/>
        <w:jc w:val="left"/>
        <w:sectPr>
          <w:pgSz w:w="11910" w:h="16840"/>
          <w:pgMar w:header="877" w:footer="982" w:top="1100" w:bottom="1180" w:left="980" w:right="980"/>
        </w:sectPr>
      </w:pPr>
    </w:p>
    <w:p>
      <w:pPr>
        <w:spacing w:line="240" w:lineRule="auto" w:before="10"/>
        <w:rPr>
          <w:rFonts w:ascii="宋体" w:hAnsi="宋体" w:cs="宋体" w:eastAsia="宋体" w:hint="default"/>
          <w:b/>
          <w:bCs/>
          <w:sz w:val="20"/>
          <w:szCs w:val="20"/>
        </w:rPr>
      </w:pPr>
    </w:p>
    <w:p>
      <w:pPr>
        <w:pStyle w:val="Heading4"/>
        <w:spacing w:line="240" w:lineRule="auto" w:before="35"/>
        <w:ind w:right="0"/>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71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405" w:lineRule="auto" w:before="109"/>
        <w:ind w:left="154" w:right="7040"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w:t>
      </w:r>
      <w:r>
        <w:rPr>
          <w:rFonts w:ascii="宋体" w:hAnsi="宋体" w:cs="宋体" w:eastAsia="宋体" w:hint="default"/>
          <w:sz w:val="21"/>
          <w:szCs w:val="21"/>
        </w:rPr>
        <w:t>本企业最终控制方是杨维国。</w:t>
      </w:r>
      <w:r>
        <w:rPr>
          <w:rFonts w:ascii="宋体" w:hAnsi="宋体" w:cs="宋体" w:eastAsia="宋体" w:hint="default"/>
          <w:sz w:val="21"/>
          <w:szCs w:val="21"/>
        </w:rPr>
        <w:t> </w:t>
      </w:r>
      <w:r>
        <w:rPr>
          <w:rFonts w:ascii="宋体" w:hAnsi="宋体" w:cs="宋体" w:eastAsia="宋体" w:hint="default"/>
          <w:sz w:val="18"/>
          <w:szCs w:val="18"/>
        </w:rPr>
        <w:t>其他说明：</w:t>
      </w:r>
    </w:p>
    <w:p>
      <w:pPr>
        <w:pStyle w:val="BodyText"/>
        <w:spacing w:line="386" w:lineRule="auto" w:before="44"/>
        <w:ind w:left="153" w:right="0"/>
        <w:jc w:val="left"/>
      </w:pPr>
      <w:r>
        <w:rPr>
          <w:spacing w:val="-3"/>
        </w:rPr>
        <w:t>截止</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日，杨维国持有</w:t>
      </w:r>
      <w:r>
        <w:rPr>
          <w:rFonts w:ascii="Times New Roman" w:hAnsi="Times New Roman" w:cs="Times New Roman" w:eastAsia="Times New Roman" w:hint="default"/>
          <w:spacing w:val="-3"/>
        </w:rPr>
        <w:t>67,840,000</w:t>
      </w:r>
      <w:r>
        <w:rPr>
          <w:spacing w:val="-3"/>
        </w:rPr>
        <w:t>股，通过郑州佳辰间接持有</w:t>
      </w:r>
      <w:r>
        <w:rPr>
          <w:rFonts w:ascii="Times New Roman" w:hAnsi="Times New Roman" w:cs="Times New Roman" w:eastAsia="Times New Roman" w:hint="default"/>
          <w:spacing w:val="-3"/>
        </w:rPr>
        <w:t>1,411,433</w:t>
      </w:r>
      <w:r>
        <w:rPr>
          <w:spacing w:val="-3"/>
        </w:rPr>
        <w:t>股，杨维国合计持有（包</w:t>
      </w:r>
      <w:r>
        <w:rPr>
          <w:spacing w:val="-70"/>
        </w:rPr>
        <w:t> </w:t>
      </w:r>
      <w:r>
        <w:rPr>
          <w:spacing w:val="-70"/>
        </w:rPr>
      </w:r>
      <w:r>
        <w:rPr/>
        <w:t>括直接和间接持有）公司</w:t>
      </w:r>
      <w:r>
        <w:rPr>
          <w:rFonts w:ascii="Times New Roman" w:hAnsi="Times New Roman" w:cs="Times New Roman" w:eastAsia="Times New Roman" w:hint="default"/>
        </w:rPr>
        <w:t>69,251,433</w:t>
      </w:r>
      <w:r>
        <w:rPr/>
        <w:t>股，占总股本的</w:t>
      </w:r>
      <w:r>
        <w:rPr>
          <w:rFonts w:ascii="Times New Roman" w:hAnsi="Times New Roman" w:cs="Times New Roman" w:eastAsia="Times New Roman" w:hint="default"/>
        </w:rPr>
        <w:t>22.9237%</w:t>
      </w:r>
      <w:r>
        <w:rPr/>
        <w:t>，为公司第一大股东，实际控制人。</w:t>
      </w:r>
    </w:p>
    <w:p>
      <w:pPr>
        <w:spacing w:line="240" w:lineRule="auto" w:before="10"/>
        <w:rPr>
          <w:rFonts w:ascii="宋体" w:hAnsi="宋体" w:cs="宋体" w:eastAsia="宋体" w:hint="default"/>
          <w:sz w:val="19"/>
          <w:szCs w:val="19"/>
        </w:rPr>
      </w:pPr>
    </w:p>
    <w:p>
      <w:pPr>
        <w:pStyle w:val="Heading4"/>
        <w:spacing w:line="240" w:lineRule="auto"/>
        <w:ind w:left="153"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本企业子公司的情况详见附注九。</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1311"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575"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成都兰途网络科技有限公司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北京乐智科技有限公司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嘉兴丹诚开普股权投资合伙企业（有限合伙）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6"/>
        <w:rPr>
          <w:rFonts w:ascii="宋体" w:hAnsi="宋体" w:cs="宋体" w:eastAsia="宋体" w:hint="default"/>
          <w:sz w:val="20"/>
          <w:szCs w:val="20"/>
        </w:rPr>
      </w:pPr>
    </w:p>
    <w:p>
      <w:pPr>
        <w:pStyle w:val="Heading4"/>
        <w:spacing w:line="240" w:lineRule="auto" w:before="35"/>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马冬丽</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实际控制人配偶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漫时尚品（北京）电子商务有限公司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实际控制人担任董事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北京福瑞堂投资有限公司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罗会军持股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86.6%</w:t>
            </w:r>
            <w:r>
              <w:rPr>
                <w:rFonts w:ascii="宋体" w:hAnsi="宋体" w:cs="宋体" w:eastAsia="宋体" w:hint="default"/>
                <w:sz w:val="18"/>
                <w:szCs w:val="18"/>
              </w:rPr>
              <w:t>、任董事长</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黑龙江福瑞堂医药有限公司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罗会军持股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、任董事长</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郑州福瑞堂制药有限公司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罗会军持股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86.6%</w:t>
            </w:r>
            <w:r>
              <w:rPr>
                <w:rFonts w:ascii="宋体" w:hAnsi="宋体" w:cs="宋体" w:eastAsia="宋体" w:hint="default"/>
                <w:sz w:val="18"/>
                <w:szCs w:val="18"/>
              </w:rPr>
              <w:t>、任董事长</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郑州天兴软件工程股份有限公司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王世卿持股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、任执行董事兼经理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河南金博士种业股份有限公司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祝田山担任独立董事</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4"/>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8"/>
        <w:gridCol w:w="2260"/>
        <w:gridCol w:w="2652"/>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成都兰途</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提供技术劳务服务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2"/>
        <w:ind w:left="154" w:right="0" w:firstLine="0"/>
        <w:jc w:val="both"/>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10"/>
        <w:rPr>
          <w:rFonts w:ascii="宋体" w:hAnsi="宋体" w:cs="宋体" w:eastAsia="宋体" w:hint="default"/>
          <w:sz w:val="12"/>
          <w:szCs w:val="12"/>
        </w:rPr>
      </w:pPr>
    </w:p>
    <w:p>
      <w:pPr>
        <w:pStyle w:val="BodyText"/>
        <w:spacing w:line="240" w:lineRule="auto" w:before="0"/>
        <w:ind w:right="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5</w:t>
      </w:r>
      <w:r>
        <w:rPr/>
        <w:t>日，公司实际控制人杨维国与交通银行河南分行签署合同编号为</w:t>
      </w:r>
      <w:r>
        <w:rPr>
          <w:rFonts w:ascii="Times New Roman" w:hAnsi="Times New Roman" w:cs="Times New Roman" w:eastAsia="Times New Roman" w:hint="default"/>
        </w:rPr>
        <w:t>“C1508GR4111813</w:t>
      </w:r>
      <w:r>
        <w:rPr/>
        <w:t>号</w:t>
      </w:r>
      <w:r>
        <w:rPr>
          <w:rFonts w:ascii="Times New Roman" w:hAnsi="Times New Roman" w:cs="Times New Roman" w:eastAsia="Times New Roman" w:hint="default"/>
        </w:rPr>
        <w:t>”</w:t>
      </w:r>
      <w:r>
        <w:rPr/>
        <w:t>的</w:t>
      </w:r>
    </w:p>
    <w:p>
      <w:pPr>
        <w:pStyle w:val="BodyText"/>
        <w:spacing w:line="386" w:lineRule="auto" w:before="177"/>
        <w:ind w:left="153" w:right="151"/>
        <w:jc w:val="both"/>
      </w:pPr>
      <w:r>
        <w:rPr>
          <w:spacing w:val="-1"/>
        </w:rPr>
        <w:t>《保证合同》，约定由杨维国为公司与交通银行股份有限公司河南省分行于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5</w:t>
      </w:r>
      <w:r>
        <w:rPr>
          <w:spacing w:val="-1"/>
        </w:rPr>
        <w:t>日签署的合同编号</w:t>
      </w:r>
      <w:r>
        <w:rPr>
          <w:spacing w:val="-83"/>
        </w:rPr>
        <w:t> </w:t>
      </w:r>
      <w:r>
        <w:rPr>
          <w:spacing w:val="-83"/>
        </w:rPr>
      </w:r>
      <w:r>
        <w:rPr/>
        <w:t>为</w:t>
      </w:r>
      <w:r>
        <w:rPr>
          <w:rFonts w:ascii="Times New Roman" w:hAnsi="Times New Roman" w:cs="Times New Roman" w:eastAsia="Times New Roman" w:hint="default"/>
        </w:rPr>
        <w:t>“21508LN15650047</w:t>
      </w:r>
      <w:r>
        <w:rPr/>
        <w:t>号</w:t>
      </w:r>
      <w:r>
        <w:rPr>
          <w:rFonts w:ascii="Times New Roman" w:hAnsi="Times New Roman" w:cs="Times New Roman" w:eastAsia="Times New Roman" w:hint="default"/>
        </w:rPr>
        <w:t>”</w:t>
      </w:r>
      <w:r>
        <w:rPr/>
        <w:t>借款金额为</w:t>
      </w:r>
      <w:r>
        <w:rPr>
          <w:rFonts w:ascii="Times New Roman" w:hAnsi="Times New Roman" w:cs="Times New Roman" w:eastAsia="Times New Roman" w:hint="default"/>
        </w:rPr>
        <w:t>6,000.00</w:t>
      </w:r>
      <w:r>
        <w:rPr/>
        <w:t>万元（截止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日实际到账</w:t>
      </w:r>
      <w:r>
        <w:rPr>
          <w:rFonts w:ascii="Times New Roman" w:hAnsi="Times New Roman" w:cs="Times New Roman" w:eastAsia="Times New Roman" w:hint="default"/>
        </w:rPr>
        <w:t>5,200.00</w:t>
      </w:r>
      <w:r>
        <w:rPr/>
        <w:t>万元）的《流动 资金借款合同》提供保证担保，保证方式为连带责任保证。</w:t>
      </w:r>
    </w:p>
    <w:p>
      <w:pPr>
        <w:pStyle w:val="BodyText"/>
        <w:spacing w:line="240" w:lineRule="auto" w:before="65"/>
        <w:ind w:left="153" w:right="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6</w:t>
      </w:r>
      <w:r>
        <w:rPr/>
        <w:t>日，杨维国与中信银行郑州分行签署合同编号为</w:t>
      </w:r>
      <w:r>
        <w:rPr>
          <w:rFonts w:ascii="Times New Roman" w:hAnsi="Times New Roman" w:cs="Times New Roman" w:eastAsia="Times New Roman" w:hint="default"/>
        </w:rPr>
        <w:t>“</w:t>
      </w:r>
      <w:r>
        <w:rPr/>
        <w:t>（</w:t>
      </w:r>
      <w:r>
        <w:rPr>
          <w:rFonts w:ascii="Times New Roman" w:hAnsi="Times New Roman" w:cs="Times New Roman" w:eastAsia="Times New Roman" w:hint="default"/>
        </w:rPr>
        <w:t>2015</w:t>
      </w:r>
      <w:r>
        <w:rPr/>
        <w:t>）信豫银最保字第</w:t>
      </w:r>
      <w:r>
        <w:rPr>
          <w:rFonts w:ascii="Times New Roman" w:hAnsi="Times New Roman" w:cs="Times New Roman" w:eastAsia="Times New Roman" w:hint="default"/>
        </w:rPr>
        <w:t>1539029</w:t>
      </w:r>
      <w:r>
        <w:rPr/>
        <w:t>号</w:t>
      </w:r>
      <w:r>
        <w:rPr>
          <w:rFonts w:ascii="Times New Roman" w:hAnsi="Times New Roman" w:cs="Times New Roman" w:eastAsia="Times New Roman" w:hint="default"/>
        </w:rPr>
        <w:t>”</w:t>
      </w:r>
      <w:r>
        <w:rPr/>
        <w:t>的</w:t>
      </w:r>
    </w:p>
    <w:p>
      <w:pPr>
        <w:pStyle w:val="BodyText"/>
        <w:spacing w:line="386" w:lineRule="auto" w:before="177"/>
        <w:ind w:right="151" w:hanging="1"/>
        <w:jc w:val="both"/>
      </w:pPr>
      <w:r>
        <w:rPr>
          <w:spacing w:val="-1"/>
        </w:rPr>
        <w:t>《最高额保证合同》，约定由杨维国为公司与中信银行郑州分行于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6</w:t>
      </w:r>
      <w:r>
        <w:rPr>
          <w:spacing w:val="-1"/>
        </w:rPr>
        <w:t>日至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6</w:t>
      </w:r>
      <w:r>
        <w:rPr>
          <w:spacing w:val="-1"/>
        </w:rPr>
        <w:t>日期间所签</w:t>
      </w:r>
      <w:r>
        <w:rPr>
          <w:spacing w:val="-86"/>
        </w:rPr>
        <w:t> </w:t>
      </w:r>
      <w:r>
        <w:rPr>
          <w:spacing w:val="-1"/>
        </w:rPr>
        <w:t>署的形成债权债务关系的一系列合同、协议以及其他法律性文件项下的主债权、利息、罚息、复利、违约</w:t>
      </w:r>
    </w:p>
    <w:p>
      <w:pPr>
        <w:spacing w:after="0" w:line="386" w:lineRule="auto"/>
        <w:jc w:val="both"/>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386" w:lineRule="auto" w:before="35"/>
        <w:ind w:right="267"/>
        <w:jc w:val="left"/>
      </w:pPr>
      <w:r>
        <w:rPr/>
        <w:t>金、损害赔偿金、为实现债权的费用及其他所有应付费用提供担保，担保的债权最高额限度为人民币</w:t>
      </w:r>
      <w:r>
        <w:rPr>
          <w:rFonts w:ascii="Times New Roman" w:hAnsi="Times New Roman" w:cs="Times New Roman" w:eastAsia="Times New Roman" w:hint="default"/>
        </w:rPr>
        <w:t>1.2 </w:t>
      </w:r>
      <w:r>
        <w:rPr/>
        <w:t>亿元整，保证方式为连带责任保证。</w:t>
      </w:r>
    </w:p>
    <w:p>
      <w:pPr>
        <w:pStyle w:val="BodyText"/>
        <w:spacing w:line="391" w:lineRule="auto" w:before="65"/>
        <w:ind w:right="135" w:hanging="1"/>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日，杨维国与招商银行郑州分行签署合同编号为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3725</w:t>
      </w:r>
      <w:r>
        <w:rPr/>
        <w:t>保字第</w:t>
      </w:r>
      <w:r>
        <w:rPr>
          <w:rFonts w:ascii="Times New Roman" w:hAnsi="Times New Roman" w:cs="Times New Roman" w:eastAsia="Times New Roman" w:hint="default"/>
        </w:rPr>
        <w:t>072</w:t>
      </w:r>
      <w:r>
        <w:rPr/>
        <w:t>号</w:t>
      </w:r>
      <w:r>
        <w:rPr>
          <w:rFonts w:ascii="Times New Roman" w:hAnsi="Times New Roman" w:cs="Times New Roman" w:eastAsia="Times New Roman" w:hint="default"/>
        </w:rPr>
        <w:t>”</w:t>
      </w:r>
      <w:r>
        <w:rPr/>
        <w:t>的《最高额 </w:t>
      </w:r>
      <w:r>
        <w:rPr>
          <w:spacing w:val="-1"/>
        </w:rPr>
        <w:t>不可撤销担保书》，约定杨维国与招商银行郑州分行于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25</w:t>
      </w:r>
      <w:r>
        <w:rPr>
          <w:spacing w:val="-1"/>
        </w:rPr>
        <w:t>日至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25</w:t>
      </w:r>
      <w:r>
        <w:rPr>
          <w:spacing w:val="-1"/>
        </w:rPr>
        <w:t>日期间所签署的形</w:t>
      </w:r>
      <w:r>
        <w:rPr>
          <w:spacing w:val="-87"/>
        </w:rPr>
        <w:t> </w:t>
      </w:r>
      <w:r>
        <w:rPr>
          <w:spacing w:val="-87"/>
        </w:rPr>
      </w:r>
      <w:r>
        <w:rPr>
          <w:spacing w:val="-1"/>
        </w:rPr>
        <w:t>成债权债务关系的一系列合同、协议以及其他法律性文件项下的主债权、利息、罚息、复利、违约金、损</w:t>
      </w:r>
      <w:r>
        <w:rPr>
          <w:spacing w:val="-84"/>
        </w:rPr>
        <w:t> </w:t>
      </w:r>
      <w:r>
        <w:rPr>
          <w:spacing w:val="-84"/>
        </w:rPr>
      </w:r>
      <w:r>
        <w:rPr/>
        <w:t>害赔偿金、为实现债权的费用及其他所有应付费用提供担保，担保的债权最高额限度为人民币</w:t>
      </w:r>
      <w:r>
        <w:rPr>
          <w:rFonts w:ascii="Times New Roman" w:hAnsi="Times New Roman" w:cs="Times New Roman" w:eastAsia="Times New Roman" w:hint="default"/>
        </w:rPr>
        <w:t>9,000.00</w:t>
      </w:r>
      <w:r>
        <w:rPr/>
        <w:t>万 元整，保证方式为连带责任保证。</w:t>
      </w:r>
    </w:p>
    <w:p>
      <w:pPr>
        <w:spacing w:line="240" w:lineRule="auto" w:before="9"/>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2,651,915.90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1,798,518.94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3D3D3"/>
          </w:tcPr>
          <w:p>
            <w:pPr/>
          </w:p>
        </w:tc>
        <w:tc>
          <w:tcPr>
            <w:tcW w:w="1595" w:type="dxa"/>
            <w:vMerge/>
            <w:tcBorders>
              <w:left w:val="single" w:sz="4" w:space="0" w:color="000000"/>
              <w:bottom w:val="single" w:sz="4" w:space="0" w:color="000000"/>
              <w:right w:val="single" w:sz="4" w:space="0" w:color="000000"/>
            </w:tcBorders>
            <w:shd w:val="clear" w:color="auto" w:fill="D3D3D3"/>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成都兰途网络科技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凯里智慧城市通卡 管理有限公司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145,590.00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145,590.00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凯里智慧城市通卡 管理有限公司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176,670.46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176,670.46</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95"/>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78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十三、股份支付</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8"/>
        <w:ind w:left="154"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95"/>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8"/>
        <w:rPr>
          <w:rFonts w:ascii="宋体" w:hAnsi="宋体" w:cs="宋体" w:eastAsia="宋体" w:hint="default"/>
          <w:b/>
          <w:bCs/>
          <w:sz w:val="26"/>
          <w:szCs w:val="26"/>
        </w:rPr>
      </w:pPr>
    </w:p>
    <w:p>
      <w:pPr>
        <w:spacing w:before="0"/>
        <w:ind w:left="154"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95"/>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before="0"/>
        <w:ind w:left="154"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95"/>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742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Heading4"/>
        <w:spacing w:line="240" w:lineRule="auto" w:before="83"/>
        <w:ind w:right="95"/>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5"/>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30"/>
          <w:szCs w:val="30"/>
        </w:rPr>
      </w:pPr>
    </w:p>
    <w:p>
      <w:pPr>
        <w:pStyle w:val="BodyText"/>
        <w:spacing w:line="398" w:lineRule="auto" w:before="0"/>
        <w:ind w:left="153" w:right="104" w:firstLine="420"/>
        <w:jc w:val="left"/>
        <w:rPr>
          <w:rFonts w:ascii="Times New Roman" w:hAnsi="Times New Roman" w:cs="Times New Roman" w:eastAsia="Times New Roman" w:hint="default"/>
        </w:rPr>
      </w:pPr>
      <w:r>
        <w:rPr>
          <w:rFonts w:ascii="Times New Roman" w:hAnsi="Times New Roman" w:cs="Times New Roman" w:eastAsia="Times New Roman" w:hint="default"/>
          <w:spacing w:val="-1"/>
        </w:rPr>
        <w:t>2015</w:t>
      </w:r>
      <w:r>
        <w:rPr>
          <w:rFonts w:ascii="Times New Roman" w:hAnsi="Times New Roman" w:cs="Times New Roman" w:eastAsia="Times New Roman" w:hint="default"/>
        </w:rPr>
        <w:t> </w:t>
      </w:r>
      <w:r>
        <w:rPr/>
        <w:t>年</w:t>
      </w:r>
      <w:r>
        <w:rPr>
          <w:spacing w:val="-52"/>
        </w:rPr>
        <w:t> </w:t>
      </w:r>
      <w:r>
        <w:rPr>
          <w:rFonts w:ascii="Times New Roman" w:hAnsi="Times New Roman" w:cs="Times New Roman" w:eastAsia="Times New Roman" w:hint="default"/>
        </w:rPr>
        <w:t>5 </w:t>
      </w:r>
      <w:r>
        <w:rPr/>
        <w:t>月</w:t>
      </w:r>
      <w:r>
        <w:rPr>
          <w:spacing w:val="-53"/>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spacing w:val="-8"/>
        </w:rPr>
        <w:t>日公司收到贵州省凯里市人民法院送达的《应诉通知书》（（</w:t>
      </w:r>
      <w:r>
        <w:rPr>
          <w:rFonts w:ascii="Times New Roman" w:hAnsi="Times New Roman" w:cs="Times New Roman" w:eastAsia="Times New Roman" w:hint="default"/>
          <w:spacing w:val="-8"/>
        </w:rPr>
        <w:t>2015</w:t>
      </w:r>
      <w:r>
        <w:rPr>
          <w:spacing w:val="-8"/>
        </w:rPr>
        <w:t>）凯民商字第</w:t>
      </w:r>
      <w:r>
        <w:rPr>
          <w:spacing w:val="-52"/>
        </w:rPr>
        <w:t> </w:t>
      </w:r>
      <w:r>
        <w:rPr>
          <w:rFonts w:ascii="Times New Roman" w:hAnsi="Times New Roman" w:cs="Times New Roman" w:eastAsia="Times New Roman" w:hint="default"/>
          <w:spacing w:val="-1"/>
        </w:rPr>
        <w:t>59</w:t>
      </w:r>
      <w:r>
        <w:rPr>
          <w:rFonts w:ascii="Times New Roman" w:hAnsi="Times New Roman" w:cs="Times New Roman" w:eastAsia="Times New Roman" w:hint="default"/>
        </w:rPr>
        <w:t> </w:t>
      </w:r>
      <w:r>
        <w:rPr>
          <w:spacing w:val="-35"/>
        </w:rPr>
        <w:t>号），</w:t>
      </w:r>
      <w:r>
        <w:rPr/>
        <w:t> 因其参股子公司凯里智慧城市通卡管理有限公司的房屋租赁合同纠纷，被合同对方贵州黔茶春茶产业有限 公司提起诉讼。要求凯里智慧城市通卡管理有限公司支付其拖欠的</w:t>
      </w:r>
      <w:r>
        <w:rPr>
          <w:spacing w:val="-4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rPr>
        <w:t>8</w:t>
      </w:r>
      <w:r>
        <w:rPr>
          <w:rFonts w:ascii="Times New Roman" w:hAnsi="Times New Roman" w:cs="Times New Roman" w:eastAsia="Times New Roman" w:hint="default"/>
          <w:spacing w:val="11"/>
        </w:rPr>
        <w:t> </w:t>
      </w:r>
      <w:r>
        <w:rPr/>
        <w:t>月</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日起至</w:t>
      </w:r>
      <w:r>
        <w:rPr>
          <w:spacing w:val="-4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0"/>
        </w:rPr>
        <w:t> </w:t>
      </w:r>
      <w:r>
        <w:rPr/>
        <w:t>年</w:t>
      </w:r>
      <w:r>
        <w:rPr>
          <w:spacing w:val="-42"/>
        </w:rPr>
        <w:t> </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t>月</w:t>
      </w:r>
      <w:r>
        <w:rPr>
          <w:spacing w:val="-42"/>
        </w:rPr>
        <w:t> </w:t>
      </w:r>
      <w:r>
        <w:rPr>
          <w:rFonts w:ascii="Times New Roman" w:hAnsi="Times New Roman" w:cs="Times New Roman" w:eastAsia="Times New Roman" w:hint="default"/>
        </w:rPr>
        <w:t>31</w:t>
      </w:r>
    </w:p>
    <w:p>
      <w:pPr>
        <w:pStyle w:val="BodyText"/>
        <w:spacing w:line="240" w:lineRule="auto" w:before="24"/>
        <w:ind w:right="95"/>
        <w:jc w:val="left"/>
      </w:pPr>
      <w:r>
        <w:rPr/>
        <w:t>日止的房屋租金及逾期滞纳金合计</w:t>
      </w:r>
      <w:r>
        <w:rPr>
          <w:spacing w:val="-54"/>
        </w:rPr>
        <w:t> </w:t>
      </w:r>
      <w:r>
        <w:rPr>
          <w:rFonts w:ascii="Times New Roman" w:hAnsi="Times New Roman" w:cs="Times New Roman" w:eastAsia="Times New Roman" w:hint="default"/>
        </w:rPr>
        <w:t>2,691,713.32</w:t>
      </w:r>
      <w:r>
        <w:rPr>
          <w:rFonts w:ascii="Times New Roman" w:hAnsi="Times New Roman" w:cs="Times New Roman" w:eastAsia="Times New Roman" w:hint="default"/>
          <w:spacing w:val="-2"/>
        </w:rPr>
        <w:t> </w:t>
      </w:r>
      <w:r>
        <w:rPr/>
        <w:t>元，</w:t>
      </w:r>
      <w:r>
        <w:rPr>
          <w:spacing w:val="-38"/>
        </w:rPr>
        <w:t> </w:t>
      </w:r>
      <w:r>
        <w:rPr/>
        <w:t>凯里法院于</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spacing w:val="-4"/>
        </w:rPr>
        <w:t>日做出判决，判令凯里公</w:t>
      </w:r>
    </w:p>
    <w:p>
      <w:pPr>
        <w:pStyle w:val="BodyText"/>
        <w:spacing w:line="240" w:lineRule="auto" w:before="177"/>
        <w:ind w:right="95"/>
        <w:jc w:val="left"/>
      </w:pPr>
      <w:r>
        <w:rPr/>
        <w:t>司支付黔茶春公司租金及逾期滞纳金合计</w:t>
      </w:r>
      <w:r>
        <w:rPr>
          <w:spacing w:val="-45"/>
        </w:rPr>
        <w:t> </w:t>
      </w:r>
      <w:r>
        <w:rPr>
          <w:rFonts w:ascii="Times New Roman" w:hAnsi="Times New Roman" w:cs="Times New Roman" w:eastAsia="Times New Roman" w:hint="default"/>
        </w:rPr>
        <w:t>1,769,076.82</w:t>
      </w:r>
      <w:r>
        <w:rPr>
          <w:rFonts w:ascii="Times New Roman" w:hAnsi="Times New Roman" w:cs="Times New Roman" w:eastAsia="Times New Roman" w:hint="default"/>
          <w:spacing w:val="8"/>
        </w:rPr>
        <w:t> </w:t>
      </w:r>
      <w:r>
        <w:rPr/>
        <w:t>元，</w:t>
      </w:r>
      <w:r>
        <w:rPr>
          <w:rFonts w:ascii="Times New Roman" w:hAnsi="Times New Roman" w:cs="Times New Roman" w:eastAsia="Times New Roman" w:hint="default"/>
        </w:rPr>
        <w:t>2016</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日公司收到（</w:t>
      </w:r>
      <w:r>
        <w:rPr>
          <w:rFonts w:ascii="Times New Roman" w:hAnsi="Times New Roman" w:cs="Times New Roman" w:eastAsia="Times New Roman" w:hint="default"/>
        </w:rPr>
        <w:t>2016</w:t>
      </w:r>
      <w:r>
        <w:rPr/>
        <w:t>）黔</w:t>
      </w:r>
      <w:r>
        <w:rPr>
          <w:spacing w:val="-45"/>
        </w:rPr>
        <w:t> </w:t>
      </w:r>
      <w:r>
        <w:rPr>
          <w:rFonts w:ascii="Times New Roman" w:hAnsi="Times New Roman" w:cs="Times New Roman" w:eastAsia="Times New Roman" w:hint="default"/>
        </w:rPr>
        <w:t>2601</w:t>
      </w:r>
      <w:r>
        <w:rPr>
          <w:rFonts w:ascii="Times New Roman" w:hAnsi="Times New Roman" w:cs="Times New Roman" w:eastAsia="Times New Roman" w:hint="default"/>
          <w:spacing w:val="8"/>
        </w:rPr>
        <w:t> </w:t>
      </w:r>
      <w:r>
        <w:rPr/>
        <w:t>执</w:t>
      </w:r>
    </w:p>
    <w:p>
      <w:pPr>
        <w:pStyle w:val="BodyText"/>
        <w:spacing w:line="386" w:lineRule="auto" w:before="177"/>
        <w:ind w:left="153" w:right="206"/>
        <w:jc w:val="left"/>
      </w:pPr>
      <w:r>
        <w:rPr>
          <w:rFonts w:ascii="Times New Roman" w:hAnsi="Times New Roman" w:cs="Times New Roman" w:eastAsia="Times New Roman" w:hint="default"/>
        </w:rPr>
        <w:t>187 </w:t>
      </w:r>
      <w:r>
        <w:rPr>
          <w:spacing w:val="-3"/>
        </w:rPr>
        <w:t>号裁定书，内容为黔茶春公司申请执行（</w:t>
      </w:r>
      <w:r>
        <w:rPr>
          <w:rFonts w:ascii="Times New Roman" w:hAnsi="Times New Roman" w:cs="Times New Roman" w:eastAsia="Times New Roman" w:hint="default"/>
          <w:spacing w:val="-3"/>
        </w:rPr>
        <w:t>2015</w:t>
      </w:r>
      <w:r>
        <w:rPr>
          <w:spacing w:val="-3"/>
        </w:rPr>
        <w:t>）凯民商初字第</w:t>
      </w:r>
      <w:r>
        <w:rPr>
          <w:spacing w:val="-53"/>
        </w:rPr>
        <w:t> </w:t>
      </w:r>
      <w:r>
        <w:rPr>
          <w:rFonts w:ascii="Times New Roman" w:hAnsi="Times New Roman" w:cs="Times New Roman" w:eastAsia="Times New Roman" w:hint="default"/>
        </w:rPr>
        <w:t>59 </w:t>
      </w:r>
      <w:r>
        <w:rPr/>
        <w:t>号判决书，新开普公司在未出资范围 内承担连带责任，新开普公司已提交异议申请书，异议结果暂不确定。</w:t>
      </w:r>
    </w:p>
    <w:p>
      <w:pPr>
        <w:pStyle w:val="BodyText"/>
        <w:spacing w:line="240" w:lineRule="auto" w:before="104"/>
        <w:ind w:left="573" w:right="95"/>
        <w:jc w:val="left"/>
      </w:pPr>
      <w:r>
        <w:rPr/>
        <w:t>截止</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日，除上述事项外，本公司无需要披露的其他重大或有事项。</w:t>
      </w:r>
    </w:p>
    <w:p>
      <w:pPr>
        <w:spacing w:after="0" w:line="240" w:lineRule="auto"/>
        <w:jc w:val="left"/>
        <w:sectPr>
          <w:pgSz w:w="11910" w:h="16840"/>
          <w:pgMar w:header="877" w:footer="982" w:top="1100" w:bottom="1180" w:left="980" w:right="920"/>
        </w:sectPr>
      </w:pPr>
    </w:p>
    <w:p>
      <w:pPr>
        <w:spacing w:line="240" w:lineRule="auto" w:before="9"/>
        <w:rPr>
          <w:rFonts w:ascii="宋体" w:hAnsi="宋体" w:cs="宋体" w:eastAsia="宋体" w:hint="default"/>
          <w:sz w:val="20"/>
          <w:szCs w:val="20"/>
        </w:rPr>
      </w:pPr>
    </w:p>
    <w:p>
      <w:pPr>
        <w:spacing w:line="571" w:lineRule="auto" w:before="35"/>
        <w:ind w:left="153" w:right="460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b/>
          <w:bCs/>
          <w:spacing w:val="1"/>
          <w:w w:val="99"/>
          <w:sz w:val="21"/>
          <w:szCs w:val="21"/>
        </w:rPr>
        <w:t> </w:t>
      </w:r>
      <w:r>
        <w:rPr>
          <w:rFonts w:ascii="宋体" w:hAnsi="宋体" w:cs="宋体" w:eastAsia="宋体" w:hint="default"/>
          <w:sz w:val="21"/>
          <w:szCs w:val="21"/>
        </w:rPr>
        <w:t>公司不存在需要披露的重要或有事项。</w:t>
      </w:r>
    </w:p>
    <w:p>
      <w:pPr>
        <w:spacing w:line="487" w:lineRule="auto" w:before="124"/>
        <w:ind w:left="154" w:right="687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Heading4"/>
        <w:spacing w:line="240" w:lineRule="auto" w:before="83"/>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15,104,745.05</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15,104,745.05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671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十六、其他重要事项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4"/>
        <w:spacing w:line="240" w:lineRule="auto" w:before="83"/>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59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4"/>
        <w:spacing w:line="240" w:lineRule="auto" w:before="83"/>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188,752,</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217.08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95.81%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33,935,5</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12.46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17.98%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154,816,7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04.62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165,834</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,243.82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98.06%</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25,617,85</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0.55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15.45%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140,216,39</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3.27</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8,259,01</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8.94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4.19%</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8,259,018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3,278,1</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29.14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1.94%</w:t>
            </w:r>
            <w:r>
              <w:rPr>
                <w:rFonts w:ascii="Times New Roman"/>
                <w:sz w:val="18"/>
              </w:rPr>
            </w:r>
          </w:p>
        </w:tc>
        <w:tc>
          <w:tcPr>
            <w:tcW w:w="81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3,278,129.1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197,011,</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236.02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33,935,5</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12.46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17.23%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163,075,7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23.56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left"/>
              <w:rPr>
                <w:rFonts w:ascii="Times New Roman" w:hAnsi="Times New Roman" w:cs="Times New Roman" w:eastAsia="Times New Roman" w:hint="default"/>
                <w:sz w:val="18"/>
                <w:szCs w:val="18"/>
              </w:rPr>
            </w:pPr>
            <w:r>
              <w:rPr>
                <w:rFonts w:ascii="Times New Roman"/>
                <w:sz w:val="18"/>
              </w:rPr>
              <w:t>169,112</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,372.96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25,617,85</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0.55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15.15%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143,494,52</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2.41</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3"/>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295" w:space="453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0"/>
        <w:gridCol w:w="2389"/>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3D3D3"/>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114,450,367.31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5,722,518.37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114,450,367.31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5,722,518.37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34,064,808.92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3,406,480.89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10.00%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12,139,956.89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3,641,987.07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30.00%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28,097,083.96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21,164,526.13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75.33%</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13,865,115.67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6,932,557.84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7,800,379.36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7,800,379.36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6,431,588.93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6,431,588.93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188,752,217.08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33,935,512.46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17.98%</w:t>
            </w:r>
            <w:r>
              <w:rPr>
                <w:rFonts w:ascii="Times New Roman"/>
                <w:sz w:val="18"/>
              </w:rPr>
            </w:r>
          </w:p>
        </w:tc>
      </w:tr>
    </w:tbl>
    <w:p>
      <w:pPr>
        <w:spacing w:line="357" w:lineRule="auto" w:before="51"/>
        <w:ind w:left="153" w:right="5451"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38" w:lineRule="auto" w:before="29"/>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8,317,661.91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9"/>
        <w:rPr>
          <w:rFonts w:ascii="宋体" w:hAnsi="宋体" w:cs="宋体" w:eastAsia="宋体" w:hint="default"/>
          <w:sz w:val="20"/>
          <w:szCs w:val="20"/>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1843"/>
        <w:gridCol w:w="1418"/>
        <w:gridCol w:w="1235"/>
        <w:gridCol w:w="2167"/>
        <w:gridCol w:w="2268"/>
      </w:tblGrid>
      <w:tr>
        <w:trPr>
          <w:trHeight w:val="347" w:hRule="exact"/>
        </w:trPr>
        <w:tc>
          <w:tcPr>
            <w:tcW w:w="18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55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4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23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4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9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659"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2"/>
                <w:sz w:val="18"/>
                <w:szCs w:val="18"/>
              </w:rPr>
              <w:t>福建新开普信息科技有 </w:t>
            </w:r>
            <w:r>
              <w:rPr>
                <w:rFonts w:ascii="宋体" w:hAnsi="宋体" w:cs="宋体" w:eastAsia="宋体" w:hint="default"/>
                <w:sz w:val="18"/>
                <w:szCs w:val="18"/>
              </w:rPr>
              <w:t>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7,015,517.94</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年内</w:t>
            </w:r>
            <w:r>
              <w:rPr>
                <w:rFonts w:ascii="Times New Roman" w:hAnsi="Times New Roman" w:cs="Times New Roman" w:eastAsia="Times New Roman" w:hint="default"/>
                <w:sz w:val="18"/>
                <w:szCs w:val="18"/>
              </w:rPr>
              <w:t>4,737,388.80</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2,278,129.14</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3.60</w:t>
            </w:r>
          </w:p>
        </w:tc>
      </w:tr>
      <w:tr>
        <w:trPr>
          <w:trHeight w:val="348"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中信银行西宁分行</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3,636,906.00</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年内</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1.87</w:t>
            </w:r>
          </w:p>
        </w:tc>
      </w:tr>
      <w:tr>
        <w:trPr>
          <w:trHeight w:val="659"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云南道弘科技有限公司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2,524,758.10</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宋体" w:hAnsi="宋体" w:cs="宋体" w:eastAsia="宋体" w:hint="default"/>
                <w:sz w:val="18"/>
                <w:szCs w:val="18"/>
              </w:rPr>
              <w:t>年</w:t>
            </w:r>
            <w:r>
              <w:rPr>
                <w:rFonts w:ascii="Times New Roman" w:hAnsi="Times New Roman" w:cs="Times New Roman" w:eastAsia="Times New Roman" w:hint="default"/>
                <w:sz w:val="18"/>
                <w:szCs w:val="18"/>
              </w:rPr>
              <w:t>879,916.00</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年以上</w:t>
            </w:r>
          </w:p>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1,644,842.10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1.30</w:t>
            </w:r>
          </w:p>
        </w:tc>
      </w:tr>
      <w:tr>
        <w:trPr>
          <w:trHeight w:val="659"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2"/>
                <w:sz w:val="18"/>
                <w:szCs w:val="18"/>
              </w:rPr>
              <w:t>中国移动通信集团内蒙 </w:t>
            </w:r>
            <w:r>
              <w:rPr>
                <w:rFonts w:ascii="宋体" w:hAnsi="宋体" w:cs="宋体" w:eastAsia="宋体" w:hint="default"/>
                <w:sz w:val="18"/>
                <w:szCs w:val="18"/>
              </w:rPr>
              <w:t>古有限公司包头分公司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2,435,372.00</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年内</w:t>
            </w:r>
            <w:r>
              <w:rPr>
                <w:rFonts w:ascii="Times New Roman" w:hAnsi="Times New Roman" w:cs="Times New Roman" w:eastAsia="Times New Roman" w:hint="default"/>
                <w:sz w:val="18"/>
                <w:szCs w:val="18"/>
              </w:rPr>
              <w:t>2,336,000.00</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99,372.00</w:t>
            </w:r>
            <w:r>
              <w:rPr>
                <w:rFonts w:ascii="宋体" w:hAnsi="宋体" w:cs="宋体" w:eastAsia="宋体" w:hint="default"/>
                <w:sz w:val="18"/>
                <w:szCs w:val="18"/>
              </w:rPr>
              <w:t>，</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1.25</w:t>
            </w:r>
          </w:p>
        </w:tc>
      </w:tr>
      <w:tr>
        <w:trPr>
          <w:trHeight w:val="659"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2"/>
                <w:sz w:val="18"/>
                <w:szCs w:val="18"/>
              </w:rPr>
              <w:t>中国电信股份有限公司 </w:t>
            </w:r>
            <w:r>
              <w:rPr>
                <w:rFonts w:ascii="宋体" w:hAnsi="宋体" w:cs="宋体" w:eastAsia="宋体" w:hint="default"/>
                <w:sz w:val="18"/>
                <w:szCs w:val="18"/>
              </w:rPr>
              <w:t>宁夏分公司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2,416,932.91</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年内</w:t>
            </w:r>
            <w:r>
              <w:rPr>
                <w:rFonts w:ascii="Times New Roman" w:hAnsi="Times New Roman" w:cs="Times New Roman" w:eastAsia="Times New Roman" w:hint="default"/>
                <w:sz w:val="18"/>
                <w:szCs w:val="18"/>
              </w:rPr>
              <w:t>1,307,615.00</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p>
            <w:pPr>
              <w:pStyle w:val="TableParagraph"/>
              <w:spacing w:line="240" w:lineRule="auto" w:before="63"/>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253,575.00</w:t>
            </w:r>
            <w:r>
              <w:rPr>
                <w:rFonts w:ascii="宋体" w:hAnsi="宋体" w:cs="宋体" w:eastAsia="宋体" w:hint="default"/>
                <w:spacing w:val="-74"/>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3</w:t>
            </w:r>
            <w:r>
              <w:rPr>
                <w:rFonts w:ascii="宋体" w:hAnsi="宋体" w:cs="宋体" w:eastAsia="宋体" w:hint="default"/>
                <w:sz w:val="18"/>
                <w:szCs w:val="18"/>
              </w:rPr>
              <w:t>年</w:t>
            </w:r>
            <w:r>
              <w:rPr>
                <w:rFonts w:ascii="Times New Roman" w:hAnsi="Times New Roman" w:cs="Times New Roman" w:eastAsia="Times New Roman" w:hint="default"/>
                <w:sz w:val="18"/>
                <w:szCs w:val="18"/>
              </w:rPr>
              <w:t>855,742.91</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1.24</w:t>
            </w:r>
          </w:p>
        </w:tc>
      </w:tr>
      <w:tr>
        <w:trPr>
          <w:trHeight w:val="348"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6" w:space="0" w:color="000000"/>
              <w:left w:val="single" w:sz="6" w:space="0" w:color="000000"/>
              <w:bottom w:val="single" w:sz="6" w:space="0" w:color="000000"/>
              <w:right w:val="single" w:sz="6" w:space="0" w:color="000000"/>
            </w:tcBorders>
          </w:tcPr>
          <w:p>
            <w:pP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16,790,602.95</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0"/>
              <w:jc w:val="left"/>
              <w:rPr>
                <w:rFonts w:ascii="宋体" w:hAnsi="宋体" w:cs="宋体" w:eastAsia="宋体" w:hint="default"/>
                <w:sz w:val="18"/>
                <w:szCs w:val="18"/>
              </w:rPr>
            </w:pPr>
            <w:r>
              <w:rPr>
                <w:rFonts w:ascii="宋体"/>
                <w:sz w:val="18"/>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9.26</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8,364,64</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49.25%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1,302,67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15.57%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7,061,969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7,750,9</w:t>
            </w:r>
          </w:p>
          <w:p>
            <w:pPr>
              <w:pStyle w:val="TableParagraph"/>
              <w:spacing w:line="240" w:lineRule="auto" w:before="105"/>
              <w:ind w:left="193" w:right="0"/>
              <w:jc w:val="center"/>
              <w:rPr>
                <w:rFonts w:ascii="Times New Roman" w:hAnsi="Times New Roman" w:cs="Times New Roman" w:eastAsia="Times New Roman" w:hint="default"/>
                <w:sz w:val="18"/>
                <w:szCs w:val="18"/>
              </w:rPr>
            </w:pPr>
            <w:r>
              <w:rPr>
                <w:rFonts w:ascii="Times New Roman"/>
                <w:sz w:val="18"/>
              </w:rPr>
              <w:t>49.45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52.35%</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1,129,981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14.58%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6,620,967.4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8,617,94</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1.36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50.75%</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8,617,941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7,055,0</w:t>
            </w:r>
          </w:p>
          <w:p>
            <w:pPr>
              <w:pStyle w:val="TableParagraph"/>
              <w:spacing w:line="240" w:lineRule="auto" w:before="105"/>
              <w:ind w:left="193" w:right="0"/>
              <w:jc w:val="center"/>
              <w:rPr>
                <w:rFonts w:ascii="Times New Roman" w:hAnsi="Times New Roman" w:cs="Times New Roman" w:eastAsia="Times New Roman" w:hint="default"/>
                <w:sz w:val="18"/>
                <w:szCs w:val="18"/>
              </w:rPr>
            </w:pPr>
            <w:r>
              <w:rPr>
                <w:rFonts w:ascii="Times New Roman"/>
                <w:sz w:val="18"/>
              </w:rPr>
              <w:t>61.10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47.65%</w:t>
            </w:r>
          </w:p>
        </w:tc>
        <w:tc>
          <w:tcPr>
            <w:tcW w:w="81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7,055,061.1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9" w:right="0"/>
              <w:jc w:val="left"/>
              <w:rPr>
                <w:rFonts w:ascii="Times New Roman" w:hAnsi="Times New Roman" w:cs="Times New Roman" w:eastAsia="Times New Roman" w:hint="default"/>
                <w:sz w:val="18"/>
                <w:szCs w:val="18"/>
              </w:rPr>
            </w:pPr>
            <w:r>
              <w:rPr>
                <w:rFonts w:ascii="Times New Roman"/>
                <w:sz w:val="18"/>
              </w:rPr>
              <w:t>16,982,5</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82.23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1,302,67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7.67%</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15,679,91</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0.60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14,806,</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010.55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1,129,981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7.63%</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13,676,028.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6"/>
        <w:ind w:left="154" w:right="56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0"/>
        <w:gridCol w:w="2389"/>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3D3D3"/>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5,464,351.59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273,217.58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5,464,351.59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273,217.58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1,054,939.04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105,493.90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10.00%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901,439.52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270,431.86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30.00%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943,910.72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653,528.29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69.24%</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580,764.86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290,382.43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34,647.85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34,647.85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328,498.01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328,498.01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8,364,640.87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1,302,671.63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15.57%</w:t>
            </w:r>
            <w:r>
              <w:rPr>
                <w:rFonts w:ascii="Times New Roman"/>
                <w:sz w:val="18"/>
              </w:rPr>
            </w:r>
          </w:p>
        </w:tc>
      </w:tr>
    </w:tbl>
    <w:p>
      <w:pPr>
        <w:spacing w:line="357" w:lineRule="auto" w:before="51"/>
        <w:ind w:left="153" w:right="5271"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9"/>
        <w:ind w:left="154" w:right="56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172,689.64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2,969,673.87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3,361,360.99</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日常借款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1,826,256.36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2,341,366.73</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其他单位</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3,568,710.64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2,048,221.73</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合并范围内关联方及保证金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8,617,941.36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7,055,061.10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16,982,582.23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14,806,010.55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1"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西华大学</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631,208.00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3.72%</w:t>
            </w:r>
            <w:r>
              <w:rPr>
                <w:rFonts w:ascii="Times New Roman"/>
                <w:sz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义马职业中等专业技 术学校</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370,750.00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2.18%</w:t>
            </w:r>
            <w:r>
              <w:rPr>
                <w:rFonts w:ascii="Times New Roman"/>
                <w:sz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云南中医学院</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359,857.80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2.12%</w:t>
            </w:r>
            <w:r>
              <w:rPr>
                <w:rFonts w:ascii="Times New Roman"/>
                <w:sz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盐城市公共交通总公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298,100.00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1.76%</w:t>
            </w:r>
            <w:r>
              <w:rPr>
                <w:rFonts w:ascii="Times New Roman"/>
                <w:sz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深圳市振东招标代理 有限公司青海分公司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255,800.00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1.51%</w:t>
            </w:r>
            <w:r>
              <w:rPr>
                <w:rFonts w:ascii="Times New Roman"/>
                <w:sz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1,915,715.80</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11.29%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534,300,000.00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534,300,000.00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15,300,000.00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15,300,000.00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19,617,111.05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19,617,111.05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553,917,111.05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553,917,111.05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15,300,000.00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15,300,000.00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7"/>
        <w:gridCol w:w="1336"/>
        <w:gridCol w:w="1336"/>
        <w:gridCol w:w="1334"/>
        <w:gridCol w:w="1336"/>
        <w:gridCol w:w="1388"/>
        <w:gridCol w:w="1390"/>
      </w:tblGrid>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福建新开普信息 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15,300,000.00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北京迪科远望科 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上海树维信息科 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47"/>
        <w:gridCol w:w="1336"/>
        <w:gridCol w:w="1336"/>
        <w:gridCol w:w="1334"/>
        <w:gridCol w:w="1336"/>
        <w:gridCol w:w="1388"/>
        <w:gridCol w:w="1390"/>
      </w:tblGrid>
      <w:tr>
        <w:trPr>
          <w:trHeight w:val="402"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15,300,000.00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519,000,000.00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534,300,000.00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成都兰途 网络科技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8,750,000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216,911.8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8,966,911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北京乐智 科技有限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嘉兴丹诚</w:t>
            </w:r>
          </w:p>
        </w:tc>
        <w:tc>
          <w:tcPr>
            <w:tcW w:w="798"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93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both"/>
              <w:rPr>
                <w:rFonts w:ascii="宋体" w:hAnsi="宋体" w:cs="宋体" w:eastAsia="宋体" w:hint="default"/>
                <w:sz w:val="18"/>
                <w:szCs w:val="18"/>
              </w:rPr>
            </w:pPr>
            <w:r>
              <w:rPr>
                <w:rFonts w:ascii="宋体" w:hAnsi="宋体" w:cs="宋体" w:eastAsia="宋体" w:hint="default"/>
                <w:sz w:val="18"/>
                <w:szCs w:val="18"/>
              </w:rPr>
              <w:t>开普股权 投资合伙 企业（有</w:t>
            </w:r>
          </w:p>
        </w:tc>
        <w:tc>
          <w:tcPr>
            <w:tcW w:w="79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6,750,000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70" w:right="0"/>
              <w:jc w:val="left"/>
              <w:rPr>
                <w:rFonts w:ascii="Times New Roman" w:hAnsi="Times New Roman" w:cs="Times New Roman" w:eastAsia="Times New Roman" w:hint="default"/>
                <w:sz w:val="18"/>
                <w:szCs w:val="18"/>
              </w:rPr>
            </w:pPr>
            <w:r>
              <w:rPr>
                <w:rFonts w:ascii="Times New Roman"/>
                <w:sz w:val="18"/>
              </w:rPr>
              <w:t>199.23</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6,750,199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.23</w:t>
            </w:r>
          </w:p>
        </w:tc>
        <w:tc>
          <w:tcPr>
            <w:tcW w:w="798" w:type="dxa"/>
            <w:vMerge/>
            <w:tcBorders>
              <w:left w:val="single" w:sz="4" w:space="0" w:color="000000"/>
              <w:right w:val="single" w:sz="4" w:space="0" w:color="000000"/>
            </w:tcBorders>
          </w:tcPr>
          <w:p>
            <w:pPr/>
          </w:p>
        </w:tc>
      </w:tr>
      <w:tr>
        <w:trPr>
          <w:trHeight w:val="357"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限合伙）</w:t>
            </w:r>
          </w:p>
        </w:tc>
        <w:tc>
          <w:tcPr>
            <w:tcW w:w="798"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19,400,00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217,111.0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19,617,11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1.05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19,400,00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217,111.0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19,617,11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1.05</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line="585" w:lineRule="auto" w:before="35"/>
        <w:ind w:left="154" w:right="116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b/>
          <w:bCs/>
          <w:w w:val="99"/>
          <w:sz w:val="21"/>
          <w:szCs w:val="21"/>
        </w:rPr>
        <w:t> </w:t>
      </w:r>
      <w:r>
        <w:rPr>
          <w:rFonts w:ascii="宋体" w:hAnsi="宋体" w:cs="宋体" w:eastAsia="宋体" w:hint="default"/>
          <w:sz w:val="21"/>
          <w:szCs w:val="21"/>
        </w:rPr>
        <w:t>按丹诚开普的合伙协议约定，对合伙企业的任何事项做出决议时，需经全体合伙人一致同意。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before="1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1"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391,379,985.01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186,969,965.42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304,451,386.12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146,642,148.36</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4,245,139.94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970,464.88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395,625,124.95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187,940,430.30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304,851,386.12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5" w:right="0"/>
              <w:jc w:val="left"/>
              <w:rPr>
                <w:rFonts w:ascii="Times New Roman" w:hAnsi="Times New Roman" w:cs="Times New Roman" w:eastAsia="Times New Roman" w:hint="default"/>
                <w:sz w:val="18"/>
                <w:szCs w:val="18"/>
              </w:rPr>
            </w:pPr>
            <w:r>
              <w:rPr>
                <w:rFonts w:ascii="Times New Roman"/>
                <w:sz w:val="18"/>
              </w:rPr>
              <w:t>146,642,148.36</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217,111.05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3,883,275.99</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217,111.05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3,883,275.99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r>
        <w:rPr/>
        <w:t>十八、补充资料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-39,662.57</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固定资产处置损失</w:t>
            </w: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1,884,156.54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除增值税软件退税外的政府补助</w:t>
            </w: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305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-808,531.04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w:t>
            </w:r>
            <w:r>
              <w:rPr>
                <w:rFonts w:ascii="Times New Roman" w:hAnsi="Times New Roman" w:cs="Times New Roman" w:eastAsia="Times New Roman" w:hint="default"/>
                <w:sz w:val="18"/>
                <w:szCs w:val="18"/>
              </w:rPr>
              <w:t>“</w:t>
            </w:r>
            <w:r>
              <w:rPr>
                <w:rFonts w:ascii="宋体" w:hAnsi="宋体" w:cs="宋体" w:eastAsia="宋体" w:hint="default"/>
                <w:sz w:val="18"/>
                <w:szCs w:val="18"/>
              </w:rPr>
              <w:t>预计负债</w:t>
            </w:r>
            <w:r>
              <w:rPr>
                <w:rFonts w:ascii="Times New Roman" w:hAnsi="Times New Roman" w:cs="Times New Roman" w:eastAsia="Times New Roman" w:hint="default"/>
                <w:sz w:val="18"/>
                <w:szCs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-990,404.09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-23,226.16</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-110,249.90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179,034.90</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7"/>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r>
        <w:rPr>
          <w:rFonts w:ascii="宋体" w:hAnsi="宋体" w:cs="宋体" w:eastAsia="宋体" w:hint="default"/>
          <w:sz w:val="18"/>
          <w:szCs w:val="18"/>
        </w:rPr>
      </w:r>
    </w:p>
    <w:p>
      <w:pPr>
        <w:spacing w:line="302" w:lineRule="auto" w:before="61"/>
        <w:ind w:left="154" w:right="137"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7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0"/>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3D3D3"/>
          </w:tcPr>
          <w:p>
            <w:pPr/>
          </w:p>
        </w:tc>
        <w:tc>
          <w:tcPr>
            <w:tcW w:w="3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38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6" w:hRule="exact"/>
        </w:trPr>
        <w:tc>
          <w:tcPr>
            <w:tcW w:w="26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7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662" w:type="dxa"/>
            <w:vMerge/>
            <w:tcBorders>
              <w:left w:val="single" w:sz="4" w:space="0" w:color="000000"/>
              <w:bottom w:val="nil" w:sz="6" w:space="0" w:color="auto"/>
              <w:right w:val="single" w:sz="4" w:space="0" w:color="000000"/>
            </w:tcBorders>
            <w:shd w:val="clear" w:color="auto" w:fill="D3D3D3"/>
          </w:tcPr>
          <w:p>
            <w:pPr/>
          </w:p>
        </w:tc>
        <w:tc>
          <w:tcPr>
            <w:tcW w:w="3080" w:type="dxa"/>
            <w:vMerge/>
            <w:tcBorders>
              <w:left w:val="single" w:sz="4" w:space="0" w:color="000000"/>
              <w:bottom w:val="nil" w:sz="6" w:space="0" w:color="auto"/>
              <w:right w:val="single" w:sz="4" w:space="0" w:color="000000"/>
            </w:tcBorders>
            <w:shd w:val="clear" w:color="auto" w:fill="D3D3D3"/>
          </w:tcPr>
          <w:p>
            <w:pP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3D3D3"/>
          </w:tcPr>
          <w:p>
            <w:pPr/>
          </w:p>
        </w:tc>
        <w:tc>
          <w:tcPr>
            <w:tcW w:w="3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9.86%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9.84%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b/>
          <w:bCs/>
          <w:sz w:val="20"/>
          <w:szCs w:val="20"/>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59" w:lineRule="auto"/>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877" w:footer="982" w:top="1100" w:bottom="1180" w:left="980" w:right="98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1"/>
        <w:spacing w:line="240" w:lineRule="auto"/>
        <w:ind w:left="3286" w:right="0"/>
        <w:jc w:val="left"/>
        <w:rPr>
          <w:b w:val="0"/>
          <w:bCs w:val="0"/>
        </w:rPr>
      </w:pPr>
      <w:bookmarkStart w:name="_TOC_250000" w:id="11"/>
      <w:r>
        <w:rPr/>
        <w:t>第十一节</w:t>
      </w:r>
      <w:r>
        <w:rPr>
          <w:spacing w:val="-9"/>
        </w:rPr>
        <w:t> </w:t>
      </w:r>
      <w:r>
        <w:rPr/>
        <w:t>备查文件目录</w:t>
      </w:r>
      <w:bookmarkEnd w:id="11"/>
      <w:r>
        <w:rPr>
          <w:b w:val="0"/>
          <w:bCs w:val="0"/>
        </w:rPr>
      </w:r>
    </w:p>
    <w:p>
      <w:pPr>
        <w:spacing w:line="240" w:lineRule="auto" w:before="7"/>
        <w:rPr>
          <w:rFonts w:ascii="宋体" w:hAnsi="宋体" w:cs="宋体" w:eastAsia="宋体" w:hint="default"/>
          <w:b/>
          <w:bCs/>
          <w:sz w:val="46"/>
          <w:szCs w:val="46"/>
        </w:rPr>
      </w:pPr>
    </w:p>
    <w:p>
      <w:pPr>
        <w:pStyle w:val="BodyText"/>
        <w:spacing w:line="408" w:lineRule="auto" w:before="0"/>
        <w:ind w:left="153" w:right="1581"/>
        <w:jc w:val="left"/>
      </w:pPr>
      <w:r>
        <w:rPr/>
        <w:t>一、载有公司法定代表人、主管会计工作负责人、会计主管人员签名并盖章的财务报表。 二、载有会计师事务所盖章、注册会计师签名并盖章的审计报告原件。 三、报告期内在中国证监会指定网站上公开披露过的所有公司文件的正本及公告的原稿。 四、经公司法定代表人签名的</w:t>
      </w:r>
      <w:r>
        <w:rPr>
          <w:rFonts w:ascii="Times New Roman" w:hAnsi="Times New Roman" w:cs="Times New Roman" w:eastAsia="Times New Roman" w:hint="default"/>
        </w:rPr>
        <w:t>2015</w:t>
      </w:r>
      <w:r>
        <w:rPr/>
        <w:t>年度报告原文件。</w:t>
      </w:r>
    </w:p>
    <w:p>
      <w:pPr>
        <w:pStyle w:val="BodyText"/>
        <w:spacing w:line="408" w:lineRule="auto" w:before="14"/>
        <w:ind w:left="153" w:right="5571"/>
        <w:jc w:val="left"/>
      </w:pPr>
      <w:r>
        <w:rPr/>
        <w:t>五、其他相关资料。 以上备查文件的备置地点：公司证券事务部。</w:t>
      </w:r>
    </w:p>
    <w:sectPr>
      <w:pgSz w:w="11910" w:h="16840"/>
      <w:pgMar w:header="877" w:footer="982" w:top="110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873pt;margin-top:795.457642pt;width:6.5pt;height:11pt;mso-position-horizontal-relative:page;mso-position-vertical-relative:page;z-index:-11691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1688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49</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1687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1687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1687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53</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1687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56</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0522pt;margin-top:535.297913pt;width:13pt;height:11pt;mso-position-horizontal-relative:page;mso-position-vertical-relative:page;z-index:-11686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168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85</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1685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780029pt;margin-top:781.897522pt;width:16.45pt;height:11pt;mso-position-horizontal-relative:page;mso-position-vertical-relative:page;z-index:-11685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111</w:t>
                </w:r>
                <w:r>
                  <w:rPr/>
                  <w:fldChar w:fldCharType="end"/>
                </w:r>
                <w:r>
                  <w:rPr>
                    <w:rFonts w:ascii="Times New Roman"/>
                    <w:spacing w:val="-8"/>
                    <w:sz w:val="18"/>
                  </w:rPr>
                </w:r>
                <w:r>
                  <w:rPr>
                    <w:rFonts w:ascii="Times New Roman"/>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79980pt;margin-top:781.897522pt;width:17.150pt;height:11pt;mso-position-horizontal-relative:page;mso-position-vertical-relative:page;z-index:-11685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1690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1685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168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158</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1684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159</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168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169</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1690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0522pt;margin-top:535.297913pt;width:13pt;height:11pt;mso-position-horizontal-relative:page;mso-position-vertical-relative:page;z-index:-11690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26</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1689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1689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1688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44</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1688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45</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1688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48</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53.179993pt;margin-top:36.325325pt;width:186.45pt;height:11.5pt;mso-position-horizontal-relative:page;mso-position-vertical-relative:page;z-index:-11691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新开普电子股份有限公司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7052pt;margin-top:42.865623pt;width:186.45pt;height:11.5pt;mso-position-horizontal-relative:page;mso-position-vertical-relative:page;z-index:-11690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新开普电子股份有限公司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168984"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53.179993pt;margin-top:42.865326pt;width:186.45pt;height:11.5pt;mso-position-horizontal-relative:page;mso-position-vertical-relative:page;z-index:-11689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新开普电子股份有限公司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7052pt;margin-top:42.865623pt;width:186.45pt;height:11.5pt;mso-position-horizontal-relative:page;mso-position-vertical-relative:page;z-index:-11686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新开普电子股份有限公司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168648"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53.179993pt;margin-top:42.865326pt;width:186.45pt;height:11.5pt;mso-position-horizontal-relative:page;mso-position-vertical-relative:page;z-index:-11686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新开普电子股份有限公司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spacing w:before="46"/>
      <w:ind w:left="154"/>
    </w:pPr>
    <w:rPr>
      <w:rFonts w:ascii="宋体" w:hAnsi="宋体" w:eastAsia="宋体"/>
      <w:sz w:val="21"/>
      <w:szCs w:val="21"/>
    </w:rPr>
  </w:style>
  <w:style w:styleId="Heading1" w:type="paragraph">
    <w:name w:val="Heading 1"/>
    <w:basedOn w:val="Normal"/>
    <w:uiPriority w:val="1"/>
    <w:qFormat/>
    <w:pPr>
      <w:spacing w:before="1"/>
      <w:ind w:left="2081"/>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spacing w:before="26"/>
      <w:ind w:left="153"/>
      <w:outlineLvl w:val="3"/>
    </w:pPr>
    <w:rPr>
      <w:rFonts w:ascii="宋体" w:hAnsi="宋体" w:eastAsia="宋体"/>
      <w:sz w:val="24"/>
      <w:szCs w:val="24"/>
    </w:rPr>
  </w:style>
  <w:style w:styleId="Heading4" w:type="paragraph">
    <w:name w:val="Heading 4"/>
    <w:basedOn w:val="Normal"/>
    <w:uiPriority w:val="1"/>
    <w:qFormat/>
    <w:pPr>
      <w:ind w:left="154"/>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newcapec.com.cn/" TargetMode="External"/><Relationship Id="rId10" Type="http://schemas.openxmlformats.org/officeDocument/2006/relationships/hyperlink" Target="mailto:zqswb@newcapec.net" TargetMode="External"/><Relationship Id="rId11" Type="http://schemas.openxmlformats.org/officeDocument/2006/relationships/hyperlink" Target="mailto:huamengyang@newcapec.net" TargetMode="External"/><Relationship Id="rId12" Type="http://schemas.openxmlformats.org/officeDocument/2006/relationships/hyperlink" Target="mailto:zhaoxin@newcapec.net" TargetMode="External"/><Relationship Id="rId13" Type="http://schemas.openxmlformats.org/officeDocument/2006/relationships/image" Target="media/image2.jpeg"/><Relationship Id="rId14" Type="http://schemas.openxmlformats.org/officeDocument/2006/relationships/footer" Target="footer3.xml"/><Relationship Id="rId15" Type="http://schemas.openxmlformats.org/officeDocument/2006/relationships/header" Target="header2.xml"/><Relationship Id="rId16" Type="http://schemas.openxmlformats.org/officeDocument/2006/relationships/footer" Target="footer4.xml"/><Relationship Id="rId17" Type="http://schemas.openxmlformats.org/officeDocument/2006/relationships/header" Target="header3.xml"/><Relationship Id="rId18" Type="http://schemas.openxmlformats.org/officeDocument/2006/relationships/footer" Target="footer5.xml"/><Relationship Id="rId19" Type="http://schemas.openxmlformats.org/officeDocument/2006/relationships/image" Target="media/image3.jpeg"/><Relationship Id="rId20" Type="http://schemas.openxmlformats.org/officeDocument/2006/relationships/image" Target="media/image4.png"/><Relationship Id="rId21" Type="http://schemas.openxmlformats.org/officeDocument/2006/relationships/footer" Target="footer6.xm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footer" Target="footer12.xml"/><Relationship Id="rId30" Type="http://schemas.openxmlformats.org/officeDocument/2006/relationships/footer" Target="footer13.xml"/><Relationship Id="rId31" Type="http://schemas.openxmlformats.org/officeDocument/2006/relationships/hyperlink" Target="http://www.cninfo.com.cn/" TargetMode="External"/><Relationship Id="rId32" Type="http://schemas.openxmlformats.org/officeDocument/2006/relationships/footer" Target="footer14.xml"/><Relationship Id="rId33" Type="http://schemas.openxmlformats.org/officeDocument/2006/relationships/header" Target="header4.xml"/><Relationship Id="rId34" Type="http://schemas.openxmlformats.org/officeDocument/2006/relationships/footer" Target="footer15.xml"/><Relationship Id="rId35" Type="http://schemas.openxmlformats.org/officeDocument/2006/relationships/header" Target="header5.xml"/><Relationship Id="rId36" Type="http://schemas.openxmlformats.org/officeDocument/2006/relationships/footer" Target="footer16.xml"/><Relationship Id="rId37" Type="http://schemas.openxmlformats.org/officeDocument/2006/relationships/hyperlink" Target="http://www.cninfo.co/" TargetMode="External"/><Relationship Id="rId38" Type="http://schemas.openxmlformats.org/officeDocument/2006/relationships/footer" Target="footer17.xml"/><Relationship Id="rId39" Type="http://schemas.openxmlformats.org/officeDocument/2006/relationships/image" Target="media/image7.jpeg"/><Relationship Id="rId40" Type="http://schemas.openxmlformats.org/officeDocument/2006/relationships/footer" Target="footer18.xml"/><Relationship Id="rId41" Type="http://schemas.openxmlformats.org/officeDocument/2006/relationships/footer" Target="footer19.xml"/><Relationship Id="rId42" Type="http://schemas.openxmlformats.org/officeDocument/2006/relationships/footer" Target="footer20.xml"/><Relationship Id="rId43" Type="http://schemas.openxmlformats.org/officeDocument/2006/relationships/image" Target="media/image8.png"/><Relationship Id="rId44" Type="http://schemas.openxmlformats.org/officeDocument/2006/relationships/image" Target="media/image9.png"/><Relationship Id="rId45" Type="http://schemas.openxmlformats.org/officeDocument/2006/relationships/image" Target="media/image10.png"/><Relationship Id="rId46" Type="http://schemas.openxmlformats.org/officeDocument/2006/relationships/image" Target="media/image11.png"/><Relationship Id="rId47" Type="http://schemas.openxmlformats.org/officeDocument/2006/relationships/image" Target="media/image12.png"/><Relationship Id="rId48" Type="http://schemas.openxmlformats.org/officeDocument/2006/relationships/image" Target="media/image13.png"/><Relationship Id="rId49" Type="http://schemas.openxmlformats.org/officeDocument/2006/relationships/image" Target="media/image14.png"/><Relationship Id="rId50" Type="http://schemas.openxmlformats.org/officeDocument/2006/relationships/image" Target="media/image15.png"/><Relationship Id="rId51" Type="http://schemas.openxmlformats.org/officeDocument/2006/relationships/image" Target="media/image16.png"/><Relationship Id="rId52" Type="http://schemas.openxmlformats.org/officeDocument/2006/relationships/image" Target="media/image17.png"/><Relationship Id="rId53" Type="http://schemas.openxmlformats.org/officeDocument/2006/relationships/image" Target="media/image18.png"/><Relationship Id="rId54" Type="http://schemas.openxmlformats.org/officeDocument/2006/relationships/image" Target="media/image19.png"/><Relationship Id="rId55" Type="http://schemas.openxmlformats.org/officeDocument/2006/relationships/image" Target="media/image20.png"/><Relationship Id="rId56" Type="http://schemas.openxmlformats.org/officeDocument/2006/relationships/image" Target="media/image21.png"/><Relationship Id="rId57" Type="http://schemas.openxmlformats.org/officeDocument/2006/relationships/image" Target="media/image22.png"/><Relationship Id="rId58" Type="http://schemas.openxmlformats.org/officeDocument/2006/relationships/image" Target="media/image23.png"/><Relationship Id="rId59" Type="http://schemas.openxmlformats.org/officeDocument/2006/relationships/image" Target="media/image24.png"/><Relationship Id="rId60" Type="http://schemas.openxmlformats.org/officeDocument/2006/relationships/image" Target="media/image25.png"/><Relationship Id="rId61" Type="http://schemas.openxmlformats.org/officeDocument/2006/relationships/image" Target="media/image26.png"/><Relationship Id="rId62" Type="http://schemas.openxmlformats.org/officeDocument/2006/relationships/image" Target="media/image27.png"/><Relationship Id="rId63" Type="http://schemas.openxmlformats.org/officeDocument/2006/relationships/image" Target="media/image28.png"/><Relationship Id="rId64" Type="http://schemas.openxmlformats.org/officeDocument/2006/relationships/footer" Target="footer21.xml"/><Relationship Id="rId65" Type="http://schemas.openxmlformats.org/officeDocument/2006/relationships/footer" Target="footer22.xml"/><Relationship Id="rId66" Type="http://schemas.openxmlformats.org/officeDocument/2006/relationships/footer" Target="foot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&lt;BAABD1A9&gt;</dc:creator>
  <dc:title>&lt;4D6963726F736F667420576F7264202D20D0C2BFAAC6D5A3BA32303135C4EAC4EAB6C8B1A8B8E6C8ABCEC42E646F63&gt;</dc:title>
  <dcterms:created xsi:type="dcterms:W3CDTF">2020-05-04T16:24:15Z</dcterms:created>
  <dcterms:modified xsi:type="dcterms:W3CDTF">2020-05-04T16:24:15Z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2016-04-22T00:00:00Z</vt:filetime>
  </property>
  <property fmtid="{D5CDD505-2E9C-101B-9397-08002B2CF9AE}" pid="3" name="Creator">
    <vt:lpwstr>PScript5.dll Version 5.2.2</vt:lpwstr>
  </property>
  <property fmtid="{D5CDD505-2E9C-101B-9397-08002B2CF9AE}" pid="4" name="LastSaved">
    <vt:filetime>2020-05-04T00:00:00Z</vt:filetime>
  </property>
</Properties>
</file>