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Default Extension="png" ContentType="image/png"/>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spacing w:line="620" w:lineRule="exact" w:before="0"/>
        <w:ind w:left="451" w:right="451" w:firstLine="0"/>
        <w:jc w:val="center"/>
        <w:rPr>
          <w:rFonts w:ascii="楷体" w:hAnsi="楷体" w:cs="楷体" w:eastAsia="楷体" w:hint="default"/>
          <w:sz w:val="52"/>
          <w:szCs w:val="52"/>
        </w:rPr>
      </w:pPr>
      <w:r>
        <w:rPr>
          <w:rFonts w:ascii="楷体" w:hAnsi="楷体" w:cs="楷体" w:eastAsia="楷体" w:hint="default"/>
          <w:b/>
          <w:bCs/>
          <w:sz w:val="52"/>
          <w:szCs w:val="52"/>
        </w:rPr>
        <w:t>新开普电子股份有限公司</w:t>
      </w:r>
      <w:r>
        <w:rPr>
          <w:rFonts w:ascii="楷体" w:hAnsi="楷体" w:cs="楷体" w:eastAsia="楷体" w:hint="default"/>
          <w:sz w:val="52"/>
          <w:szCs w:val="52"/>
        </w:rPr>
      </w:r>
    </w:p>
    <w:p>
      <w:pPr>
        <w:spacing w:line="240" w:lineRule="auto" w:before="6"/>
        <w:rPr>
          <w:rFonts w:ascii="楷体" w:hAnsi="楷体" w:cs="楷体" w:eastAsia="楷体" w:hint="default"/>
          <w:b/>
          <w:bCs/>
          <w:sz w:val="36"/>
          <w:szCs w:val="36"/>
        </w:rPr>
      </w:pPr>
    </w:p>
    <w:p>
      <w:pPr>
        <w:spacing w:before="0"/>
        <w:ind w:left="451" w:right="451" w:firstLine="0"/>
        <w:jc w:val="center"/>
        <w:rPr>
          <w:rFonts w:ascii="Times New Roman" w:hAnsi="Times New Roman" w:cs="Times New Roman" w:eastAsia="Times New Roman" w:hint="default"/>
          <w:sz w:val="30"/>
          <w:szCs w:val="30"/>
        </w:rPr>
      </w:pPr>
      <w:r>
        <w:rPr>
          <w:rFonts w:ascii="Times New Roman"/>
          <w:sz w:val="30"/>
        </w:rPr>
        <w:t>Newcapec Electronics Co.,</w:t>
      </w:r>
      <w:r>
        <w:rPr>
          <w:rFonts w:ascii="Times New Roman"/>
          <w:spacing w:val="-27"/>
          <w:sz w:val="30"/>
        </w:rPr>
        <w:t> </w:t>
      </w:r>
      <w:r>
        <w:rPr>
          <w:rFonts w:ascii="Times New Roman"/>
          <w:sz w:val="30"/>
        </w:rPr>
        <w:t>Ltd.</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spacing w:line="1874" w:lineRule="exact"/>
        <w:ind w:left="36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737970" cy="119014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737970" cy="1190148"/>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4"/>
        <w:rPr>
          <w:rFonts w:ascii="Times New Roman" w:hAnsi="Times New Roman" w:cs="Times New Roman" w:eastAsia="Times New Roman" w:hint="default"/>
          <w:sz w:val="28"/>
          <w:szCs w:val="28"/>
        </w:rPr>
      </w:pPr>
    </w:p>
    <w:p>
      <w:pPr>
        <w:spacing w:before="0"/>
        <w:ind w:left="451" w:right="451" w:firstLine="0"/>
        <w:jc w:val="center"/>
        <w:rPr>
          <w:rFonts w:ascii="黑体" w:hAnsi="黑体" w:cs="黑体" w:eastAsia="黑体" w:hint="default"/>
          <w:sz w:val="36"/>
          <w:szCs w:val="36"/>
        </w:rPr>
      </w:pPr>
      <w:r>
        <w:rPr>
          <w:rFonts w:ascii="黑体" w:hAnsi="黑体" w:cs="黑体" w:eastAsia="黑体" w:hint="default"/>
          <w:b/>
          <w:bCs/>
          <w:sz w:val="36"/>
          <w:szCs w:val="36"/>
        </w:rPr>
        <w:t>有开放，有生态；有连接，有未来</w:t>
      </w:r>
      <w:r>
        <w:rPr>
          <w:rFonts w:ascii="黑体" w:hAnsi="黑体" w:cs="黑体" w:eastAsia="黑体" w:hint="default"/>
          <w:sz w:val="36"/>
          <w:szCs w:val="36"/>
        </w:rPr>
      </w:r>
    </w:p>
    <w:p>
      <w:pPr>
        <w:spacing w:line="240" w:lineRule="auto" w:before="0"/>
        <w:rPr>
          <w:rFonts w:ascii="黑体" w:hAnsi="黑体" w:cs="黑体" w:eastAsia="黑体" w:hint="default"/>
          <w:b/>
          <w:bCs/>
          <w:sz w:val="36"/>
          <w:szCs w:val="36"/>
        </w:rPr>
      </w:pPr>
    </w:p>
    <w:p>
      <w:pPr>
        <w:spacing w:line="240" w:lineRule="auto" w:before="2"/>
        <w:rPr>
          <w:rFonts w:ascii="黑体" w:hAnsi="黑体" w:cs="黑体" w:eastAsia="黑体" w:hint="default"/>
          <w:b/>
          <w:bCs/>
          <w:sz w:val="38"/>
          <w:szCs w:val="38"/>
        </w:rPr>
      </w:pPr>
    </w:p>
    <w:p>
      <w:pPr>
        <w:spacing w:before="0"/>
        <w:ind w:left="451" w:right="451" w:firstLine="0"/>
        <w:jc w:val="center"/>
        <w:rPr>
          <w:rFonts w:ascii="楷体" w:hAnsi="楷体" w:cs="楷体" w:eastAsia="楷体" w:hint="default"/>
          <w:sz w:val="52"/>
          <w:szCs w:val="52"/>
        </w:rPr>
      </w:pPr>
      <w:r>
        <w:rPr>
          <w:rFonts w:ascii="楷体" w:hAnsi="楷体" w:cs="楷体" w:eastAsia="楷体" w:hint="default"/>
          <w:b/>
          <w:bCs/>
          <w:sz w:val="52"/>
          <w:szCs w:val="52"/>
        </w:rPr>
        <w:t>2017</w:t>
      </w:r>
      <w:r>
        <w:rPr>
          <w:rFonts w:ascii="楷体" w:hAnsi="楷体" w:cs="楷体" w:eastAsia="楷体" w:hint="default"/>
          <w:b/>
          <w:bCs/>
          <w:spacing w:val="-135"/>
          <w:sz w:val="52"/>
          <w:szCs w:val="52"/>
        </w:rPr>
        <w:t> </w:t>
      </w:r>
      <w:r>
        <w:rPr>
          <w:rFonts w:ascii="楷体" w:hAnsi="楷体" w:cs="楷体" w:eastAsia="楷体" w:hint="default"/>
          <w:b/>
          <w:bCs/>
          <w:sz w:val="52"/>
          <w:szCs w:val="52"/>
        </w:rPr>
        <w:t>年年度报告</w:t>
      </w:r>
      <w:r>
        <w:rPr>
          <w:rFonts w:ascii="楷体" w:hAnsi="楷体" w:cs="楷体" w:eastAsia="楷体" w:hint="default"/>
          <w:sz w:val="52"/>
          <w:szCs w:val="52"/>
        </w:rPr>
      </w:r>
    </w:p>
    <w:p>
      <w:pPr>
        <w:spacing w:line="240" w:lineRule="auto" w:before="2"/>
        <w:rPr>
          <w:rFonts w:ascii="楷体" w:hAnsi="楷体" w:cs="楷体" w:eastAsia="楷体" w:hint="default"/>
          <w:b/>
          <w:bCs/>
          <w:sz w:val="61"/>
          <w:szCs w:val="61"/>
        </w:rPr>
      </w:pPr>
    </w:p>
    <w:p>
      <w:pPr>
        <w:spacing w:line="376" w:lineRule="auto" w:before="0"/>
        <w:ind w:left="2892" w:right="2889" w:hanging="1"/>
        <w:jc w:val="center"/>
        <w:rPr>
          <w:rFonts w:ascii="楷体" w:hAnsi="楷体" w:cs="楷体" w:eastAsia="楷体" w:hint="default"/>
          <w:sz w:val="36"/>
          <w:szCs w:val="36"/>
        </w:rPr>
      </w:pPr>
      <w:r>
        <w:rPr>
          <w:rFonts w:ascii="楷体" w:hAnsi="楷体" w:cs="楷体" w:eastAsia="楷体" w:hint="default"/>
          <w:b/>
          <w:bCs/>
          <w:sz w:val="36"/>
          <w:szCs w:val="36"/>
        </w:rPr>
        <w:t>股票代码：300248</w:t>
      </w:r>
      <w:r>
        <w:rPr>
          <w:rFonts w:ascii="楷体" w:hAnsi="楷体" w:cs="楷体" w:eastAsia="楷体" w:hint="default"/>
          <w:b/>
          <w:bCs/>
          <w:spacing w:val="1"/>
          <w:w w:val="99"/>
          <w:sz w:val="36"/>
          <w:szCs w:val="36"/>
        </w:rPr>
        <w:t> </w:t>
      </w:r>
      <w:r>
        <w:rPr>
          <w:rFonts w:ascii="楷体" w:hAnsi="楷体" w:cs="楷体" w:eastAsia="楷体" w:hint="default"/>
          <w:b/>
          <w:bCs/>
          <w:sz w:val="36"/>
          <w:szCs w:val="36"/>
        </w:rPr>
        <w:t>股票简称：新开普</w:t>
      </w:r>
      <w:r>
        <w:rPr>
          <w:rFonts w:ascii="楷体" w:hAnsi="楷体" w:cs="楷体" w:eastAsia="楷体" w:hint="default"/>
          <w:sz w:val="36"/>
          <w:szCs w:val="36"/>
        </w:rPr>
      </w:r>
    </w:p>
    <w:p>
      <w:pPr>
        <w:spacing w:line="240" w:lineRule="auto" w:before="0"/>
        <w:rPr>
          <w:rFonts w:ascii="楷体" w:hAnsi="楷体" w:cs="楷体" w:eastAsia="楷体" w:hint="default"/>
          <w:b/>
          <w:bCs/>
          <w:sz w:val="36"/>
          <w:szCs w:val="36"/>
        </w:rPr>
      </w:pPr>
    </w:p>
    <w:p>
      <w:pPr>
        <w:spacing w:line="240" w:lineRule="auto" w:before="5"/>
        <w:rPr>
          <w:rFonts w:ascii="楷体" w:hAnsi="楷体" w:cs="楷体" w:eastAsia="楷体" w:hint="default"/>
          <w:b/>
          <w:bCs/>
          <w:sz w:val="25"/>
          <w:szCs w:val="25"/>
        </w:rPr>
      </w:pPr>
    </w:p>
    <w:p>
      <w:pPr>
        <w:spacing w:before="0"/>
        <w:ind w:left="451" w:right="451" w:firstLine="0"/>
        <w:jc w:val="center"/>
        <w:rPr>
          <w:rFonts w:ascii="楷体" w:hAnsi="楷体" w:cs="楷体" w:eastAsia="楷体" w:hint="default"/>
          <w:sz w:val="36"/>
          <w:szCs w:val="36"/>
        </w:rPr>
      </w:pPr>
      <w:r>
        <w:rPr>
          <w:rFonts w:ascii="楷体" w:hAnsi="楷体" w:cs="楷体" w:eastAsia="楷体" w:hint="default"/>
          <w:b/>
          <w:bCs/>
          <w:sz w:val="36"/>
          <w:szCs w:val="36"/>
        </w:rPr>
        <w:t>披露日期：2018年3月17日</w:t>
      </w:r>
      <w:r>
        <w:rPr>
          <w:rFonts w:ascii="楷体" w:hAnsi="楷体" w:cs="楷体" w:eastAsia="楷体" w:hint="default"/>
          <w:sz w:val="36"/>
          <w:szCs w:val="36"/>
        </w:rPr>
      </w:r>
    </w:p>
    <w:p>
      <w:pPr>
        <w:spacing w:after="0"/>
        <w:jc w:val="center"/>
        <w:rPr>
          <w:rFonts w:ascii="楷体" w:hAnsi="楷体" w:cs="楷体" w:eastAsia="楷体" w:hint="default"/>
          <w:sz w:val="36"/>
          <w:szCs w:val="36"/>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楷体" w:hAnsi="楷体" w:cs="楷体" w:eastAsia="楷体" w:hint="default"/>
          <w:b/>
          <w:bCs/>
          <w:sz w:val="2"/>
          <w:szCs w:val="2"/>
        </w:rPr>
      </w:pPr>
    </w:p>
    <w:p>
      <w:pPr>
        <w:spacing w:line="20" w:lineRule="exact"/>
        <w:ind w:left="116" w:right="0" w:firstLine="0"/>
        <w:rPr>
          <w:rFonts w:ascii="楷体" w:hAnsi="楷体" w:cs="楷体" w:eastAsia="楷体" w:hint="default"/>
          <w:sz w:val="2"/>
          <w:szCs w:val="2"/>
        </w:rPr>
      </w:pPr>
      <w:r>
        <w:rPr>
          <w:rFonts w:ascii="楷体" w:hAnsi="楷体" w:cs="楷体" w:eastAsia="楷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楷体" w:hAnsi="楷体" w:cs="楷体" w:eastAsia="楷体" w:hint="default"/>
          <w:sz w:val="2"/>
          <w:szCs w:val="2"/>
        </w:rPr>
      </w:r>
    </w:p>
    <w:p>
      <w:pPr>
        <w:spacing w:line="240" w:lineRule="auto" w:before="0"/>
        <w:rPr>
          <w:rFonts w:ascii="楷体" w:hAnsi="楷体" w:cs="楷体" w:eastAsia="楷体" w:hint="default"/>
          <w:b/>
          <w:bCs/>
          <w:sz w:val="20"/>
          <w:szCs w:val="20"/>
        </w:rPr>
      </w:pPr>
    </w:p>
    <w:p>
      <w:pPr>
        <w:spacing w:line="240" w:lineRule="auto" w:before="0"/>
        <w:rPr>
          <w:rFonts w:ascii="楷体" w:hAnsi="楷体" w:cs="楷体" w:eastAsia="楷体" w:hint="default"/>
          <w:b/>
          <w:bCs/>
          <w:sz w:val="20"/>
          <w:szCs w:val="20"/>
        </w:rPr>
      </w:pPr>
    </w:p>
    <w:p>
      <w:pPr>
        <w:spacing w:line="240" w:lineRule="auto" w:before="11"/>
        <w:rPr>
          <w:rFonts w:ascii="楷体" w:hAnsi="楷体" w:cs="楷体" w:eastAsia="楷体" w:hint="default"/>
          <w:b/>
          <w:bCs/>
          <w:sz w:val="18"/>
          <w:szCs w:val="18"/>
        </w:rPr>
      </w:pPr>
    </w:p>
    <w:p>
      <w:pPr>
        <w:pStyle w:val="Heading1"/>
        <w:spacing w:line="240" w:lineRule="auto"/>
        <w:ind w:right="450"/>
        <w:jc w:val="center"/>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10"/>
        <w:rPr>
          <w:rFonts w:ascii="宋体" w:hAnsi="宋体" w:cs="宋体" w:eastAsia="宋体" w:hint="default"/>
          <w:b/>
          <w:bCs/>
          <w:sz w:val="44"/>
          <w:szCs w:val="44"/>
        </w:rPr>
      </w:pPr>
    </w:p>
    <w:p>
      <w:pPr>
        <w:pStyle w:val="Heading2"/>
        <w:spacing w:line="357" w:lineRule="auto"/>
        <w:ind w:left="153" w:right="133" w:firstLine="482"/>
        <w:jc w:val="left"/>
        <w:rPr>
          <w:b w:val="0"/>
          <w:bCs w:val="0"/>
        </w:rPr>
      </w:pPr>
      <w:r>
        <w:rPr/>
        <w:t>公司董事会、监事会及董事、监事、高级管理人员保证年度报告内容的真实、准确、完</w:t>
      </w:r>
      <w:r>
        <w:rPr>
          <w:spacing w:val="1"/>
          <w:w w:val="99"/>
        </w:rPr>
        <w:t> </w:t>
      </w:r>
      <w:r>
        <w:rPr/>
        <w:t>整，不存在虚假记载、误导性陈述或重大遗漏，并承担个别和连带的法律责任。</w:t>
      </w:r>
      <w:r>
        <w:rPr>
          <w:b w:val="0"/>
          <w:bCs w:val="0"/>
        </w:rPr>
      </w:r>
    </w:p>
    <w:p>
      <w:pPr>
        <w:pStyle w:val="Heading2"/>
        <w:spacing w:line="338" w:lineRule="auto" w:before="136"/>
        <w:ind w:left="153" w:right="136" w:firstLine="482"/>
        <w:jc w:val="left"/>
        <w:rPr>
          <w:b w:val="0"/>
          <w:bCs w:val="0"/>
        </w:rPr>
      </w:pPr>
      <w:r>
        <w:rPr>
          <w:spacing w:val="2"/>
        </w:rPr>
        <w:t>公司负责人杨维国、主管会计工作负责人李玉玲及会计机构负责人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张翀</w:t>
      </w:r>
      <w:r>
        <w:rPr>
          <w:spacing w:val="2"/>
          <w:w w:val="99"/>
        </w:rPr>
        <w:t> </w:t>
      </w:r>
      <w:r>
        <w:rPr/>
        <w:t>声明：保证年度报告中财务报告的真实、准确、完整。</w:t>
      </w:r>
      <w:r>
        <w:rPr>
          <w:b w:val="0"/>
          <w:bCs w:val="0"/>
        </w:rPr>
      </w:r>
    </w:p>
    <w:p>
      <w:pPr>
        <w:pStyle w:val="Heading2"/>
        <w:spacing w:line="432" w:lineRule="auto" w:before="155"/>
        <w:ind w:left="636" w:right="132"/>
        <w:jc w:val="left"/>
        <w:rPr>
          <w:b w:val="0"/>
          <w:bCs w:val="0"/>
        </w:rPr>
      </w:pPr>
      <w:r>
        <w:rPr/>
        <w:t>所有董事均已出席了审议本报告的董事会会议。</w:t>
      </w:r>
      <w:r>
        <w:rPr>
          <w:w w:val="99"/>
        </w:rPr>
        <w:t> </w:t>
      </w:r>
      <w:r>
        <w:rPr/>
        <w:t>本报告中如有涉及未来的计划、业绩预测等方面的内容，均不构成本公司对任何投资者</w:t>
      </w:r>
      <w:r>
        <w:rPr>
          <w:b w:val="0"/>
          <w:bCs w:val="0"/>
        </w:rPr>
      </w:r>
    </w:p>
    <w:p>
      <w:pPr>
        <w:pStyle w:val="Heading2"/>
        <w:spacing w:line="276" w:lineRule="exact"/>
        <w:ind w:left="153" w:right="0"/>
        <w:jc w:val="both"/>
        <w:rPr>
          <w:b w:val="0"/>
          <w:bCs w:val="0"/>
        </w:rPr>
      </w:pPr>
      <w:r>
        <w:rPr/>
        <w:t>及相关人士的实质承诺，投资者及相关人士均应对此保持足够的风险认识，并且应当理解计</w:t>
      </w:r>
      <w:r>
        <w:rPr>
          <w:b w:val="0"/>
          <w:bCs w:val="0"/>
        </w:rPr>
      </w:r>
    </w:p>
    <w:p>
      <w:pPr>
        <w:pStyle w:val="Heading2"/>
        <w:spacing w:line="240" w:lineRule="auto" w:before="155"/>
        <w:ind w:left="153" w:right="0"/>
        <w:jc w:val="both"/>
        <w:rPr>
          <w:b w:val="0"/>
          <w:bCs w:val="0"/>
        </w:rPr>
      </w:pPr>
      <w:r>
        <w:rPr/>
        <w:t>划、预测与承诺之间的差异。</w:t>
      </w:r>
      <w:r>
        <w:rPr>
          <w:b w:val="0"/>
          <w:bCs w:val="0"/>
        </w:rPr>
      </w:r>
    </w:p>
    <w:p>
      <w:pPr>
        <w:spacing w:line="240" w:lineRule="auto" w:before="6"/>
        <w:rPr>
          <w:rFonts w:ascii="宋体" w:hAnsi="宋体" w:cs="宋体" w:eastAsia="宋体" w:hint="default"/>
          <w:b/>
          <w:bCs/>
          <w:sz w:val="19"/>
          <w:szCs w:val="19"/>
        </w:rPr>
      </w:pPr>
    </w:p>
    <w:p>
      <w:pPr>
        <w:pStyle w:val="Heading3"/>
        <w:spacing w:line="408" w:lineRule="auto"/>
        <w:ind w:left="633" w:right="133"/>
        <w:jc w:val="left"/>
      </w:pPr>
      <w:r>
        <w:rPr>
          <w:rFonts w:ascii="Times New Roman" w:hAnsi="Times New Roman" w:cs="Times New Roman" w:eastAsia="Times New Roman" w:hint="default"/>
        </w:rPr>
        <w:t>1</w:t>
      </w:r>
      <w:r>
        <w:rPr/>
        <w:t>、行业竞争加剧的风险 公司所处智能一卡通行业的市场化程度较高，其竞争力主要体现在适应行业特点、贴近</w:t>
      </w:r>
    </w:p>
    <w:p>
      <w:pPr>
        <w:pStyle w:val="Heading3"/>
        <w:spacing w:line="357" w:lineRule="auto"/>
        <w:ind w:right="148"/>
        <w:jc w:val="both"/>
      </w:pPr>
      <w:r>
        <w:rPr/>
        <w:t>客户需求的整体解决方案提供能力上。从市场竞争格局来看，在门禁、考勤、餐卡、公交卡</w:t>
      </w:r>
      <w:r>
        <w:rPr>
          <w:spacing w:val="-83"/>
        </w:rPr>
        <w:t> </w:t>
      </w:r>
      <w:r>
        <w:rPr>
          <w:spacing w:val="-83"/>
        </w:rPr>
      </w:r>
      <w:r>
        <w:rPr/>
        <w:t>等传统一卡通业务中，从事企业数量较多，市场竞争较为激烈；而在多功能实现、智能化程</w:t>
      </w:r>
      <w:r>
        <w:rPr>
          <w:spacing w:val="-83"/>
        </w:rPr>
        <w:t> </w:t>
      </w:r>
      <w:r>
        <w:rPr>
          <w:spacing w:val="-83"/>
        </w:rPr>
      </w:r>
      <w:r>
        <w:rPr/>
        <w:t>度高、技术含量高的智能一卡通整体解决方案或新兴一卡通业务中，进入门槛较高，竞争相</w:t>
      </w:r>
      <w:r>
        <w:rPr>
          <w:spacing w:val="-83"/>
        </w:rPr>
        <w:t> </w:t>
      </w:r>
      <w:r>
        <w:rPr>
          <w:spacing w:val="-83"/>
        </w:rPr>
      </w:r>
      <w:r>
        <w:rPr/>
        <w:t>对缓和。</w:t>
      </w:r>
      <w:r>
        <w:rPr>
          <w:spacing w:val="38"/>
        </w:rPr>
        <w:t> </w:t>
      </w:r>
      <w:r>
        <w:rPr/>
        <w:t>公司现已在对智能一卡通个性化需求最多、功能要求最全的学校领域，建立了较</w:t>
      </w:r>
      <w:r>
        <w:rPr/>
        <w:t> 高的市场竞争地位，并正紧随智能一卡通在下游领域应用的发展趋势，积极开拓企事业和城</w:t>
      </w:r>
      <w:r>
        <w:rPr>
          <w:spacing w:val="-83"/>
        </w:rPr>
        <w:t> </w:t>
      </w:r>
      <w:r>
        <w:rPr>
          <w:spacing w:val="-83"/>
        </w:rPr>
      </w:r>
      <w:r>
        <w:rPr/>
        <w:t>市领域。虽然随企事业、城市信息化进程的加快、功能需求的增加，公司凭借对智能一卡通</w:t>
      </w:r>
      <w:r>
        <w:rPr>
          <w:spacing w:val="-83"/>
        </w:rPr>
        <w:t> </w:t>
      </w:r>
      <w:r>
        <w:rPr>
          <w:spacing w:val="-83"/>
        </w:rPr>
      </w:r>
      <w:r>
        <w:rPr/>
        <w:t>行业应用深入的理解和一站式的整体解决方案提供能力，其竞争优势将逐渐凸显。但是，公</w:t>
      </w:r>
      <w:r>
        <w:rPr>
          <w:spacing w:val="-83"/>
        </w:rPr>
        <w:t> </w:t>
      </w:r>
      <w:r>
        <w:rPr>
          <w:spacing w:val="-83"/>
        </w:rPr>
      </w:r>
      <w:r>
        <w:rPr/>
        <w:t>司在拓展企事业及城市领域时，仍将面临原有市场进入者较激烈的竞争；同时，智能一卡通</w:t>
      </w:r>
      <w:r>
        <w:rPr>
          <w:spacing w:val="-83"/>
        </w:rPr>
        <w:t> </w:t>
      </w:r>
      <w:r>
        <w:rPr>
          <w:spacing w:val="-83"/>
        </w:rPr>
      </w:r>
      <w:r>
        <w:rPr/>
        <w:t>市场快速增长所带来的盈利空间，也可能吸引更多的有实力企业的加入，使公司面临市场竞</w:t>
      </w:r>
      <w:r>
        <w:rPr>
          <w:spacing w:val="-83"/>
        </w:rPr>
        <w:t> </w:t>
      </w:r>
      <w:r>
        <w:rPr>
          <w:spacing w:val="-83"/>
        </w:rPr>
      </w:r>
      <w:r>
        <w:rPr/>
        <w:t>争加剧的风险。</w:t>
      </w:r>
    </w:p>
    <w:p>
      <w:pPr>
        <w:pStyle w:val="Heading3"/>
        <w:spacing w:line="410" w:lineRule="auto" w:before="136"/>
        <w:ind w:left="633" w:right="133"/>
        <w:jc w:val="left"/>
      </w:pPr>
      <w:r>
        <w:rPr>
          <w:rFonts w:ascii="Times New Roman" w:hAnsi="Times New Roman" w:cs="Times New Roman" w:eastAsia="Times New Roman" w:hint="default"/>
        </w:rPr>
        <w:t>2</w:t>
      </w:r>
      <w:r>
        <w:rPr/>
        <w:t>、生产经营季节性波动风险 学校是公司的主要下游客户，校园一卡通行业存在比较明显的季节性特征：一般而言，</w:t>
      </w:r>
    </w:p>
    <w:p>
      <w:pPr>
        <w:pStyle w:val="Heading3"/>
        <w:spacing w:line="316" w:lineRule="exact"/>
        <w:ind w:right="0"/>
        <w:jc w:val="both"/>
      </w:pPr>
      <w:r>
        <w:rPr/>
        <w:t>学校在寒假过后的</w:t>
      </w:r>
      <w:r>
        <w:rPr>
          <w:spacing w:val="-68"/>
        </w:rPr>
        <w:t> </w:t>
      </w:r>
      <w:r>
        <w:rPr>
          <w:rFonts w:ascii="Times New Roman" w:hAnsi="Times New Roman" w:cs="Times New Roman" w:eastAsia="Times New Roman" w:hint="default"/>
        </w:rPr>
        <w:t>3-4</w:t>
      </w:r>
      <w:r>
        <w:rPr>
          <w:rFonts w:ascii="Times New Roman" w:hAnsi="Times New Roman" w:cs="Times New Roman" w:eastAsia="Times New Roman" w:hint="default"/>
          <w:spacing w:val="-8"/>
        </w:rPr>
        <w:t> </w:t>
      </w:r>
      <w:r>
        <w:rPr>
          <w:spacing w:val="-3"/>
        </w:rPr>
        <w:t>月启动一卡通建设计划；</w:t>
      </w:r>
      <w:r>
        <w:rPr>
          <w:rFonts w:ascii="Times New Roman" w:hAnsi="Times New Roman" w:cs="Times New Roman" w:eastAsia="Times New Roman" w:hint="default"/>
          <w:spacing w:val="-3"/>
        </w:rPr>
        <w:t>5-7</w:t>
      </w:r>
      <w:r>
        <w:rPr>
          <w:rFonts w:ascii="Times New Roman" w:hAnsi="Times New Roman" w:cs="Times New Roman" w:eastAsia="Times New Roman" w:hint="default"/>
          <w:spacing w:val="-8"/>
        </w:rPr>
        <w:t> </w:t>
      </w:r>
      <w:r>
        <w:rPr/>
        <w:t>月通过项目招标等方式确定供应商；暑期</w:t>
      </w:r>
    </w:p>
    <w:p>
      <w:pPr>
        <w:pStyle w:val="Heading3"/>
        <w:spacing w:line="338" w:lineRule="auto" w:before="135"/>
        <w:ind w:right="151"/>
        <w:jc w:val="both"/>
      </w:pPr>
      <w:r>
        <w:rPr>
          <w:spacing w:val="-3"/>
        </w:rPr>
        <w:t>开始大规模施工以确保开学时基本功能投入使用，</w:t>
      </w:r>
      <w:r>
        <w:rPr>
          <w:rFonts w:ascii="Times New Roman" w:hAnsi="Times New Roman" w:cs="Times New Roman" w:eastAsia="Times New Roman" w:hint="default"/>
          <w:spacing w:val="-3"/>
        </w:rPr>
        <w:t>7-9</w:t>
      </w:r>
      <w:r>
        <w:rPr>
          <w:rFonts w:ascii="Times New Roman" w:hAnsi="Times New Roman" w:cs="Times New Roman" w:eastAsia="Times New Roman" w:hint="default"/>
          <w:spacing w:val="17"/>
        </w:rPr>
        <w:t> </w:t>
      </w:r>
      <w:r>
        <w:rPr>
          <w:spacing w:val="-4"/>
        </w:rPr>
        <w:t>月为校园一卡通系统建设高峰期，并随</w:t>
      </w:r>
      <w:r>
        <w:rPr>
          <w:spacing w:val="-113"/>
        </w:rPr>
        <w:t> </w:t>
      </w:r>
      <w:r>
        <w:rPr>
          <w:spacing w:val="-113"/>
        </w:rPr>
      </w:r>
      <w:r>
        <w:rPr>
          <w:spacing w:val="-3"/>
        </w:rPr>
        <w:t>项目实施进度逐步验收，</w:t>
      </w:r>
      <w:r>
        <w:rPr>
          <w:rFonts w:ascii="Times New Roman" w:hAnsi="Times New Roman" w:cs="Times New Roman" w:eastAsia="Times New Roman" w:hint="default"/>
          <w:spacing w:val="-3"/>
        </w:rPr>
        <w:t>10-12</w:t>
      </w:r>
      <w:r>
        <w:rPr>
          <w:rFonts w:ascii="Times New Roman" w:hAnsi="Times New Roman" w:cs="Times New Roman" w:eastAsia="Times New Roman" w:hint="default"/>
          <w:spacing w:val="29"/>
        </w:rPr>
        <w:t> </w:t>
      </w:r>
      <w:r>
        <w:rPr>
          <w:spacing w:val="-4"/>
        </w:rPr>
        <w:t>月进入项目验收的高峰期。但是，由于一卡通项目的实施至验</w:t>
      </w:r>
      <w:r>
        <w:rPr/>
      </w:r>
    </w:p>
    <w:p>
      <w:pPr>
        <w:spacing w:after="0" w:line="338" w:lineRule="auto"/>
        <w:jc w:val="both"/>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Heading3"/>
        <w:spacing w:line="355" w:lineRule="auto" w:before="26"/>
        <w:ind w:right="148"/>
        <w:jc w:val="both"/>
      </w:pPr>
      <w:r>
        <w:rPr>
          <w:spacing w:val="-1"/>
        </w:rPr>
        <w:t>收涉及运营商</w:t>
      </w:r>
      <w:r>
        <w:rPr>
          <w:rFonts w:ascii="Times New Roman" w:hAnsi="Times New Roman" w:cs="Times New Roman" w:eastAsia="Times New Roman" w:hint="default"/>
          <w:spacing w:val="-1"/>
        </w:rPr>
        <w:t>/</w:t>
      </w:r>
      <w:r>
        <w:rPr>
          <w:spacing w:val="-1"/>
        </w:rPr>
        <w:t>银行和学校的多个部门，各个部门的配合程度、决策流程各不相同，对部分校</w:t>
      </w:r>
      <w:r>
        <w:rPr>
          <w:spacing w:val="-109"/>
        </w:rPr>
        <w:t> </w:t>
      </w:r>
      <w:r>
        <w:rPr>
          <w:spacing w:val="-109"/>
        </w:rPr>
      </w:r>
      <w:r>
        <w:rPr/>
        <w:t>园一卡通项目而言，学校为保证系统的稳定性和可靠性会要求较长试运行期，在项目实施和</w:t>
      </w:r>
      <w:r>
        <w:rPr>
          <w:spacing w:val="-83"/>
        </w:rPr>
        <w:t> </w:t>
      </w:r>
      <w:r>
        <w:rPr>
          <w:spacing w:val="-83"/>
        </w:rPr>
      </w:r>
      <w:r>
        <w:rPr/>
        <w:t>试运行期间也会临时要求增加或改动功能，从而导致部分项目的验收期延长。受上述季节性</w:t>
      </w:r>
      <w:r>
        <w:rPr>
          <w:spacing w:val="-83"/>
        </w:rPr>
        <w:t> </w:t>
      </w:r>
      <w:r>
        <w:rPr>
          <w:spacing w:val="-83"/>
        </w:rPr>
      </w:r>
      <w:r>
        <w:rPr/>
        <w:t>因素影响，公司在第三季度进入发货高峰期，随发货后安装调试及验收开始确认收入，在第</w:t>
      </w:r>
      <w:r>
        <w:rPr>
          <w:spacing w:val="-83"/>
        </w:rPr>
        <w:t> </w:t>
      </w:r>
      <w:r>
        <w:rPr>
          <w:spacing w:val="-83"/>
        </w:rPr>
      </w:r>
      <w:r>
        <w:rPr/>
        <w:t>四季度进入确认收入及收取货款高峰期，上述季节性特征使得公司的采购、生产、发货、安</w:t>
      </w:r>
      <w:r>
        <w:rPr>
          <w:spacing w:val="-83"/>
        </w:rPr>
        <w:t> </w:t>
      </w:r>
      <w:r>
        <w:rPr>
          <w:spacing w:val="-83"/>
        </w:rPr>
      </w:r>
      <w:r>
        <w:rPr/>
        <w:t>装验收和收付款在年度内各期间存在较大的不均衡性，对公司生产经营管理的有效组织和资</w:t>
      </w:r>
      <w:r>
        <w:rPr>
          <w:spacing w:val="-83"/>
        </w:rPr>
        <w:t> </w:t>
      </w:r>
      <w:r>
        <w:rPr>
          <w:spacing w:val="-83"/>
        </w:rPr>
      </w:r>
      <w:r>
        <w:rPr/>
        <w:t>源的利用效率提出了较大挑战。</w:t>
      </w:r>
    </w:p>
    <w:p>
      <w:pPr>
        <w:pStyle w:val="Heading3"/>
        <w:spacing w:line="410" w:lineRule="auto" w:before="138"/>
        <w:ind w:left="633" w:right="133"/>
        <w:jc w:val="left"/>
      </w:pPr>
      <w:r>
        <w:rPr>
          <w:rFonts w:ascii="Times New Roman" w:hAnsi="Times New Roman" w:cs="Times New Roman" w:eastAsia="Times New Roman" w:hint="default"/>
        </w:rPr>
        <w:t>3</w:t>
      </w:r>
      <w:r>
        <w:rPr/>
        <w:t>、应收账款较高的风险 公司主要业务为一卡通项目建设，项目集成度高、建设周期较长，项目投入使用后还需</w:t>
      </w:r>
    </w:p>
    <w:p>
      <w:pPr>
        <w:pStyle w:val="Heading3"/>
        <w:spacing w:line="298" w:lineRule="exact"/>
        <w:ind w:right="0"/>
        <w:jc w:val="both"/>
      </w:pPr>
      <w:r>
        <w:rPr/>
        <w:t>要经过客户的试运行和验收。随着近几年一卡通建设由用户自行购买到由银行、运营商客户</w:t>
      </w:r>
    </w:p>
    <w:p>
      <w:pPr>
        <w:pStyle w:val="Heading3"/>
        <w:spacing w:line="357" w:lineRule="auto" w:before="154"/>
        <w:ind w:right="148"/>
        <w:jc w:val="both"/>
      </w:pPr>
      <w:r>
        <w:rPr/>
        <w:t>投资购买，项目的验收及付款流程更加复杂和漫长，销售回款周期也随之增加。由于学校等</w:t>
      </w:r>
      <w:r>
        <w:rPr>
          <w:spacing w:val="-83"/>
        </w:rPr>
        <w:t> </w:t>
      </w:r>
      <w:r>
        <w:rPr>
          <w:spacing w:val="-83"/>
        </w:rPr>
      </w:r>
      <w:r>
        <w:rPr>
          <w:spacing w:val="-5"/>
        </w:rPr>
        <w:t>客户的信誉较好，公司应收账款的收回有较高保障，且从历史经验看相关应收账款回收良好。</w:t>
      </w:r>
      <w:r>
        <w:rPr>
          <w:spacing w:val="-117"/>
        </w:rPr>
        <w:t> </w:t>
      </w:r>
      <w:r>
        <w:rPr>
          <w:spacing w:val="-117"/>
        </w:rPr>
      </w:r>
      <w:r>
        <w:rPr/>
        <w:t>但是应收账款的快速增长对公司现金流状况产生了一定影响，增加了公司对业务运营资金的</w:t>
      </w:r>
      <w:r>
        <w:rPr>
          <w:spacing w:val="-83"/>
        </w:rPr>
        <w:t> </w:t>
      </w:r>
      <w:r>
        <w:rPr>
          <w:spacing w:val="-83"/>
        </w:rPr>
      </w:r>
      <w:r>
        <w:rPr/>
        <w:t>需求。随着公司业务规模的扩大，应收账款可能会进一步增加，如果出现应收账款不能按期</w:t>
      </w:r>
      <w:r>
        <w:rPr>
          <w:spacing w:val="-83"/>
        </w:rPr>
        <w:t> </w:t>
      </w:r>
      <w:r>
        <w:rPr>
          <w:spacing w:val="-83"/>
        </w:rPr>
      </w:r>
      <w:r>
        <w:rPr/>
        <w:t>回收或无法回收发生坏账的情况，公司将面临流动资金短缺的风险，从而对公司的持续盈利</w:t>
      </w:r>
      <w:r>
        <w:rPr>
          <w:spacing w:val="-83"/>
        </w:rPr>
        <w:t> </w:t>
      </w:r>
      <w:r>
        <w:rPr>
          <w:spacing w:val="-83"/>
        </w:rPr>
      </w:r>
      <w:r>
        <w:rPr/>
        <w:t>能力造成一定的不利影响。</w:t>
      </w:r>
    </w:p>
    <w:p>
      <w:pPr>
        <w:pStyle w:val="Heading3"/>
        <w:spacing w:line="408" w:lineRule="auto" w:before="136"/>
        <w:ind w:left="633" w:right="133"/>
        <w:jc w:val="left"/>
      </w:pPr>
      <w:r>
        <w:rPr>
          <w:rFonts w:ascii="Times New Roman" w:hAnsi="Times New Roman" w:cs="Times New Roman" w:eastAsia="Times New Roman" w:hint="default"/>
        </w:rPr>
        <w:t>4</w:t>
      </w:r>
      <w:r>
        <w:rPr/>
        <w:t>、技术和产品开发不能及时跟进市场需求的风险 及时响应客户的个性化需求，进行持续的技术及产品开发是公司不断发展壮大的基础。</w:t>
      </w:r>
    </w:p>
    <w:p>
      <w:pPr>
        <w:pStyle w:val="Heading3"/>
        <w:spacing w:line="357" w:lineRule="auto"/>
        <w:ind w:right="148"/>
        <w:jc w:val="both"/>
      </w:pPr>
      <w:r>
        <w:rPr/>
        <w:t>由于智能一卡通行业的技术更新快，新技术的应用频繁，客户对软硬件产品的功能要求不断</w:t>
      </w:r>
      <w:r>
        <w:rPr>
          <w:spacing w:val="-83"/>
        </w:rPr>
        <w:t> </w:t>
      </w:r>
      <w:r>
        <w:rPr>
          <w:spacing w:val="-83"/>
        </w:rPr>
      </w:r>
      <w:r>
        <w:rPr/>
        <w:t>提高，应用也不断深入，因此，公司需要不断进行新技术、新产品的研发和升级。虽然公司</w:t>
      </w:r>
      <w:r>
        <w:rPr>
          <w:spacing w:val="-83"/>
        </w:rPr>
        <w:t> </w:t>
      </w:r>
      <w:r>
        <w:rPr>
          <w:spacing w:val="-83"/>
        </w:rPr>
      </w:r>
      <w:r>
        <w:rPr/>
        <w:t>拥有强大的自主研发和技术创新实力，但如果未来不能准确把握技术、产品及市场的发展趋</w:t>
      </w:r>
      <w:r>
        <w:rPr>
          <w:spacing w:val="-83"/>
        </w:rPr>
        <w:t> </w:t>
      </w:r>
      <w:r>
        <w:rPr>
          <w:spacing w:val="-83"/>
        </w:rPr>
      </w:r>
      <w:r>
        <w:rPr/>
        <w:t>势，持续研发出符合市场需求的新产品，将会削弱公司的竞争优势，对公司的持续盈利能力</w:t>
      </w:r>
      <w:r>
        <w:rPr>
          <w:spacing w:val="-83"/>
        </w:rPr>
        <w:t> </w:t>
      </w:r>
      <w:r>
        <w:rPr>
          <w:spacing w:val="-83"/>
        </w:rPr>
      </w:r>
      <w:r>
        <w:rPr/>
        <w:t>造成不利影响。</w:t>
      </w:r>
    </w:p>
    <w:p>
      <w:pPr>
        <w:pStyle w:val="Heading3"/>
        <w:spacing w:line="408" w:lineRule="auto" w:before="137"/>
        <w:ind w:left="633" w:right="133"/>
        <w:jc w:val="left"/>
      </w:pPr>
      <w:r>
        <w:rPr>
          <w:rFonts w:ascii="Times New Roman" w:hAnsi="Times New Roman" w:cs="Times New Roman" w:eastAsia="Times New Roman" w:hint="default"/>
        </w:rPr>
        <w:t>5</w:t>
      </w:r>
      <w:r>
        <w:rPr/>
        <w:t>、核心技术及知识产权保护风险 公司拥有的智能一卡通相关核心技术在行业内处于先进水平，在核心技术上拥有自主知</w:t>
      </w:r>
    </w:p>
    <w:p>
      <w:pPr>
        <w:pStyle w:val="Heading3"/>
        <w:spacing w:line="357" w:lineRule="auto"/>
        <w:ind w:right="148"/>
        <w:jc w:val="both"/>
      </w:pPr>
      <w:r>
        <w:rPr>
          <w:spacing w:val="-5"/>
        </w:rPr>
        <w:t>识产权。尽管公司已经采取了核心技术人员持股、与研发人员签署《保密协议》、申请专利及</w:t>
      </w:r>
      <w:r>
        <w:rPr/>
        <w:t> 著作权保护、加强企业文化建设、不断增强企业凝聚力等措施，但并不能完全消除技术泄密</w:t>
      </w:r>
      <w:r>
        <w:rPr>
          <w:spacing w:val="-83"/>
        </w:rPr>
        <w:t> </w:t>
      </w:r>
      <w:r>
        <w:rPr>
          <w:spacing w:val="-83"/>
        </w:rPr>
      </w:r>
      <w:r>
        <w:rPr/>
        <w:t>或核心技术人员流失的风险。如果出现技术外泄或者核心技术人员流失的情况，将对本公司</w:t>
      </w:r>
    </w:p>
    <w:p>
      <w:pPr>
        <w:spacing w:after="0" w:line="357" w:lineRule="auto"/>
        <w:jc w:val="both"/>
        <w:sectPr>
          <w:pgSz w:w="11910" w:h="16840"/>
          <w:pgMar w:header="747" w:footer="982" w:top="1060" w:bottom="1180" w:left="980" w:right="980"/>
        </w:sectPr>
      </w:pPr>
    </w:p>
    <w:p>
      <w:pPr>
        <w:spacing w:line="240" w:lineRule="auto" w:before="7"/>
        <w:rPr>
          <w:rFonts w:ascii="宋体" w:hAnsi="宋体" w:cs="宋体" w:eastAsia="宋体" w:hint="default"/>
          <w:sz w:val="29"/>
          <w:szCs w:val="29"/>
        </w:rPr>
      </w:pPr>
    </w:p>
    <w:p>
      <w:pPr>
        <w:pStyle w:val="Heading3"/>
        <w:spacing w:line="357" w:lineRule="auto" w:before="26"/>
        <w:ind w:right="148"/>
        <w:jc w:val="both"/>
      </w:pPr>
      <w:r>
        <w:rPr/>
        <w:t>的持续技术创新能力产生一定的负面影响。公司拥有多项专利技术及计算机软件著作权，截</w:t>
      </w:r>
      <w:r>
        <w:rPr>
          <w:spacing w:val="-83"/>
        </w:rPr>
        <w:t> </w:t>
      </w:r>
      <w:r>
        <w:rPr>
          <w:spacing w:val="-83"/>
        </w:rPr>
      </w:r>
      <w:r>
        <w:rPr/>
        <w:t>至目前并未发生严重盗版或侵权事件，但软件具有易于复制的特点，而我国对软件等知识产</w:t>
      </w:r>
      <w:r>
        <w:rPr>
          <w:spacing w:val="-83"/>
        </w:rPr>
        <w:t> </w:t>
      </w:r>
      <w:r>
        <w:rPr>
          <w:spacing w:val="-83"/>
        </w:rPr>
      </w:r>
      <w:r>
        <w:rPr/>
        <w:t>权的保护还较弱，侵权及盗版已经成为制约我国软件行业发展和软件企业成长的重要障碍。</w:t>
      </w:r>
      <w:r>
        <w:rPr>
          <w:spacing w:val="-83"/>
        </w:rPr>
        <w:t> </w:t>
      </w:r>
      <w:r>
        <w:rPr>
          <w:spacing w:val="-83"/>
        </w:rPr>
      </w:r>
      <w:r>
        <w:rPr/>
        <w:t>如果公司的软件遭遇较大范围的盗版、仿冒或侵权，将对公司的经营产生不利影响。</w:t>
      </w:r>
    </w:p>
    <w:p>
      <w:pPr>
        <w:pStyle w:val="Heading3"/>
        <w:spacing w:line="410" w:lineRule="auto" w:before="136"/>
        <w:ind w:left="633" w:right="133"/>
        <w:jc w:val="left"/>
      </w:pPr>
      <w:r>
        <w:rPr>
          <w:rFonts w:ascii="Times New Roman" w:hAnsi="Times New Roman" w:cs="Times New Roman" w:eastAsia="Times New Roman" w:hint="default"/>
        </w:rPr>
        <w:t>6</w:t>
      </w:r>
      <w:r>
        <w:rPr/>
        <w:t>、人才流失风险 信息技术企业一般都面临人员流动大、知识结构更新快的问题，行业内的市场竞争也越</w:t>
      </w:r>
    </w:p>
    <w:p>
      <w:pPr>
        <w:pStyle w:val="Heading3"/>
        <w:spacing w:line="298" w:lineRule="exact"/>
        <w:ind w:right="0"/>
        <w:jc w:val="both"/>
      </w:pPr>
      <w:r>
        <w:rPr/>
        <w:t>来越体现为对高素质人才的竞争。为了稳定公司的管理、技术和销售队伍，公司通过提供有</w:t>
      </w:r>
    </w:p>
    <w:p>
      <w:pPr>
        <w:pStyle w:val="Heading3"/>
        <w:spacing w:line="352" w:lineRule="auto" w:before="154"/>
        <w:ind w:right="147"/>
        <w:jc w:val="both"/>
      </w:pPr>
      <w:r>
        <w:rPr/>
        <w:t>竞争力的薪酬、福利和建立公平的竞争晋升机制，提供全面、完善的培训计划，创造开放、</w:t>
      </w:r>
      <w:r>
        <w:rPr>
          <w:spacing w:val="-83"/>
        </w:rPr>
        <w:t> </w:t>
      </w:r>
      <w:r>
        <w:rPr>
          <w:spacing w:val="-83"/>
        </w:rPr>
      </w:r>
      <w:r>
        <w:rPr/>
        <w:t>协作的工作环境和提倡</w:t>
      </w:r>
      <w:r>
        <w:rPr>
          <w:rFonts w:ascii="Times New Roman" w:hAnsi="Times New Roman" w:cs="Times New Roman" w:eastAsia="Times New Roman" w:hint="default"/>
        </w:rPr>
        <w:t>“</w:t>
      </w:r>
      <w:r>
        <w:rPr/>
        <w:t>专注、创新</w:t>
      </w:r>
      <w:r>
        <w:rPr>
          <w:rFonts w:ascii="Times New Roman" w:hAnsi="Times New Roman" w:cs="Times New Roman" w:eastAsia="Times New Roman" w:hint="default"/>
        </w:rPr>
        <w:t>”</w:t>
      </w:r>
      <w:r>
        <w:rPr/>
        <w:t>的企业文化来吸引、培养人才，公司核心骨干人员也持</w:t>
      </w:r>
      <w:r>
        <w:rPr>
          <w:spacing w:val="-80"/>
        </w:rPr>
        <w:t> </w:t>
      </w:r>
      <w:r>
        <w:rPr/>
        <w:t>有公司股份。但随着公司新业务、新项目的迅速推进，公司对专业技术人才的需求还将大量</w:t>
      </w:r>
      <w:r>
        <w:rPr>
          <w:spacing w:val="-83"/>
        </w:rPr>
        <w:t> </w:t>
      </w:r>
      <w:r>
        <w:rPr>
          <w:spacing w:val="-83"/>
        </w:rPr>
      </w:r>
      <w:r>
        <w:rPr/>
        <w:t>增加，而国内相关行业对上述人才的需求也日趋增长，如果公司发生核心人才流失，或公司</w:t>
      </w:r>
      <w:r>
        <w:rPr>
          <w:spacing w:val="-83"/>
        </w:rPr>
        <w:t> </w:t>
      </w:r>
      <w:r>
        <w:rPr>
          <w:spacing w:val="-83"/>
        </w:rPr>
      </w:r>
      <w:r>
        <w:rPr/>
        <w:t>无法吸引优秀人才加入，将对公司长期发展造成不利影响。</w:t>
      </w:r>
    </w:p>
    <w:p>
      <w:pPr>
        <w:pStyle w:val="Heading3"/>
        <w:spacing w:line="408" w:lineRule="auto" w:before="140"/>
        <w:ind w:left="633" w:right="133"/>
        <w:jc w:val="left"/>
      </w:pPr>
      <w:r>
        <w:rPr>
          <w:rFonts w:ascii="Times New Roman" w:hAnsi="Times New Roman" w:cs="Times New Roman" w:eastAsia="Times New Roman" w:hint="default"/>
        </w:rPr>
        <w:t>7</w:t>
      </w:r>
      <w:r>
        <w:rPr/>
        <w:t>、募集资金投资项目实施风险 公司非公开发行股票募集资金投资项目是公司通过长期市场调研以及慎重的可行性研究</w:t>
      </w:r>
    </w:p>
    <w:p>
      <w:pPr>
        <w:pStyle w:val="Heading3"/>
        <w:spacing w:line="357" w:lineRule="auto"/>
        <w:ind w:right="148"/>
        <w:jc w:val="both"/>
      </w:pPr>
      <w:r>
        <w:rPr/>
        <w:t>论证后决定的，并聘请了相关机构进行了详实的可行性研究，根据本次募集资金投资项目的</w:t>
      </w:r>
      <w:r>
        <w:rPr>
          <w:spacing w:val="-83"/>
        </w:rPr>
        <w:t> </w:t>
      </w:r>
      <w:r>
        <w:rPr>
          <w:spacing w:val="-83"/>
        </w:rPr>
      </w:r>
      <w:r>
        <w:rPr/>
        <w:t>可行性研究报告，项目建设具备可行性，但不排除受宏观经济环境、国家产业政策、国内外</w:t>
      </w:r>
      <w:r>
        <w:rPr>
          <w:spacing w:val="-83"/>
        </w:rPr>
        <w:t> </w:t>
      </w:r>
      <w:r>
        <w:rPr>
          <w:spacing w:val="-83"/>
        </w:rPr>
      </w:r>
      <w:r>
        <w:rPr/>
        <w:t>市场环境等因素变化的影响，在项目实施过程中仍然可能存无法达到预定目标的风险，进而</w:t>
      </w:r>
      <w:r>
        <w:rPr>
          <w:spacing w:val="-83"/>
        </w:rPr>
        <w:t> </w:t>
      </w:r>
      <w:r>
        <w:rPr>
          <w:spacing w:val="-83"/>
        </w:rPr>
      </w:r>
      <w:r>
        <w:rPr/>
        <w:t>影响公司未来的经营业绩。</w:t>
      </w:r>
    </w:p>
    <w:p>
      <w:pPr>
        <w:pStyle w:val="Heading2"/>
        <w:spacing w:line="240" w:lineRule="auto" w:before="136"/>
        <w:ind w:left="636" w:right="0"/>
        <w:jc w:val="left"/>
        <w:rPr>
          <w:b w:val="0"/>
          <w:bCs w:val="0"/>
        </w:rPr>
      </w:pPr>
      <w:r>
        <w:rPr/>
        <w:t>公司经本次董事会审议通过的利润分配预案为：以 </w:t>
      </w:r>
      <w:r>
        <w:rPr>
          <w:rFonts w:ascii="Times New Roman" w:hAnsi="Times New Roman" w:cs="Times New Roman" w:eastAsia="Times New Roman" w:hint="default"/>
        </w:rPr>
        <w:t>324,475,501</w:t>
      </w:r>
      <w:r>
        <w:rPr>
          <w:rFonts w:ascii="Times New Roman" w:hAnsi="Times New Roman" w:cs="Times New Roman" w:eastAsia="Times New Roman" w:hint="default"/>
          <w:spacing w:val="52"/>
        </w:rPr>
        <w:t> </w:t>
      </w:r>
      <w:r>
        <w:rPr/>
        <w:t>为基数，向全体股东每</w:t>
      </w:r>
      <w:r>
        <w:rPr>
          <w:b w:val="0"/>
          <w:bCs w:val="0"/>
        </w:rPr>
      </w:r>
    </w:p>
    <w:p>
      <w:pPr>
        <w:pStyle w:val="Heading2"/>
        <w:spacing w:line="240" w:lineRule="auto" w:before="135"/>
        <w:ind w:left="153" w:right="0"/>
        <w:jc w:val="both"/>
        <w:rPr>
          <w:b w:val="0"/>
          <w:bCs w:val="0"/>
        </w:rPr>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1"/>
          <w:w w:val="99"/>
        </w:rPr>
        <w:t>股派发现金红</w:t>
      </w:r>
      <w:r>
        <w:rPr>
          <w:w w:val="99"/>
        </w:rPr>
        <w:t>利</w:t>
      </w:r>
      <w:r>
        <w:rPr>
          <w:spacing w:val="-59"/>
        </w:rPr>
        <w:t> </w:t>
      </w:r>
      <w:r>
        <w:rPr>
          <w:rFonts w:ascii="Times New Roman" w:hAnsi="Times New Roman" w:cs="Times New Roman" w:eastAsia="Times New Roman" w:hint="default"/>
          <w:spacing w:val="-1"/>
        </w:rPr>
        <w:t>0.6</w:t>
      </w:r>
      <w:r>
        <w:rPr>
          <w:rFonts w:ascii="Times New Roman" w:hAnsi="Times New Roman" w:cs="Times New Roman" w:eastAsia="Times New Roman" w:hint="default"/>
        </w:rPr>
        <w:t>0 </w:t>
      </w:r>
      <w:r>
        <w:rPr>
          <w:w w:val="99"/>
        </w:rPr>
        <w:t>元（含税</w:t>
      </w:r>
      <w:r>
        <w:rPr>
          <w:spacing w:val="-120"/>
          <w:w w:val="99"/>
        </w:rPr>
        <w:t>）</w:t>
      </w:r>
      <w:r>
        <w:rPr>
          <w:w w:val="99"/>
        </w:rPr>
        <w:t>，送红股</w:t>
      </w:r>
      <w:r>
        <w:rPr>
          <w:spacing w:val="-59"/>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w w:val="99"/>
        </w:rPr>
        <w:t>股（含税</w:t>
      </w:r>
      <w:r>
        <w:rPr>
          <w:spacing w:val="-120"/>
          <w:w w:val="99"/>
        </w:rPr>
        <w:t>）</w:t>
      </w:r>
      <w:r>
        <w:rPr>
          <w:w w:val="99"/>
        </w:rPr>
        <w:t>，以资本公积金向全体股东每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w w:val="99"/>
        </w:rPr>
        <w:t>股</w:t>
      </w:r>
      <w:r>
        <w:rPr>
          <w:b w:val="0"/>
          <w:bCs w:val="0"/>
        </w:rPr>
      </w:r>
    </w:p>
    <w:p>
      <w:pPr>
        <w:pStyle w:val="Heading2"/>
        <w:spacing w:line="240" w:lineRule="auto" w:before="137"/>
        <w:ind w:right="0"/>
        <w:jc w:val="both"/>
        <w:rPr>
          <w:b w:val="0"/>
          <w:bCs w:val="0"/>
        </w:rPr>
      </w:pPr>
      <w:r>
        <w:rPr/>
        <w:t>转增</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股。</w:t>
      </w:r>
      <w:r>
        <w:rPr>
          <w:b w:val="0"/>
          <w:bCs w:val="0"/>
        </w:rPr>
      </w:r>
    </w:p>
    <w:p>
      <w:pPr>
        <w:spacing w:after="0" w:line="240" w:lineRule="auto"/>
        <w:jc w:val="both"/>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spacing w:line="460" w:lineRule="exact" w:before="0"/>
        <w:ind w:left="451" w:right="45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1" w:val="right" w:leader="dot"/>
            </w:tabs>
            <w:spacing w:line="240" w:lineRule="auto" w:before="773"/>
            <w:ind w:left="154"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 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 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13</w:t>
            </w:r>
            <w:r>
              <w:rPr>
                <w:rFonts w:ascii="Times New Roman" w:hAnsi="Times New Roman" w:cs="Times New Roman" w:eastAsia="Times New Roman" w:hint="default"/>
                <w:b w:val="0"/>
                <w:bCs w:val="0"/>
              </w:rPr>
            </w:r>
          </w:hyperlink>
        </w:p>
        <w:p>
          <w:pPr>
            <w:pStyle w:val="TOC1"/>
            <w:tabs>
              <w:tab w:pos="9781" w:val="right" w:leader="dot"/>
            </w:tabs>
            <w:spacing w:line="240" w:lineRule="auto" w:before="176"/>
            <w:ind w:right="0"/>
            <w:jc w:val="left"/>
            <w:rPr>
              <w:rFonts w:ascii="Times New Roman" w:hAnsi="Times New Roman" w:cs="Times New Roman" w:eastAsia="Times New Roman" w:hint="default"/>
              <w:b w:val="0"/>
              <w:bCs w:val="0"/>
            </w:rPr>
          </w:pPr>
          <w:hyperlink w:history="true" w:anchor="_TOC_250008">
            <w:r>
              <w:rPr/>
              <w:t>第四节</w:t>
            </w:r>
            <w:r>
              <w:rPr>
                <w:spacing w:val="-1"/>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52</w:t>
            </w:r>
            <w:r>
              <w:rPr>
                <w:rFonts w:ascii="Times New Roman" w:hAnsi="Times New Roman" w:cs="Times New Roman" w:eastAsia="Times New Roman" w:hint="default"/>
                <w:b w:val="0"/>
                <w:bCs w:val="0"/>
              </w:rPr>
            </w:r>
          </w:hyperlink>
        </w:p>
        <w:p>
          <w:pPr>
            <w:pStyle w:val="TOC1"/>
            <w:tabs>
              <w:tab w:pos="9781" w:val="right" w:leader="dot"/>
            </w:tabs>
            <w:spacing w:line="240" w:lineRule="auto"/>
            <w:ind w:left="154" w:right="0"/>
            <w:jc w:val="left"/>
            <w:rPr>
              <w:rFonts w:ascii="Times New Roman" w:hAnsi="Times New Roman" w:cs="Times New Roman" w:eastAsia="Times New Roman" w:hint="default"/>
              <w:b w:val="0"/>
              <w:bCs w:val="0"/>
            </w:rPr>
          </w:pPr>
          <w:hyperlink w:history="true" w:anchor="_TOC_250006">
            <w:r>
              <w:rPr/>
              <w:t>第六节</w:t>
            </w:r>
            <w:r>
              <w:rPr>
                <w:spacing w:val="-1"/>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99</w:t>
            </w:r>
            <w:r>
              <w:rPr>
                <w:rFonts w:ascii="Times New Roman" w:hAnsi="Times New Roman" w:cs="Times New Roman" w:eastAsia="Times New Roman" w:hint="default"/>
                <w:b w:val="0"/>
                <w:bCs w:val="0"/>
              </w:rPr>
            </w:r>
          </w:hyperlink>
        </w:p>
        <w:p>
          <w:pPr>
            <w:pStyle w:val="TOC1"/>
            <w:tabs>
              <w:tab w:pos="9781" w:val="right" w:leader="dot"/>
            </w:tabs>
            <w:spacing w:line="240" w:lineRule="auto" w:before="176"/>
            <w:ind w:right="0"/>
            <w:jc w:val="left"/>
            <w:rPr>
              <w:rFonts w:ascii="Times New Roman" w:hAnsi="Times New Roman" w:cs="Times New Roman" w:eastAsia="Times New Roman" w:hint="default"/>
              <w:b w:val="0"/>
              <w:bCs w:val="0"/>
            </w:rPr>
          </w:pPr>
          <w:hyperlink w:history="true" w:anchor="_TOC_250005">
            <w:r>
              <w:rPr/>
              <w:t>第七节</w:t>
            </w:r>
            <w:r>
              <w:rPr>
                <w:spacing w:val="-1"/>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108</w:t>
            </w:r>
            <w:r>
              <w:rPr>
                <w:rFonts w:ascii="Times New Roman" w:hAnsi="Times New Roman" w:cs="Times New Roman" w:eastAsia="Times New Roman" w:hint="default"/>
                <w:b w:val="0"/>
                <w:bCs w:val="0"/>
              </w:rPr>
            </w:r>
          </w:hyperlink>
        </w:p>
        <w:p>
          <w:pPr>
            <w:pStyle w:val="TOC1"/>
            <w:tabs>
              <w:tab w:pos="9781" w:val="right" w:leader="dot"/>
            </w:tabs>
            <w:spacing w:line="240" w:lineRule="auto"/>
            <w:ind w:left="154" w:right="0"/>
            <w:jc w:val="left"/>
            <w:rPr>
              <w:rFonts w:ascii="Times New Roman" w:hAnsi="Times New Roman" w:cs="Times New Roman" w:eastAsia="Times New Roman" w:hint="default"/>
              <w:b w:val="0"/>
              <w:bCs w:val="0"/>
            </w:rPr>
          </w:pPr>
          <w:hyperlink w:history="true" w:anchor="_TOC_250003">
            <w:r>
              <w:rPr/>
              <w:t>第九节</w:t>
            </w:r>
            <w:r>
              <w:rPr>
                <w:spacing w:val="-1"/>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5"/>
              </w:rPr>
              <w:t>118</w:t>
            </w:r>
            <w:r>
              <w:rPr>
                <w:rFonts w:ascii="Times New Roman" w:hAnsi="Times New Roman" w:cs="Times New Roman" w:eastAsia="Times New Roman" w:hint="default"/>
                <w:b w:val="0"/>
                <w:bCs w:val="0"/>
                <w:spacing w:val="-5"/>
              </w:rPr>
            </w:r>
          </w:hyperlink>
        </w:p>
        <w:p>
          <w:pPr>
            <w:pStyle w:val="TOC1"/>
            <w:tabs>
              <w:tab w:pos="9781" w:val="right" w:leader="dot"/>
            </w:tabs>
            <w:spacing w:line="240" w:lineRule="auto" w:before="176"/>
            <w:ind w:left="154" w:right="0"/>
            <w:jc w:val="left"/>
            <w:rPr>
              <w:rFonts w:ascii="Times New Roman" w:hAnsi="Times New Roman" w:cs="Times New Roman" w:eastAsia="Times New Roman" w:hint="default"/>
              <w:b w:val="0"/>
              <w:bCs w:val="0"/>
            </w:rPr>
          </w:pPr>
          <w:hyperlink w:history="true" w:anchor="_TOC_250002">
            <w:r>
              <w:rPr/>
              <w:t>第十节</w:t>
            </w:r>
            <w:r>
              <w:rPr>
                <w:spacing w:val="-1"/>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127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128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238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2" w:top="1060" w:bottom="1180" w:left="980" w:right="980"/>
        </w:sectPr>
      </w:pPr>
    </w:p>
    <w:p>
      <w:pPr>
        <w:spacing w:before="946"/>
        <w:ind w:left="451" w:right="45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本公司、公司、新开普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迪科远望</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上海树维</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山西新开普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山西新开普信息科技有限公司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福建新开普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北京乐智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北京乐智科技有限公司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成都兰途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成都兰途网络科技有限公司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丹诚开普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嘉兴丹诚开普股权投资合伙企业（有限合伙）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华夏海纳</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河南华夏海纳创业投资集团有限公司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凯里通卡公司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凯里智慧城市通卡管理有限公司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上海微令</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上海微令信息科技有限公司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北京新洞察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北京新洞察信息服务有限责任公司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郑州佳辰</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郑州佳辰企业管理咨询中心（有限合伙）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丹诚资管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北京丹诚资产管理有限公司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北京优才</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北京优才创智科技有限公司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希嘉教育</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北京希嘉创智教育科技有限公司</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RFID</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Radio Frequency Identification</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的缩写，即射频识别技术，是一种利用 射频通信实现的非接触式数据采集技术</w:t>
            </w:r>
            <w:r>
              <w:rPr>
                <w:rFonts w:ascii="Times New Roman" w:hAnsi="Times New Roman" w:cs="Times New Roman" w:eastAsia="Times New Roman" w:hint="default"/>
                <w:sz w:val="18"/>
                <w:szCs w:val="18"/>
              </w:rPr>
              <w:t>,</w:t>
            </w:r>
            <w:r>
              <w:rPr>
                <w:rFonts w:ascii="宋体" w:hAnsi="宋体" w:cs="宋体" w:eastAsia="宋体" w:hint="default"/>
                <w:sz w:val="18"/>
                <w:szCs w:val="18"/>
              </w:rPr>
              <w:t>它通过射频信号自动识别目 </w:t>
            </w:r>
            <w:r>
              <w:rPr>
                <w:rFonts w:ascii="宋体" w:hAnsi="宋体" w:cs="宋体" w:eastAsia="宋体" w:hint="default"/>
                <w:spacing w:val="-2"/>
                <w:sz w:val="18"/>
                <w:szCs w:val="18"/>
              </w:rPr>
              <w:t>标对象并获取相关数据。在单一芯片上结合感应式读卡器、感应式卡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片和点对点的功能，通过频谱中无线频率部分的电磁感应耦合方式传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递信息，传输范围由于频率不同分为中低频和高频两类</w:t>
            </w:r>
          </w:p>
        </w:tc>
      </w:tr>
      <w:tr>
        <w:trPr>
          <w:trHeight w:val="98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智能卡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r>
              <w:rPr>
                <w:rFonts w:ascii="Times New Roman" w:hAnsi="Times New Roman" w:cs="Times New Roman" w:eastAsia="Times New Roman"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 </w:t>
            </w:r>
            <w:r>
              <w:rPr>
                <w:rFonts w:ascii="Times New Roman" w:hAnsi="Times New Roman" w:cs="Times New Roman" w:eastAsia="Times New Roman" w:hint="default"/>
                <w:sz w:val="18"/>
                <w:szCs w:val="18"/>
              </w:rPr>
              <w:t>(Integrated Circuit Card</w:t>
            </w:r>
            <w:r>
              <w:rPr>
                <w:rFonts w:ascii="宋体" w:hAnsi="宋体" w:cs="宋体" w:eastAsia="宋体" w:hint="default"/>
                <w:sz w:val="18"/>
                <w:szCs w:val="18"/>
              </w:rPr>
              <w:t>，集成电路卡</w:t>
            </w:r>
            <w:r>
              <w:rPr>
                <w:rFonts w:ascii="Times New Roman" w:hAnsi="Times New Roman" w:cs="Times New Roman" w:eastAsia="Times New Roman" w:hint="default"/>
                <w:sz w:val="18"/>
                <w:szCs w:val="18"/>
              </w:rPr>
              <w:t>)</w:t>
            </w:r>
            <w:r>
              <w:rPr>
                <w:rFonts w:ascii="宋体" w:hAnsi="宋体" w:cs="宋体" w:eastAsia="宋体" w:hint="default"/>
                <w:sz w:val="18"/>
                <w:szCs w:val="18"/>
              </w:rPr>
              <w:t>也称智能卡</w:t>
            </w:r>
            <w:r>
              <w:rPr>
                <w:rFonts w:ascii="Times New Roman" w:hAnsi="Times New Roman" w:cs="Times New Roman" w:eastAsia="Times New Roman" w:hint="default"/>
                <w:sz w:val="18"/>
                <w:szCs w:val="18"/>
              </w:rPr>
              <w:t>(Smart</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card)</w:t>
            </w:r>
            <w:r>
              <w:rPr>
                <w:rFonts w:ascii="宋体" w:hAnsi="宋体" w:cs="宋体" w:eastAsia="宋体" w:hint="default"/>
                <w:sz w:val="18"/>
                <w:szCs w:val="18"/>
              </w:rPr>
              <w:t>、 智慧卡</w:t>
            </w:r>
            <w:r>
              <w:rPr>
                <w:rFonts w:ascii="Times New Roman" w:hAnsi="Times New Roman" w:cs="Times New Roman" w:eastAsia="Times New Roman" w:hint="default"/>
                <w:sz w:val="18"/>
                <w:szCs w:val="18"/>
              </w:rPr>
              <w:t>(Intelligent card)</w:t>
            </w:r>
            <w:r>
              <w:rPr>
                <w:rFonts w:ascii="宋体" w:hAnsi="宋体" w:cs="宋体" w:eastAsia="宋体" w:hint="default"/>
                <w:sz w:val="18"/>
                <w:szCs w:val="18"/>
              </w:rPr>
              <w:t>、微电路卡</w:t>
            </w:r>
            <w:r>
              <w:rPr>
                <w:rFonts w:ascii="Times New Roman" w:hAnsi="Times New Roman" w:cs="Times New Roman" w:eastAsia="Times New Roman" w:hint="default"/>
                <w:sz w:val="18"/>
                <w:szCs w:val="18"/>
              </w:rPr>
              <w:t>(Microcircuit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card)</w:t>
            </w:r>
            <w:r>
              <w:rPr>
                <w:rFonts w:ascii="宋体" w:hAnsi="宋体" w:cs="宋体" w:eastAsia="宋体" w:hint="default"/>
                <w:sz w:val="18"/>
                <w:szCs w:val="18"/>
              </w:rPr>
              <w:t>或微芯片卡等。 它是将一个微电子芯片嵌入符合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ISO7816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标准的卡基中，做成卡片形</w:t>
            </w:r>
          </w:p>
        </w:tc>
      </w:tr>
    </w:tbl>
    <w:p>
      <w:pPr>
        <w:spacing w:after="0" w:line="300"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56.459999pt;margin-top:71.999962pt;width:479.2pt;height:685.6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362"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式</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POS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Point Of Sale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的缩写，即销售终端，是一种多功能终端，把它安装在 商户和受理网点中与计算机联成网络，就能实现电子资金自动转帐， 它具有支持消费、预授权、余额查询和转帐等功能，使用起来安全、 快捷、可靠</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一卡通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在同一张卡上实现多种不同功能，通行多种智能设备。一卡通系统集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技术、嵌入系统开发技术、智能卡应用技术、计算机网络技术 等于一体，通过</w:t>
                        </w:r>
                        <w:r>
                          <w:rPr>
                            <w:rFonts w:ascii="Times New Roman" w:hAnsi="Times New Roman" w:cs="Times New Roman" w:eastAsia="Times New Roman" w:hint="default"/>
                            <w:sz w:val="18"/>
                            <w:szCs w:val="18"/>
                          </w:rPr>
                          <w:t>"</w:t>
                        </w:r>
                        <w:r>
                          <w:rPr>
                            <w:rFonts w:ascii="宋体" w:hAnsi="宋体" w:cs="宋体" w:eastAsia="宋体" w:hint="default"/>
                            <w:sz w:val="18"/>
                            <w:szCs w:val="18"/>
                          </w:rPr>
                          <w:t>信息共享、集中控制</w:t>
                        </w:r>
                        <w:r>
                          <w:rPr>
                            <w:rFonts w:ascii="Times New Roman" w:hAnsi="Times New Roman" w:cs="Times New Roman" w:eastAsia="Times New Roman" w:hint="default"/>
                            <w:sz w:val="18"/>
                            <w:szCs w:val="18"/>
                          </w:rPr>
                          <w:t>"</w:t>
                        </w:r>
                        <w:r>
                          <w:rPr>
                            <w:rFonts w:ascii="宋体" w:hAnsi="宋体" w:cs="宋体" w:eastAsia="宋体" w:hint="default"/>
                            <w:sz w:val="18"/>
                            <w:szCs w:val="18"/>
                          </w:rPr>
                          <w:t>实现某一区域的智能化管理。 </w:t>
                        </w:r>
                        <w:r>
                          <w:rPr>
                            <w:rFonts w:ascii="宋体" w:hAnsi="宋体" w:cs="宋体" w:eastAsia="宋体" w:hint="default"/>
                            <w:spacing w:val="-2"/>
                            <w:sz w:val="18"/>
                            <w:szCs w:val="18"/>
                          </w:rPr>
                          <w:t>广泛应用于校园，企事业，城市等领域。随着技术发展，介质卡片已</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卡发展至及手机卡等多种实现形式</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校园一卡通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一卡通系统在校园内的应用形态，实现学生、教师及职工的</w:t>
                        </w:r>
                        <w:r>
                          <w:rPr>
                            <w:rFonts w:ascii="Times New Roman" w:hAnsi="Times New Roman" w:cs="Times New Roman" w:eastAsia="Times New Roman" w:hint="default"/>
                            <w:sz w:val="18"/>
                            <w:szCs w:val="18"/>
                          </w:rPr>
                          <w:t>"</w:t>
                        </w:r>
                        <w:r>
                          <w:rPr>
                            <w:rFonts w:ascii="宋体" w:hAnsi="宋体" w:cs="宋体" w:eastAsia="宋体" w:hint="default"/>
                            <w:sz w:val="18"/>
                            <w:szCs w:val="18"/>
                          </w:rPr>
                          <w:t>一卡在 手，走遍校园，一卡通用，一卡多用</w:t>
                        </w:r>
                        <w:r>
                          <w:rPr>
                            <w:rFonts w:ascii="Times New Roman" w:hAnsi="Times New Roman" w:cs="Times New Roman" w:eastAsia="Times New Roman" w:hint="default"/>
                            <w:sz w:val="18"/>
                            <w:szCs w:val="18"/>
                          </w:rPr>
                          <w:t>"</w:t>
                        </w:r>
                      </w:p>
                    </w:tc>
                  </w:tr>
                  <w:tr>
                    <w:trPr>
                      <w:trHeight w:val="258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数字化校园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是校园信息化建设的高级阶段，以数字化信息和网络为基础，在计算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机和网络技术上建立起来的对教学、科研、管理、技术服务、生活服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务等校园信息的收集、处理、整合、存储、传输和应用，使数字资源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得到充分优化。利用一种虚拟教育环境，通过实现从环境、资源到应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用的全部数字化，在传统校园基础上构建一个数字空间，以拓展现实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校园的时间和空间维度，提升传统校园的运行效率，扩展传统校园的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业务功能，最终实现教育过程的全面信息化，从而达到提高管理水平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和效率的目的</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完美校园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新开普电子股份有限公司旗下平台软件，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完美校园</w:t>
                        </w:r>
                        <w:r>
                          <w:rPr>
                            <w:rFonts w:ascii="Times New Roman" w:hAnsi="Times New Roman" w:cs="Times New Roman" w:eastAsia="Times New Roman" w:hint="default"/>
                            <w:sz w:val="18"/>
                            <w:szCs w:val="18"/>
                          </w:rPr>
                          <w:t>"</w:t>
                        </w:r>
                        <w:r>
                          <w:rPr>
                            <w:rFonts w:ascii="宋体" w:hAnsi="宋体" w:cs="宋体" w:eastAsia="宋体" w:hint="default"/>
                            <w:sz w:val="18"/>
                            <w:szCs w:val="18"/>
                          </w:rPr>
                          <w:t>是由原有的面向 高校的移动端产品</w:t>
                        </w:r>
                        <w:r>
                          <w:rPr>
                            <w:rFonts w:ascii="Times New Roman" w:hAnsi="Times New Roman" w:cs="Times New Roman" w:eastAsia="Times New Roman" w:hint="default"/>
                            <w:sz w:val="18"/>
                            <w:szCs w:val="18"/>
                          </w:rPr>
                          <w:t>"</w:t>
                        </w:r>
                        <w:r>
                          <w:rPr>
                            <w:rFonts w:ascii="宋体" w:hAnsi="宋体" w:cs="宋体" w:eastAsia="宋体" w:hint="default"/>
                            <w:sz w:val="18"/>
                            <w:szCs w:val="18"/>
                          </w:rPr>
                          <w:t>玩校</w:t>
                        </w:r>
                        <w:r>
                          <w:rPr>
                            <w:rFonts w:ascii="Times New Roman" w:hAnsi="Times New Roman" w:cs="Times New Roman" w:eastAsia="Times New Roman" w:hint="default"/>
                            <w:sz w:val="18"/>
                            <w:szCs w:val="18"/>
                          </w:rPr>
                          <w:t>"</w:t>
                        </w:r>
                        <w:r>
                          <w:rPr>
                            <w:rFonts w:ascii="宋体" w:hAnsi="宋体" w:cs="宋体" w:eastAsia="宋体" w:hint="default"/>
                            <w:sz w:val="18"/>
                            <w:szCs w:val="18"/>
                          </w:rPr>
                          <w:t>升级而来，基于智慧校园服务平台，在校园 </w:t>
                        </w:r>
                        <w:r>
                          <w:rPr>
                            <w:rFonts w:ascii="宋体" w:hAnsi="宋体" w:cs="宋体" w:eastAsia="宋体" w:hint="default"/>
                            <w:spacing w:val="-2"/>
                            <w:sz w:val="18"/>
                            <w:szCs w:val="18"/>
                          </w:rPr>
                          <w:t>卡、移动支付、学习、生活服务的基础上，增加了人才成长体系，致</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力于与学校共同创造，服务学生</w:t>
                        </w:r>
                        <w:r>
                          <w:rPr>
                            <w:rFonts w:ascii="Times New Roman" w:hAnsi="Times New Roman" w:cs="Times New Roman" w:eastAsia="Times New Roman" w:hint="default"/>
                            <w:sz w:val="18"/>
                            <w:szCs w:val="18"/>
                          </w:rPr>
                          <w:t>"</w:t>
                        </w:r>
                        <w:r>
                          <w:rPr>
                            <w:rFonts w:ascii="宋体" w:hAnsi="宋体" w:cs="宋体" w:eastAsia="宋体" w:hint="default"/>
                            <w:sz w:val="18"/>
                            <w:szCs w:val="18"/>
                          </w:rPr>
                          <w:t>轻松生活、快乐成长</w:t>
                        </w:r>
                        <w:r>
                          <w:rPr>
                            <w:rFonts w:ascii="Times New Roman" w:hAnsi="Times New Roman" w:cs="Times New Roman" w:eastAsia="Times New Roman" w:hint="default"/>
                            <w:sz w:val="18"/>
                            <w:szCs w:val="18"/>
                          </w:rPr>
                          <w:t>"</w:t>
                        </w:r>
                        <w:r>
                          <w:rPr>
                            <w:rFonts w:ascii="宋体" w:hAnsi="宋体" w:cs="宋体" w:eastAsia="宋体" w:hint="default"/>
                            <w:sz w:val="18"/>
                            <w:szCs w:val="18"/>
                          </w:rPr>
                          <w:t>的未来校园高 级形态</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w w:val="100"/>
                            <w:sz w:val="18"/>
                            <w:szCs w:val="18"/>
                          </w:rPr>
                          <w:t>The </w:t>
                        </w:r>
                        <w:r>
                          <w:rPr>
                            <w:rFonts w:ascii="Times New Roman" w:hAnsi="Times New Roman" w:cs="Times New Roman" w:eastAsia="Times New Roman" w:hint="default"/>
                            <w:spacing w:val="-1"/>
                            <w:w w:val="100"/>
                            <w:sz w:val="18"/>
                            <w:szCs w:val="18"/>
                          </w:rPr>
                          <w:t>Internet</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z w:val="18"/>
                            <w:szCs w:val="18"/>
                          </w:rPr>
                          <w:t>of</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5"/>
                            <w:w w:val="99"/>
                            <w:sz w:val="18"/>
                            <w:szCs w:val="18"/>
                          </w:rPr>
                          <w:t>things</w:t>
                        </w:r>
                        <w:r>
                          <w:rPr>
                            <w:rFonts w:ascii="宋体" w:hAnsi="宋体" w:cs="宋体" w:eastAsia="宋体" w:hint="default"/>
                            <w:spacing w:val="-5"/>
                            <w:w w:val="99"/>
                            <w:sz w:val="18"/>
                            <w:szCs w:val="18"/>
                          </w:rPr>
                          <w:t>，即物物相连的互联网，通过射频识别（</w:t>
                        </w:r>
                        <w:r>
                          <w:rPr>
                            <w:rFonts w:ascii="Times New Roman" w:hAnsi="Times New Roman" w:cs="Times New Roman" w:eastAsia="Times New Roman" w:hint="default"/>
                            <w:spacing w:val="-5"/>
                            <w:w w:val="99"/>
                            <w:sz w:val="18"/>
                            <w:szCs w:val="18"/>
                          </w:rPr>
                          <w:t>RFID</w:t>
                        </w:r>
                        <w:r>
                          <w:rPr>
                            <w:rFonts w:ascii="宋体" w:hAnsi="宋体" w:cs="宋体" w:eastAsia="宋体" w:hint="default"/>
                            <w:spacing w:val="-5"/>
                            <w:w w:val="99"/>
                            <w:sz w:val="18"/>
                            <w:szCs w:val="18"/>
                          </w:rPr>
                          <w:t>）</w:t>
                        </w:r>
                        <w:r>
                          <w:rPr>
                            <w:rFonts w:ascii="宋体" w:hAnsi="宋体" w:cs="宋体" w:eastAsia="宋体" w:hint="default"/>
                            <w:spacing w:val="-78"/>
                            <w:w w:val="99"/>
                            <w:sz w:val="18"/>
                            <w:szCs w:val="18"/>
                          </w:rPr>
                          <w:t> </w:t>
                        </w:r>
                        <w:r>
                          <w:rPr>
                            <w:rFonts w:ascii="宋体" w:hAnsi="宋体" w:cs="宋体" w:eastAsia="宋体" w:hint="default"/>
                            <w:spacing w:val="-2"/>
                            <w:sz w:val="18"/>
                            <w:szCs w:val="18"/>
                          </w:rPr>
                          <w:t>红外感应器、全球定位系统、激光扫描器等信息传感设备，按约定的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协议，把任何物体与互联网相连接，进行信息交换和通信，以实现对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物体的智能化识别、定位、跟踪、监控和管理的一种网络</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智慧校园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数字化校园结合物联网技术所形成的高端校园信息化形态</w:t>
                        </w:r>
                      </w:p>
                    </w:tc>
                  </w:tr>
                  <w:tr>
                    <w:trPr>
                      <w:trHeight w:val="196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指充分借助物联网、传感网，运用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宋体" w:hAnsi="宋体" w:cs="宋体" w:eastAsia="宋体" w:hint="default"/>
                            <w:sz w:val="18"/>
                            <w:szCs w:val="18"/>
                          </w:rPr>
                          <w:t>、信息技术等，使城市的关 </w:t>
                        </w:r>
                        <w:r>
                          <w:rPr>
                            <w:rFonts w:ascii="宋体" w:hAnsi="宋体" w:cs="宋体" w:eastAsia="宋体" w:hint="default"/>
                            <w:spacing w:val="-2"/>
                            <w:sz w:val="18"/>
                            <w:szCs w:val="18"/>
                          </w:rPr>
                          <w:t>键基础设施通过组成服务，使城市的服务更有效，为市民提供人与社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会、人与人的和谐共处，涉及到智能楼宇、智能家居、路网监控、智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能医院等数字生活等诸多领域，构建城市发展的智慧环境，形成基于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海量信息和智能过滤处理的新的生活、产业发展、社会管理等模式， 面向未来构建全新的城市形态</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移动通信和互联网二者结合起来，成为一体，是一种通过智能移动终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端，采用移动无线通信方式获取业务和服务的新兴业态，包含终端、 软件和应用三个层面。</w:t>
                        </w:r>
                      </w:p>
                    </w:tc>
                  </w:tr>
                  <w:tr>
                    <w:trPr>
                      <w:trHeight w:val="67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卡又称为芯片银行卡，是以芯片作为介质的银行卡。芯片卡 </w:t>
                        </w:r>
                        <w:r>
                          <w:rPr>
                            <w:rFonts w:ascii="宋体" w:hAnsi="宋体" w:cs="宋体" w:eastAsia="宋体" w:hint="default"/>
                            <w:spacing w:val="-2"/>
                            <w:sz w:val="18"/>
                            <w:szCs w:val="18"/>
                          </w:rPr>
                          <w:t>容量大，可以存储密钥、数字证书、指纹等信息，其工作原理类似于</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44"/>
        <w:ind w:left="0" w:right="171" w:firstLine="0"/>
        <w:jc w:val="right"/>
        <w:rPr>
          <w:rFonts w:ascii="宋体" w:hAnsi="宋体" w:cs="宋体" w:eastAsia="宋体" w:hint="default"/>
          <w:sz w:val="18"/>
          <w:szCs w:val="18"/>
        </w:rPr>
      </w:pPr>
      <w:r>
        <w:rPr/>
        <w:pict>
          <v:shape style="position:absolute;margin-left:56.459999pt;margin-top:-121.568047pt;width:479.2pt;height:467.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362"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2"/>
                            <w:sz w:val="18"/>
                            <w:szCs w:val="18"/>
                          </w:rPr>
                          <w:t>微型计算机，能够同时处理多种功能，为持卡人提供一卡多用的便利</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NFC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Near Field Communication</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缩写，即近距离无线通讯技术。是一种短距</w:t>
                        </w:r>
                        <w:r>
                          <w:rPr>
                            <w:rFonts w:ascii="宋体" w:hAnsi="宋体" w:cs="宋体" w:eastAsia="宋体" w:hint="default"/>
                            <w:sz w:val="18"/>
                            <w:szCs w:val="18"/>
                          </w:rPr>
                          <w:t> </w:t>
                        </w:r>
                        <w:r>
                          <w:rPr>
                            <w:rFonts w:ascii="宋体" w:hAnsi="宋体" w:cs="宋体" w:eastAsia="宋体" w:hint="default"/>
                            <w:spacing w:val="-2"/>
                            <w:sz w:val="18"/>
                            <w:szCs w:val="18"/>
                          </w:rPr>
                          <w:t>离的高频无线通信技术，允许电子设备之间进行非接触式点对点数据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传输</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SP-TSM</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面向智能卡应用服务提供方，基于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SEI-TSM/MNO-TSM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动态划分多 </w:t>
                        </w:r>
                        <w:r>
                          <w:rPr>
                            <w:rFonts w:ascii="宋体" w:hAnsi="宋体" w:cs="宋体" w:eastAsia="宋体" w:hint="default"/>
                            <w:spacing w:val="-2"/>
                            <w:sz w:val="18"/>
                            <w:szCs w:val="18"/>
                          </w:rPr>
                          <w:t>功能智能卡片安全空间，提供应用加载、安装、锁定、解锁、个人化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及删除等应用生命周期管理服务</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UI</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UI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User</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Interface</w:t>
                        </w:r>
                        <w:r>
                          <w:rPr>
                            <w:rFonts w:ascii="宋体" w:hAnsi="宋体" w:cs="宋体" w:eastAsia="宋体" w:hint="default"/>
                            <w:sz w:val="18"/>
                            <w:szCs w:val="18"/>
                          </w:rPr>
                          <w:t>（用户界面）的简称。泛指用户软件的操作界面 </w:t>
                        </w:r>
                        <w:r>
                          <w:rPr>
                            <w:rFonts w:ascii="Times New Roman" w:hAnsi="Times New Roman" w:cs="Times New Roman" w:eastAsia="Times New Roman" w:hint="default"/>
                            <w:sz w:val="18"/>
                            <w:szCs w:val="18"/>
                          </w:rPr>
                          <w:t>UI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设计主要指界面的样式，美观程度</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UE</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用户体验（</w:t>
                        </w:r>
                        <w:r>
                          <w:rPr>
                            <w:rFonts w:ascii="Times New Roman" w:hAnsi="Times New Roman" w:cs="Times New Roman" w:eastAsia="Times New Roman" w:hint="default"/>
                            <w:sz w:val="18"/>
                            <w:szCs w:val="18"/>
                          </w:rPr>
                          <w:t>User Experience</w:t>
                        </w:r>
                        <w:r>
                          <w:rPr>
                            <w:rFonts w:ascii="宋体" w:hAnsi="宋体" w:cs="宋体" w:eastAsia="宋体" w:hint="default"/>
                            <w:sz w:val="18"/>
                            <w:szCs w:val="18"/>
                          </w:rPr>
                          <w:t>，简称 </w:t>
                        </w:r>
                        <w:r>
                          <w:rPr>
                            <w:rFonts w:ascii="Times New Roman" w:hAnsi="Times New Roman" w:cs="Times New Roman" w:eastAsia="Times New Roman" w:hint="default"/>
                            <w:sz w:val="18"/>
                            <w:szCs w:val="18"/>
                          </w:rPr>
                          <w:t>UX </w:t>
                        </w:r>
                        <w:r>
                          <w:rPr>
                            <w:rFonts w:ascii="宋体" w:hAnsi="宋体" w:cs="宋体" w:eastAsia="宋体" w:hint="default"/>
                            <w:sz w:val="18"/>
                            <w:szCs w:val="18"/>
                          </w:rPr>
                          <w:t>或</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UE</w:t>
                        </w:r>
                        <w:r>
                          <w:rPr>
                            <w:rFonts w:ascii="宋体" w:hAnsi="宋体" w:cs="宋体" w:eastAsia="宋体" w:hint="default"/>
                            <w:sz w:val="18"/>
                            <w:szCs w:val="18"/>
                          </w:rPr>
                          <w:t>）是一种纯主观的在用 户使用一个产品（服务）的过程中建立起来的心理感受</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APP/</w:t>
                        </w:r>
                        <w:r>
                          <w:rPr>
                            <w:rFonts w:ascii="宋体" w:hAnsi="宋体" w:cs="宋体" w:eastAsia="宋体" w:hint="default"/>
                            <w:sz w:val="18"/>
                            <w:szCs w:val="18"/>
                          </w:rPr>
                          <w:t>移动应用</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运行在智能手机、平板电脑等移动终端上的应用程序</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Software-as-a-Service</w:t>
                        </w:r>
                        <w:r>
                          <w:rPr>
                            <w:rFonts w:ascii="宋体" w:hAnsi="宋体" w:cs="宋体" w:eastAsia="宋体" w:hint="default"/>
                            <w:spacing w:val="-1"/>
                            <w:sz w:val="18"/>
                            <w:szCs w:val="18"/>
                          </w:rPr>
                          <w:t>（软件即服务）的简称，它是一种通过互联网提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供软件服务的模式，软件厂商将应用软件统一部署在自己的服务器 </w:t>
                        </w:r>
                        <w:r>
                          <w:rPr>
                            <w:rFonts w:ascii="宋体" w:hAnsi="宋体" w:cs="宋体" w:eastAsia="宋体" w:hint="default"/>
                            <w:spacing w:val="-2"/>
                            <w:sz w:val="18"/>
                            <w:szCs w:val="18"/>
                          </w:rPr>
                          <w:t>上，客户可以根据自己实际需求，通过互联网向软件厂商定购和获得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所需的应用软件服务，并按定购的服务多少和时间长短向软件厂商支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付相关费用</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ITSS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信息技术服务标准，是在工业和信息化部、国家标准化委的领导和支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7"/>
                            <w:sz w:val="18"/>
                            <w:szCs w:val="18"/>
                          </w:rPr>
                          <w:t>持下，由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ITSS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工作组研制的一套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服务领域的标准库和一套提供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服务的方法论。</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133"/>
        <w:jc w:val="left"/>
        <w:rPr>
          <w:b w:val="0"/>
          <w:bCs w:val="0"/>
        </w:rPr>
      </w:pPr>
      <w:bookmarkStart w:name="_TOC_250010"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33"/>
        <w:jc w:val="left"/>
        <w:rPr>
          <w:b w:val="0"/>
          <w:bCs w:val="0"/>
        </w:rPr>
      </w:pPr>
      <w:r>
        <w:rPr/>
        <w:pict>
          <v:shape style="position:absolute;margin-left:138pt;margin-top:114.735939pt;width:396.9pt;height:19.6pt;mso-position-horizontal-relative:page;mso-position-vertical-relative:paragraph;z-index:-122377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新开普</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300248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新开普</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Newcapec Electronics Co.,</w:t>
            </w:r>
            <w:r>
              <w:rPr>
                <w:rFonts w:ascii="Times New Roman"/>
                <w:spacing w:val="-10"/>
                <w:sz w:val="18"/>
              </w:rPr>
              <w:t> </w:t>
            </w:r>
            <w:r>
              <w:rPr>
                <w:rFonts w:ascii="Times New Roman"/>
                <w:sz w:val="18"/>
              </w:rPr>
              <w:t>Ltd.</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Newcapec</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杨维国</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http://www.newcapec.com.cn/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zqswb@newcapec.net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3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赵鑫</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郑州市高新技术产业开发区迎春街</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0371-56599716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huamengyang@newcapec.net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zhaoxin@newcapec.net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33"/>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right="133"/>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号新黄浦金融大厦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陈勇波，张文雪</w:t>
            </w:r>
          </w:p>
        </w:tc>
      </w:tr>
    </w:tbl>
    <w:p>
      <w:pPr>
        <w:spacing w:line="240" w:lineRule="auto" w:before="6"/>
        <w:rPr>
          <w:rFonts w:ascii="宋体" w:hAnsi="宋体" w:cs="宋体" w:eastAsia="宋体" w:hint="default"/>
          <w:sz w:val="6"/>
          <w:szCs w:val="6"/>
        </w:rPr>
      </w:pPr>
    </w:p>
    <w:p>
      <w:pPr>
        <w:spacing w:before="44"/>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240" w:lineRule="auto" w:before="12"/>
        <w:rPr>
          <w:rFonts w:ascii="宋体" w:hAnsi="宋体" w:cs="宋体" w:eastAsia="宋体" w:hint="default"/>
          <w:sz w:val="20"/>
          <w:szCs w:val="20"/>
        </w:rPr>
      </w:pPr>
    </w:p>
    <w:p>
      <w:pPr>
        <w:spacing w:before="0"/>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南京市江东中路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张睿、封燕</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6"/>
        <w:rPr>
          <w:rFonts w:ascii="宋体" w:hAnsi="宋体" w:cs="宋体" w:eastAsia="宋体" w:hint="default"/>
          <w:sz w:val="6"/>
          <w:szCs w:val="6"/>
        </w:rPr>
      </w:pPr>
    </w:p>
    <w:p>
      <w:pPr>
        <w:spacing w:before="44"/>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line="240" w:lineRule="auto" w:before="10"/>
        <w:rPr>
          <w:rFonts w:ascii="宋体" w:hAnsi="宋体" w:cs="宋体" w:eastAsia="宋体" w:hint="default"/>
          <w:sz w:val="20"/>
          <w:szCs w:val="20"/>
        </w:rPr>
      </w:pPr>
    </w:p>
    <w:p>
      <w:pPr>
        <w:spacing w:before="0"/>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7"/>
        <w:ind w:right="133"/>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32"/>
          <w:szCs w:val="32"/>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line="240" w:lineRule="auto" w:before="12"/>
        <w:rPr>
          <w:rFonts w:ascii="宋体" w:hAnsi="宋体" w:cs="宋体" w:eastAsia="宋体" w:hint="default"/>
          <w:sz w:val="20"/>
          <w:szCs w:val="20"/>
        </w:rPr>
      </w:pPr>
    </w:p>
    <w:p>
      <w:pPr>
        <w:spacing w:before="0"/>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769,619,720.03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683,488,129.76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12.60%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510,443,267.47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119,671,217.16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84,850,220.15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41.04%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60,401,993.08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114,225,842.90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80,581,131.49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41.75%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60,222,958.18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65,411,485.56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140,431,576.89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-53.42%</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78,585,051.42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32.14%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32.14%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9.57%</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9.75%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9.86%</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2,038,092,539.69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1,814,313,795.60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12.33%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1,365,338,232.95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1,361,604,158.46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1,198,951,237.06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13.57%</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809,154,878.76</w:t>
            </w:r>
          </w:p>
        </w:tc>
      </w:tr>
    </w:tbl>
    <w:p>
      <w:pPr>
        <w:spacing w:line="240" w:lineRule="auto" w:before="2"/>
        <w:rPr>
          <w:rFonts w:ascii="宋体" w:hAnsi="宋体" w:cs="宋体" w:eastAsia="宋体" w:hint="default"/>
          <w:sz w:val="18"/>
          <w:szCs w:val="18"/>
        </w:rPr>
      </w:pPr>
    </w:p>
    <w:p>
      <w:pPr>
        <w:pStyle w:val="Heading2"/>
        <w:spacing w:line="240" w:lineRule="auto" w:before="26"/>
        <w:ind w:right="133"/>
        <w:jc w:val="left"/>
        <w:rPr>
          <w:b w:val="0"/>
          <w:bCs w:val="0"/>
        </w:rPr>
      </w:pP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107,355,265.33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163,654,058.20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155,629,543.55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342,980,852.95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2,699,074.49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19,389,359.28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24,153,937.73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73,428,845.66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2,274,205.51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18,765,067.15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23,352,686.86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69,833,883.38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-81,051,206.82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-34,312,896.07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-18,897,577.71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199,673,166.16</w:t>
            </w:r>
          </w:p>
        </w:tc>
      </w:tr>
    </w:tbl>
    <w:p>
      <w:pPr>
        <w:spacing w:line="240" w:lineRule="auto" w:before="6"/>
        <w:rPr>
          <w:rFonts w:ascii="宋体" w:hAnsi="宋体" w:cs="宋体" w:eastAsia="宋体" w:hint="default"/>
          <w:sz w:val="6"/>
          <w:szCs w:val="6"/>
        </w:rPr>
      </w:pPr>
    </w:p>
    <w:p>
      <w:pPr>
        <w:spacing w:before="44"/>
        <w:ind w:left="154" w:right="13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line="240" w:lineRule="auto" w:before="12"/>
        <w:rPr>
          <w:rFonts w:ascii="宋体" w:hAnsi="宋体" w:cs="宋体" w:eastAsia="宋体" w:hint="default"/>
          <w:sz w:val="20"/>
          <w:szCs w:val="20"/>
        </w:rPr>
      </w:pPr>
    </w:p>
    <w:p>
      <w:pPr>
        <w:spacing w:before="0"/>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133"/>
        <w:jc w:val="left"/>
        <w:rPr>
          <w:b w:val="0"/>
          <w:bCs w:val="0"/>
        </w:rPr>
      </w:pPr>
      <w:r>
        <w:rPr/>
        <w:t>七、境内外会计准则下会计数据差异</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4" w:right="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line="489" w:lineRule="auto" w:before="0"/>
        <w:ind w:left="154" w:right="16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22"/>
          <w:szCs w:val="22"/>
        </w:rPr>
      </w:pPr>
    </w:p>
    <w:p>
      <w:pPr>
        <w:pStyle w:val="Heading2"/>
        <w:spacing w:line="240" w:lineRule="auto"/>
        <w:ind w:right="133"/>
        <w:jc w:val="left"/>
        <w:rPr>
          <w:b w:val="0"/>
          <w:bCs w:val="0"/>
        </w:rPr>
      </w:pPr>
      <w:r>
        <w:rPr/>
        <w:t>八、非经常性损益项目及金额</w:t>
      </w:r>
      <w:r>
        <w:rPr>
          <w:b w:val="0"/>
          <w:bCs w:val="0"/>
        </w:rPr>
      </w:r>
    </w:p>
    <w:p>
      <w:pPr>
        <w:spacing w:line="240" w:lineRule="auto" w:before="0"/>
        <w:rPr>
          <w:rFonts w:ascii="宋体" w:hAnsi="宋体" w:cs="宋体" w:eastAsia="宋体" w:hint="default"/>
          <w:b/>
          <w:bCs/>
          <w:sz w:val="24"/>
          <w:szCs w:val="24"/>
        </w:rPr>
      </w:pPr>
    </w:p>
    <w:p>
      <w:pPr>
        <w:spacing w:before="189"/>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0"/>
          <w:szCs w:val="10"/>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-106,446.49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-67,928.84</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-39,662.57</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3,751,268.00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4,343,229.85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1,884,156.54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除增值税软件退税外 的政府补助</w:t>
            </w:r>
          </w:p>
        </w:tc>
      </w:tr>
      <w:tr>
        <w:trPr>
          <w:trHeight w:val="162" w:hRule="exact"/>
        </w:trPr>
        <w:tc>
          <w:tcPr>
            <w:tcW w:w="32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2,868,931.51</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募集资金购买理财产 品利息收入</w:t>
            </w:r>
          </w:p>
        </w:tc>
      </w:tr>
      <w:tr>
        <w:trPr>
          <w:trHeight w:val="391"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9"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19"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-808,531.04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-71,046.93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1298"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值业务外，持有交易性金融资产、交易性 金融负债产生的公允价值变动损益，以及 处置交易性金融资产、交易性金融负债和 可供出售金融资产取得的投资收益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40,938.08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-1,087,083.83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-990,404.09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1,899,768.20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983,203.66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746,919.53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-23,226.16</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126,113.18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-110,249.90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5,445,374.26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4,269,088.66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179,034.90</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240" w:lineRule="auto" w:before="8"/>
        <w:rPr>
          <w:rFonts w:ascii="宋体" w:hAnsi="宋体" w:cs="宋体" w:eastAsia="宋体" w:hint="default"/>
          <w:sz w:val="16"/>
          <w:szCs w:val="16"/>
        </w:rPr>
      </w:pPr>
    </w:p>
    <w:p>
      <w:pPr>
        <w:spacing w:line="451" w:lineRule="auto" w:before="0"/>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115"/>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9"/>
          <w:szCs w:val="19"/>
        </w:rPr>
      </w:pPr>
    </w:p>
    <w:p>
      <w:pPr>
        <w:spacing w:line="451" w:lineRule="auto" w:before="0"/>
        <w:ind w:left="154" w:right="134"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451"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28" w:right="3484"/>
        <w:jc w:val="center"/>
        <w:rPr>
          <w:b w:val="0"/>
          <w:bCs w:val="0"/>
        </w:rPr>
      </w:pPr>
      <w:bookmarkStart w:name="_TOC_250009"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02"/>
        <w:jc w:val="left"/>
        <w:rPr>
          <w:b w:val="0"/>
          <w:bCs w:val="0"/>
        </w:rPr>
      </w:pPr>
      <w:r>
        <w:rPr/>
        <w:t>一、报告期内公司从事的主要业务</w:t>
      </w:r>
      <w:r>
        <w:rPr>
          <w:b w:val="0"/>
          <w:bCs w:val="0"/>
        </w:rPr>
      </w:r>
    </w:p>
    <w:p>
      <w:pPr>
        <w:spacing w:line="240" w:lineRule="auto" w:before="7"/>
        <w:rPr>
          <w:rFonts w:ascii="宋体" w:hAnsi="宋体" w:cs="宋体" w:eastAsia="宋体" w:hint="default"/>
          <w:b/>
          <w:bCs/>
          <w:sz w:val="32"/>
          <w:szCs w:val="32"/>
        </w:rPr>
      </w:pPr>
    </w:p>
    <w:p>
      <w:pPr>
        <w:spacing w:line="518" w:lineRule="auto" w:before="0"/>
        <w:ind w:left="153" w:right="677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10" w:lineRule="auto" w:before="36"/>
        <w:ind w:right="210" w:firstLine="420"/>
        <w:jc w:val="both"/>
      </w:pPr>
      <w:r>
        <w:rPr>
          <w:spacing w:val="-1"/>
        </w:rPr>
        <w:t>报告期内，公司的主营业务是依托信息化手段，为学校提供集智慧校园、智慧教育及校园移动互联服</w:t>
      </w:r>
      <w:r>
        <w:rPr/>
        <w:t> </w:t>
      </w:r>
      <w:r>
        <w:rPr>
          <w:spacing w:val="-1"/>
        </w:rPr>
        <w:t>务在内的综合解决方案。成长业务是为除学校以外的其他行业客户（包括企事业、城市与金融等）提供的</w:t>
      </w:r>
      <w:r>
        <w:rPr>
          <w:spacing w:val="-82"/>
        </w:rPr>
        <w:t> </w:t>
      </w:r>
      <w:r>
        <w:rPr>
          <w:spacing w:val="-82"/>
        </w:rPr>
      </w:r>
      <w:r>
        <w:rPr/>
        <w:t>信息化综合解决方案。公司是一家以学校信息化为基础，多行业应用和覆盖的行业信息化企业。</w:t>
      </w:r>
    </w:p>
    <w:p>
      <w:pPr>
        <w:pStyle w:val="BodyText"/>
        <w:spacing w:line="405" w:lineRule="auto" w:before="82"/>
        <w:ind w:left="153" w:right="209" w:firstLine="420"/>
        <w:jc w:val="both"/>
      </w:pPr>
      <w:r>
        <w:rPr>
          <w:spacing w:val="-1"/>
        </w:rPr>
        <w:t>其中，智慧校园主要指服务于校园管理职能的信息化业务，公司提供的智慧校园产品主要包括校园一</w:t>
      </w:r>
      <w:r>
        <w:rPr/>
        <w:t> </w:t>
      </w:r>
      <w:r>
        <w:rPr>
          <w:spacing w:val="-1"/>
        </w:rPr>
        <w:t>卡通、数字化校园平台及应用、教务管理系统、在线缴费平台等。智慧教育是指在智慧校园的基础上，开</w:t>
      </w:r>
      <w:r>
        <w:rPr>
          <w:spacing w:val="-83"/>
        </w:rPr>
        <w:t> </w:t>
      </w:r>
      <w:r>
        <w:rPr>
          <w:spacing w:val="-83"/>
        </w:rPr>
      </w:r>
      <w:r>
        <w:rPr>
          <w:spacing w:val="-4"/>
          <w:w w:val="99"/>
        </w:rPr>
        <w:t>发推广服务于教学职能的智能化教学系统和课程服务体系。校园移动互联服务指的是，通过</w:t>
      </w:r>
      <w:r>
        <w:rPr>
          <w:rFonts w:ascii="Times New Roman" w:hAnsi="Times New Roman" w:cs="Times New Roman" w:eastAsia="Times New Roman" w:hint="default"/>
          <w:spacing w:val="-4"/>
          <w:w w:val="99"/>
        </w:rPr>
        <w:t>“</w:t>
      </w:r>
      <w:r>
        <w:rPr>
          <w:spacing w:val="-4"/>
          <w:w w:val="99"/>
        </w:rPr>
        <w:t>完美校园</w:t>
      </w:r>
      <w:r>
        <w:rPr>
          <w:rFonts w:ascii="Times New Roman" w:hAnsi="Times New Roman" w:cs="Times New Roman" w:eastAsia="Times New Roman" w:hint="default"/>
          <w:spacing w:val="-4"/>
          <w:w w:val="99"/>
        </w:rPr>
        <w:t>”APP</w:t>
      </w:r>
      <w:r>
        <w:rPr>
          <w:rFonts w:ascii="Times New Roman" w:hAnsi="Times New Roman" w:cs="Times New Roman" w:eastAsia="Times New Roman" w:hint="default"/>
          <w:spacing w:val="-36"/>
          <w:w w:val="99"/>
        </w:rPr>
        <w:t> </w:t>
      </w:r>
      <w:r>
        <w:rPr>
          <w:spacing w:val="-1"/>
        </w:rPr>
        <w:t>及公众号，打造的基于学校线下解决方案的线上服务业务。其他行业的综合解决方案业务是指凭借着公司</w:t>
      </w:r>
      <w:r>
        <w:rPr>
          <w:spacing w:val="-81"/>
        </w:rPr>
        <w:t> </w:t>
      </w:r>
      <w:r>
        <w:rPr>
          <w:spacing w:val="-81"/>
        </w:rPr>
      </w:r>
      <w:r>
        <w:rPr>
          <w:spacing w:val="-1"/>
        </w:rPr>
        <w:t>多年积累下来的技术、能力与多行业的适配性，对企事业、城市金融等不同行业应用领域进行延伸及覆盖</w:t>
      </w:r>
      <w:r>
        <w:rPr>
          <w:spacing w:val="-83"/>
        </w:rPr>
        <w:t> </w:t>
      </w:r>
      <w:r>
        <w:rPr>
          <w:spacing w:val="-83"/>
        </w:rPr>
      </w:r>
      <w:r>
        <w:rPr/>
        <w:t>的一项信息化服务业务。</w:t>
      </w:r>
    </w:p>
    <w:p>
      <w:pPr>
        <w:pStyle w:val="BodyText"/>
        <w:spacing w:line="240" w:lineRule="auto" w:before="89"/>
        <w:ind w:left="574" w:right="102"/>
        <w:jc w:val="left"/>
      </w:pPr>
      <w:r>
        <w:rPr>
          <w:rFonts w:ascii="Times New Roman" w:hAnsi="Times New Roman" w:cs="Times New Roman" w:eastAsia="Times New Roman" w:hint="default"/>
        </w:rPr>
        <w:t>1</w:t>
      </w:r>
      <w:r>
        <w:rPr/>
        <w:t>、主营业务</w:t>
      </w:r>
    </w:p>
    <w:p>
      <w:pPr>
        <w:spacing w:line="240" w:lineRule="auto" w:before="6"/>
        <w:rPr>
          <w:rFonts w:ascii="宋体" w:hAnsi="宋体" w:cs="宋体" w:eastAsia="宋体" w:hint="default"/>
          <w:sz w:val="16"/>
          <w:szCs w:val="16"/>
        </w:rPr>
      </w:pPr>
    </w:p>
    <w:p>
      <w:pPr>
        <w:pStyle w:val="BodyText"/>
        <w:spacing w:line="405" w:lineRule="auto" w:before="0"/>
        <w:ind w:right="207" w:firstLine="420"/>
        <w:jc w:val="both"/>
      </w:pPr>
      <w:r>
        <w:rPr/>
        <w:t>（</w:t>
      </w:r>
      <w:r>
        <w:rPr>
          <w:rFonts w:ascii="Times New Roman" w:hAnsi="Times New Roman" w:cs="Times New Roman" w:eastAsia="Times New Roman" w:hint="default"/>
        </w:rPr>
        <w:t>1</w:t>
      </w:r>
      <w:r>
        <w:rPr/>
        <w:t>）校园管理信息化即智慧校园业务领域：公司以强大的研发能力、不断完善的产品线、遍布全国</w:t>
      </w:r>
      <w:r>
        <w:rPr>
          <w:spacing w:val="2"/>
        </w:rPr>
        <w:t> </w:t>
      </w:r>
      <w:r>
        <w:rPr>
          <w:spacing w:val="-1"/>
        </w:rPr>
        <w:t>办事处提供的贴身服务，在此领域业已建立起了强大的竞争壁垒，有极强的竞争优势。公司从最初创立时</w:t>
      </w:r>
      <w:r>
        <w:rPr>
          <w:spacing w:val="-83"/>
        </w:rPr>
        <w:t> </w:t>
      </w:r>
      <w:r>
        <w:rPr>
          <w:spacing w:val="-83"/>
        </w:rPr>
      </w:r>
      <w:r>
        <w:rPr>
          <w:spacing w:val="-1"/>
        </w:rPr>
        <w:t>就拥有的校园智能一卡通应用售饭系统出发，逐步紧随一卡通、校园管理信息化内涵拓展的趋势，根据客</w:t>
      </w:r>
      <w:r>
        <w:rPr>
          <w:spacing w:val="-83"/>
        </w:rPr>
        <w:t> </w:t>
      </w:r>
      <w:r>
        <w:rPr>
          <w:spacing w:val="-83"/>
        </w:rPr>
      </w:r>
      <w:r>
        <w:rPr>
          <w:spacing w:val="-1"/>
        </w:rPr>
        <w:t>户的个性化需求陆续开发多种产品，这些产品应用了人脸识别、虚拟卡、扫码付、大数据等技术，目前已</w:t>
      </w:r>
      <w:r>
        <w:rPr>
          <w:spacing w:val="-83"/>
        </w:rPr>
        <w:t> </w:t>
      </w:r>
      <w:r>
        <w:rPr>
          <w:spacing w:val="-83"/>
        </w:rPr>
      </w:r>
      <w:r>
        <w:rPr>
          <w:spacing w:val="-1"/>
        </w:rPr>
        <w:t>经覆盖了校园管理、后勤服务、能源管控、学生服务等校园生活管理领域及教务管理、缴费管理、资产管</w:t>
      </w:r>
      <w:r>
        <w:rPr>
          <w:spacing w:val="-83"/>
        </w:rPr>
        <w:t> </w:t>
      </w:r>
      <w:r>
        <w:rPr>
          <w:spacing w:val="-83"/>
        </w:rPr>
      </w:r>
      <w:r>
        <w:rPr>
          <w:spacing w:val="-1"/>
        </w:rPr>
        <w:t>理等校园工作管理领域。公司通过新客户开拓、现有客户拓展新产品应用及不断升级产品（如，借助移动</w:t>
      </w:r>
      <w:r>
        <w:rPr>
          <w:spacing w:val="-82"/>
        </w:rPr>
        <w:t> </w:t>
      </w:r>
      <w:r>
        <w:rPr>
          <w:spacing w:val="-82"/>
        </w:rPr>
      </w:r>
      <w:r>
        <w:rPr>
          <w:spacing w:val="-1"/>
        </w:rPr>
        <w:t>互联技术由一卡通向一码通升级），满足了学校层出不穷的各类需求，不断增长收入的同时持续扩大市场</w:t>
      </w:r>
      <w:r>
        <w:rPr>
          <w:spacing w:val="-94"/>
        </w:rPr>
        <w:t> </w:t>
      </w:r>
      <w:r>
        <w:rPr>
          <w:spacing w:val="-94"/>
        </w:rPr>
      </w:r>
      <w:r>
        <w:rPr/>
        <w:t>空间。</w:t>
      </w:r>
    </w:p>
    <w:p>
      <w:pPr>
        <w:pStyle w:val="BodyText"/>
        <w:spacing w:line="391" w:lineRule="auto" w:before="86"/>
        <w:ind w:right="102" w:firstLine="420"/>
        <w:jc w:val="left"/>
      </w:pPr>
      <w:r>
        <w:rPr>
          <w:spacing w:val="-2"/>
        </w:rPr>
        <w:t>（</w:t>
      </w:r>
      <w:r>
        <w:rPr>
          <w:rFonts w:ascii="Times New Roman" w:hAnsi="Times New Roman" w:cs="Times New Roman" w:eastAsia="Times New Roman" w:hint="default"/>
          <w:spacing w:val="-2"/>
        </w:rPr>
        <w:t>2</w:t>
      </w:r>
      <w:r>
        <w:rPr>
          <w:spacing w:val="-2"/>
        </w:rPr>
        <w:t>）智慧教育业务领域（智能教学软硬件信息化产品</w:t>
      </w:r>
      <w:r>
        <w:rPr>
          <w:rFonts w:ascii="Times New Roman" w:hAnsi="Times New Roman" w:cs="Times New Roman" w:eastAsia="Times New Roman" w:hint="default"/>
          <w:spacing w:val="-2"/>
        </w:rPr>
        <w:t>+</w:t>
      </w:r>
      <w:r>
        <w:rPr>
          <w:spacing w:val="-2"/>
        </w:rPr>
        <w:t>职业教育服务）：公司依托在高校市场建立起</w:t>
      </w:r>
      <w:r>
        <w:rPr/>
        <w:t> 来的客户资源优势及智能硬件、大数据、云计算等 </w:t>
      </w:r>
      <w:r>
        <w:rPr>
          <w:rFonts w:ascii="Times New Roman" w:hAnsi="Times New Roman" w:cs="Times New Roman" w:eastAsia="Times New Roman" w:hint="default"/>
        </w:rPr>
        <w:t>IT</w:t>
      </w:r>
      <w:r>
        <w:rPr>
          <w:rFonts w:ascii="Times New Roman" w:hAnsi="Times New Roman" w:cs="Times New Roman" w:eastAsia="Times New Roman" w:hint="default"/>
          <w:spacing w:val="40"/>
        </w:rPr>
        <w:t> </w:t>
      </w:r>
      <w:r>
        <w:rPr/>
        <w:t>技术积累及新工科相关的产业背景，开发出针对教 育教学的一系列软硬件产品，并结合公司的职业教育板块，响应国家引进社会力量举办职业教育的号召，</w:t>
      </w:r>
      <w:r>
        <w:rPr>
          <w:spacing w:val="-34"/>
        </w:rPr>
        <w:t> </w:t>
      </w:r>
      <w:r>
        <w:rPr>
          <w:spacing w:val="-34"/>
        </w:rPr>
      </w:r>
      <w:r>
        <w:rPr/>
        <w:t>广泛开展校企合作，为学校提供产品</w:t>
      </w:r>
      <w:r>
        <w:rPr>
          <w:rFonts w:ascii="Times New Roman" w:hAnsi="Times New Roman" w:cs="Times New Roman" w:eastAsia="Times New Roman" w:hint="default"/>
        </w:rPr>
        <w:t>+</w:t>
      </w:r>
      <w:r>
        <w:rPr/>
        <w:t>服务的专业教学解决系统方案。公司多年的实业经验带来的对于职</w:t>
      </w:r>
      <w:r>
        <w:rPr>
          <w:spacing w:val="-57"/>
        </w:rPr>
        <w:t> </w:t>
      </w:r>
      <w:r>
        <w:rPr/>
        <w:t>业人才要求的理解，信息化的应用技术，积累多年的职业教育经验，给学校教学各方面带来了效率上的提</w:t>
      </w:r>
    </w:p>
    <w:p>
      <w:pPr>
        <w:spacing w:after="0" w:line="391"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133"/>
        <w:jc w:val="left"/>
      </w:pPr>
      <w:r>
        <w:rPr/>
        <w:t>升。目前本板块主要聚焦在新工科教育领域。</w:t>
      </w:r>
    </w:p>
    <w:p>
      <w:pPr>
        <w:spacing w:line="240" w:lineRule="auto" w:before="9"/>
        <w:rPr>
          <w:rFonts w:ascii="宋体" w:hAnsi="宋体" w:cs="宋体" w:eastAsia="宋体" w:hint="default"/>
          <w:sz w:val="17"/>
          <w:szCs w:val="17"/>
        </w:rPr>
      </w:pPr>
    </w:p>
    <w:p>
      <w:pPr>
        <w:pStyle w:val="BodyText"/>
        <w:spacing w:line="393" w:lineRule="auto" w:before="0"/>
        <w:ind w:left="153" w:right="146" w:firstLine="420"/>
        <w:jc w:val="both"/>
      </w:pPr>
      <w:r>
        <w:rPr/>
        <w:t>（</w:t>
      </w:r>
      <w:r>
        <w:rPr>
          <w:rFonts w:ascii="Times New Roman" w:hAnsi="Times New Roman" w:cs="Times New Roman" w:eastAsia="Times New Roman" w:hint="default"/>
        </w:rPr>
        <w:t>3</w:t>
      </w:r>
      <w:r>
        <w:rPr/>
        <w:t>）校园移动互联业务：公司依托成熟的高校信息化服务能力和业界领先的一卡通用户数，不断创</w:t>
      </w:r>
      <w:r>
        <w:rPr>
          <w:spacing w:val="2"/>
        </w:rPr>
        <w:t> </w:t>
      </w:r>
      <w:r>
        <w:rPr/>
        <w:t>新服务形式与内容，打造以高校互联网</w:t>
      </w:r>
      <w:r>
        <w:rPr>
          <w:rFonts w:ascii="Times New Roman" w:hAnsi="Times New Roman" w:cs="Times New Roman" w:eastAsia="Times New Roman" w:hint="default"/>
        </w:rPr>
        <w:t>+</w:t>
      </w:r>
      <w:r>
        <w:rPr/>
        <w:t>大学生生活服务、就业服务、金融服务为内容的</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服务</w:t>
      </w:r>
      <w:r>
        <w:rPr>
          <w:spacing w:val="-26"/>
        </w:rPr>
        <w:t> </w:t>
      </w:r>
      <w:r>
        <w:rPr>
          <w:spacing w:val="-1"/>
        </w:rPr>
        <w:t>平台，在提供基于校园的社区服务的同时，通过双边型平台建设，引入优质的社会产品和增值服务，加速</w:t>
      </w:r>
      <w:r>
        <w:rPr>
          <w:spacing w:val="-82"/>
        </w:rPr>
        <w:t> </w:t>
      </w:r>
      <w:r>
        <w:rPr>
          <w:spacing w:val="-82"/>
        </w:rPr>
      </w:r>
      <w:r>
        <w:rPr/>
        <w:t>推进高校、学生与外部资源的链接，助力智慧型校园建设。</w:t>
      </w:r>
    </w:p>
    <w:p>
      <w:pPr>
        <w:pStyle w:val="BodyText"/>
        <w:spacing w:line="398" w:lineRule="auto" w:before="98"/>
        <w:ind w:left="153" w:right="150" w:firstLine="420"/>
        <w:jc w:val="both"/>
      </w:pPr>
      <w:r>
        <w:rPr>
          <w:spacing w:val="-1"/>
        </w:rPr>
        <w:t>凭借如上三个针对学校领域的主营业务的持续耕耘，新开普从校园管理信息化即智慧校园的单应用到</w:t>
      </w:r>
      <w:r>
        <w:rPr/>
        <w:t> </w:t>
      </w:r>
      <w:r>
        <w:rPr>
          <w:spacing w:val="-1"/>
        </w:rPr>
        <w:t>不断增多的多应用，从校园管理信息化到以教学信息化为主要特征的智慧教育，加上校园移动互联业务为</w:t>
      </w:r>
      <w:r>
        <w:rPr>
          <w:spacing w:val="-81"/>
        </w:rPr>
        <w:t> </w:t>
      </w:r>
      <w:r>
        <w:rPr>
          <w:spacing w:val="-81"/>
        </w:rPr>
      </w:r>
      <w:r>
        <w:rPr>
          <w:spacing w:val="-2"/>
        </w:rPr>
        <w:t>线下业务搭建起了线上平台，在学校市场已形成了以客户为中心的智慧校园</w:t>
      </w:r>
      <w:r>
        <w:rPr>
          <w:rFonts w:ascii="Times New Roman" w:hAnsi="Times New Roman" w:cs="Times New Roman" w:eastAsia="Times New Roman" w:hint="default"/>
          <w:spacing w:val="-2"/>
        </w:rPr>
        <w:t>+</w:t>
      </w:r>
      <w:r>
        <w:rPr>
          <w:spacing w:val="-2"/>
        </w:rPr>
        <w:t>智慧教育</w:t>
      </w:r>
      <w:r>
        <w:rPr>
          <w:rFonts w:ascii="Times New Roman" w:hAnsi="Times New Roman" w:cs="Times New Roman" w:eastAsia="Times New Roman" w:hint="default"/>
          <w:spacing w:val="-2"/>
        </w:rPr>
        <w:t>+</w:t>
      </w:r>
      <w:r>
        <w:rPr>
          <w:spacing w:val="-2"/>
        </w:rPr>
        <w:t>移动互联的综合解</w:t>
      </w:r>
      <w:r>
        <w:rPr>
          <w:spacing w:val="-61"/>
        </w:rPr>
        <w:t> </w:t>
      </w:r>
      <w:r>
        <w:rPr>
          <w:spacing w:val="-5"/>
        </w:rPr>
        <w:t>决方案、建立起了以多业务协同一体化为特征的校园产品生态体系，将能够增强客户粘性、不断提高</w:t>
      </w:r>
      <w:r>
        <w:rPr>
          <w:spacing w:val="-54"/>
        </w:rPr>
        <w:t> </w:t>
      </w:r>
      <w:r>
        <w:rPr>
          <w:rFonts w:ascii="Times New Roman" w:hAnsi="Times New Roman" w:cs="Times New Roman" w:eastAsia="Times New Roman" w:hint="default"/>
        </w:rPr>
        <w:t>ARPU</w:t>
      </w:r>
      <w:r>
        <w:rPr>
          <w:rFonts w:ascii="Times New Roman" w:hAnsi="Times New Roman" w:cs="Times New Roman" w:eastAsia="Times New Roman" w:hint="default"/>
          <w:spacing w:val="-1"/>
          <w:w w:val="99"/>
        </w:rPr>
        <w:t> </w:t>
      </w:r>
      <w:r>
        <w:rPr/>
        <w:t>值，取得较快的增长速度，巩固行业领先地位。</w:t>
      </w:r>
    </w:p>
    <w:p>
      <w:pPr>
        <w:pStyle w:val="BodyText"/>
        <w:spacing w:line="240" w:lineRule="auto" w:before="94"/>
        <w:ind w:left="573" w:right="133"/>
        <w:jc w:val="left"/>
      </w:pPr>
      <w:r>
        <w:rPr>
          <w:rFonts w:ascii="Times New Roman" w:hAnsi="Times New Roman" w:cs="Times New Roman" w:eastAsia="Times New Roman" w:hint="default"/>
        </w:rPr>
        <w:t>2</w:t>
      </w:r>
      <w:r>
        <w:rPr/>
        <w:t>、成长业务</w:t>
      </w:r>
    </w:p>
    <w:p>
      <w:pPr>
        <w:spacing w:line="240" w:lineRule="auto" w:before="6"/>
        <w:rPr>
          <w:rFonts w:ascii="宋体" w:hAnsi="宋体" w:cs="宋体" w:eastAsia="宋体" w:hint="default"/>
          <w:sz w:val="16"/>
          <w:szCs w:val="16"/>
        </w:rPr>
      </w:pPr>
    </w:p>
    <w:p>
      <w:pPr>
        <w:pStyle w:val="BodyText"/>
        <w:spacing w:line="398" w:lineRule="auto" w:before="0"/>
        <w:ind w:left="153" w:right="142" w:firstLine="420"/>
        <w:jc w:val="both"/>
      </w:pPr>
      <w:r>
        <w:rPr/>
        <w:t>（</w:t>
      </w:r>
      <w:r>
        <w:rPr>
          <w:rFonts w:ascii="Times New Roman" w:hAnsi="Times New Roman" w:cs="Times New Roman" w:eastAsia="Times New Roman" w:hint="default"/>
        </w:rPr>
        <w:t>1</w:t>
      </w:r>
      <w:r>
        <w:rPr/>
        <w:t>）企事业信息化（智慧企业）业务：公司运用生物识别、云计算、物联网、</w:t>
      </w:r>
      <w:r>
        <w:rPr>
          <w:rFonts w:ascii="Times New Roman" w:hAnsi="Times New Roman" w:cs="Times New Roman" w:eastAsia="Times New Roman" w:hint="default"/>
        </w:rPr>
        <w:t>AI</w:t>
      </w:r>
      <w:r>
        <w:rPr>
          <w:rFonts w:ascii="Times New Roman" w:hAnsi="Times New Roman" w:cs="Times New Roman" w:eastAsia="Times New Roman" w:hint="default"/>
          <w:spacing w:val="16"/>
        </w:rPr>
        <w:t> </w:t>
      </w:r>
      <w:r>
        <w:rPr/>
        <w:t>等新兴信息技术打 造的针对新一代智慧型企业、产业园区、政府机关的信息化系统正在不断拓展市场。随着中国制造</w:t>
      </w:r>
      <w:r>
        <w:rPr>
          <w:spacing w:val="51"/>
        </w:rPr>
        <w:t> </w:t>
      </w:r>
      <w:r>
        <w:rPr>
          <w:rFonts w:ascii="Times New Roman" w:hAnsi="Times New Roman" w:cs="Times New Roman" w:eastAsia="Times New Roman" w:hint="default"/>
        </w:rPr>
        <w:t>2025</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5"/>
        </w:rPr>
        <w:t>计划的实施和推行，大型集团企业及制造业对智慧企业、信息化管理、精细管理、个性化智造等需求增加，</w:t>
      </w:r>
      <w:r>
        <w:rPr>
          <w:spacing w:val="-102"/>
        </w:rPr>
        <w:t> </w:t>
      </w:r>
      <w:r>
        <w:rPr>
          <w:spacing w:val="-102"/>
        </w:rPr>
      </w:r>
      <w:r>
        <w:rPr>
          <w:spacing w:val="3"/>
        </w:rPr>
        <w:t>企事业业务正逐渐从传统的企业一卡通业务转变为企业信息化服务业务，以企业信息化融合和中国制造</w:t>
      </w:r>
      <w:r>
        <w:rPr>
          <w:spacing w:val="-78"/>
        </w:rPr>
        <w:t> </w:t>
      </w:r>
      <w:r>
        <w:rPr>
          <w:spacing w:val="-78"/>
        </w:rPr>
      </w:r>
      <w:r>
        <w:rPr>
          <w:rFonts w:ascii="Times New Roman" w:hAnsi="Times New Roman" w:cs="Times New Roman" w:eastAsia="Times New Roman" w:hint="default"/>
          <w:spacing w:val="-1"/>
        </w:rPr>
        <w:t>2025</w:t>
      </w:r>
      <w:r>
        <w:rPr>
          <w:rFonts w:ascii="Times New Roman" w:hAnsi="Times New Roman" w:cs="Times New Roman" w:eastAsia="Times New Roman" w:hint="default"/>
          <w:spacing w:val="9"/>
        </w:rPr>
        <w:t> </w:t>
      </w:r>
      <w:r>
        <w:rPr>
          <w:spacing w:val="-2"/>
        </w:rPr>
        <w:t>的信息化建设为导向进行企业行业的解决方案设计和整体解决方案的供应，在企业园区安防、人员管</w:t>
      </w:r>
      <w:r>
        <w:rPr>
          <w:spacing w:val="-102"/>
        </w:rPr>
        <w:t> </w:t>
      </w:r>
      <w:r>
        <w:rPr>
          <w:spacing w:val="-102"/>
        </w:rPr>
      </w:r>
      <w:r>
        <w:rPr>
          <w:spacing w:val="-1"/>
        </w:rPr>
        <w:t>理、员工后勤服务、能耗监控分析、企业人员生产效率分析、企业制造等多方面，为企业提供管理运营的</w:t>
      </w:r>
      <w:r>
        <w:rPr>
          <w:spacing w:val="-83"/>
        </w:rPr>
        <w:t> </w:t>
      </w:r>
      <w:r>
        <w:rPr>
          <w:spacing w:val="-83"/>
        </w:rPr>
      </w:r>
      <w:r>
        <w:rPr/>
        <w:t>全方位服务。</w:t>
      </w:r>
    </w:p>
    <w:p>
      <w:pPr>
        <w:pStyle w:val="BodyText"/>
        <w:spacing w:line="400" w:lineRule="auto" w:before="94"/>
        <w:ind w:left="153" w:right="147" w:firstLine="420"/>
        <w:jc w:val="both"/>
      </w:pPr>
      <w:r>
        <w:rPr/>
        <w:t>（</w:t>
      </w:r>
      <w:r>
        <w:rPr>
          <w:rFonts w:ascii="Times New Roman" w:hAnsi="Times New Roman" w:cs="Times New Roman" w:eastAsia="Times New Roman" w:hint="default"/>
        </w:rPr>
        <w:t>2</w:t>
      </w:r>
      <w:r>
        <w:rPr/>
        <w:t>）城市与金融（智慧城市）业务：公司以城市一卡通、行业卡应用交易数据清分清算为服务切入</w:t>
      </w:r>
      <w:r>
        <w:rPr>
          <w:spacing w:val="2"/>
        </w:rPr>
        <w:t> </w:t>
      </w:r>
      <w:r>
        <w:rPr>
          <w:spacing w:val="-1"/>
        </w:rPr>
        <w:t>点，建设覆盖公共交通、公共事业缴费、金融、商业、社保、卫生、旅游、住区、养老等领域的智能支付</w:t>
      </w:r>
      <w:r>
        <w:rPr>
          <w:spacing w:val="-86"/>
        </w:rPr>
        <w:t> </w:t>
      </w:r>
      <w:r>
        <w:rPr>
          <w:spacing w:val="-86"/>
        </w:rPr>
      </w:r>
      <w:r>
        <w:rPr>
          <w:spacing w:val="-1"/>
        </w:rPr>
        <w:t>应用，通过二维码、扫码付等移动支付技术为市民便捷城市生活服务，同时基于大数据技术，对沉淀的大</w:t>
      </w:r>
      <w:r>
        <w:rPr>
          <w:spacing w:val="-82"/>
        </w:rPr>
        <w:t> </w:t>
      </w:r>
      <w:r>
        <w:rPr>
          <w:spacing w:val="-82"/>
        </w:rPr>
      </w:r>
      <w:r>
        <w:rPr/>
        <w:t>量用户数据进行深度挖掘，不断完善产品和服务。</w:t>
      </w:r>
    </w:p>
    <w:p>
      <w:pPr>
        <w:pStyle w:val="BodyText"/>
        <w:spacing w:line="398" w:lineRule="auto" w:before="91"/>
        <w:ind w:left="153" w:right="147" w:firstLine="420"/>
        <w:jc w:val="both"/>
      </w:pPr>
      <w:r>
        <w:rPr/>
        <w:t>（</w:t>
      </w:r>
      <w:r>
        <w:rPr>
          <w:rFonts w:ascii="Times New Roman" w:hAnsi="Times New Roman" w:cs="Times New Roman" w:eastAsia="Times New Roman" w:hint="default"/>
        </w:rPr>
        <w:t>3</w:t>
      </w:r>
      <w:r>
        <w:rPr/>
        <w:t>）电力、燃气及智慧水利业务：公司研发生产销售电力载波通讯模块、智能缴费终端及系统、智</w:t>
      </w:r>
      <w:r>
        <w:rPr>
          <w:spacing w:val="2"/>
        </w:rPr>
        <w:t> </w:t>
      </w:r>
      <w:r>
        <w:rPr/>
        <w:t>能膜式燃气表（含 </w:t>
      </w:r>
      <w:r>
        <w:rPr>
          <w:rFonts w:ascii="Times New Roman" w:hAnsi="Times New Roman" w:cs="Times New Roman" w:eastAsia="Times New Roman" w:hint="default"/>
        </w:rPr>
        <w:t>IC</w:t>
      </w:r>
      <w:r>
        <w:rPr>
          <w:rFonts w:ascii="Times New Roman" w:hAnsi="Times New Roman" w:cs="Times New Roman" w:eastAsia="Times New Roman" w:hint="default"/>
          <w:spacing w:val="29"/>
        </w:rPr>
        <w:t> </w:t>
      </w:r>
      <w:r>
        <w:rPr/>
        <w:t>卡燃气表、无线远传集抄燃气表、物联网燃气表）及燃气信息化管理系统等智慧能 </w:t>
      </w:r>
      <w:r>
        <w:rPr>
          <w:spacing w:val="-1"/>
        </w:rPr>
        <w:t>源解决方案。与此同时，公司还紧抓国家农业水价综合改革、水资源费改税、河长制、山洪灾害预警及防</w:t>
      </w:r>
      <w:r>
        <w:rPr>
          <w:spacing w:val="-83"/>
        </w:rPr>
        <w:t> </w:t>
      </w:r>
      <w:r>
        <w:rPr>
          <w:spacing w:val="-83"/>
        </w:rPr>
      </w:r>
      <w:r>
        <w:rPr>
          <w:spacing w:val="-1"/>
        </w:rPr>
        <w:t>治等政策机会，推出了囊括综合平台、顶层平台、智能硬件、金融支付到运营维护的完整智慧水利信息化</w:t>
      </w:r>
      <w:r>
        <w:rPr>
          <w:spacing w:val="-82"/>
        </w:rPr>
        <w:t> </w:t>
      </w:r>
      <w:r>
        <w:rPr>
          <w:spacing w:val="-82"/>
        </w:rPr>
      </w:r>
      <w:r>
        <w:rPr/>
        <w:t>产品和服务解决方案。</w:t>
      </w:r>
    </w:p>
    <w:p>
      <w:pPr>
        <w:pStyle w:val="BodyText"/>
        <w:spacing w:line="386" w:lineRule="auto" w:before="93"/>
        <w:ind w:left="153" w:right="151" w:firstLine="419"/>
        <w:jc w:val="both"/>
      </w:pPr>
      <w:r>
        <w:rPr>
          <w:spacing w:val="-5"/>
        </w:rPr>
        <w:t>（</w:t>
      </w:r>
      <w:r>
        <w:rPr>
          <w:rFonts w:ascii="Times New Roman" w:hAnsi="Times New Roman" w:cs="Times New Roman" w:eastAsia="Times New Roman" w:hint="default"/>
          <w:spacing w:val="-5"/>
        </w:rPr>
        <w:t>4</w:t>
      </w:r>
      <w:r>
        <w:rPr>
          <w:spacing w:val="-5"/>
        </w:rPr>
        <w:t>）其他行业移动互联业务延伸：报告期内，结合如上企业、城市等业务，公司的互联网化产品如</w:t>
      </w:r>
      <w:r>
        <w:rPr>
          <w:rFonts w:ascii="Times New Roman" w:hAnsi="Times New Roman" w:cs="Times New Roman" w:eastAsia="Times New Roman" w:hint="default"/>
          <w:spacing w:val="-5"/>
        </w:rPr>
        <w:t>“</w:t>
      </w:r>
      <w:r>
        <w:rPr>
          <w:spacing w:val="-5"/>
        </w:rPr>
        <w:t>完</w:t>
      </w:r>
      <w:r>
        <w:rPr/>
        <w:t> 美企业 </w:t>
      </w:r>
      <w:r>
        <w:rPr>
          <w:rFonts w:ascii="Times New Roman" w:hAnsi="Times New Roman" w:cs="Times New Roman" w:eastAsia="Times New Roman" w:hint="default"/>
        </w:rPr>
        <w:t>APP</w:t>
      </w:r>
      <w:r>
        <w:rPr/>
        <w:t>、智能公交</w:t>
      </w:r>
      <w:r>
        <w:rPr>
          <w:spacing w:val="-53"/>
        </w:rPr>
        <w:t> </w:t>
      </w:r>
      <w:r>
        <w:rPr>
          <w:rFonts w:ascii="Times New Roman" w:hAnsi="Times New Roman" w:cs="Times New Roman" w:eastAsia="Times New Roman" w:hint="default"/>
        </w:rPr>
        <w:t>APP”</w:t>
      </w:r>
      <w:r>
        <w:rPr/>
        <w:t>也在不断优化和进步。此外，公司还积极依托基于社区的互联网平台技术和</w:t>
      </w:r>
    </w:p>
    <w:p>
      <w:pPr>
        <w:spacing w:after="0" w:line="386"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41" w:lineRule="auto" w:before="175"/>
        <w:ind w:left="573" w:right="133" w:hanging="420"/>
        <w:jc w:val="left"/>
      </w:pPr>
      <w:r>
        <w:rPr/>
        <w:t>经验的积累，为多业务线下产品和服务提供互联网服务，形成协同。 </w:t>
      </w:r>
      <w:r>
        <w:rPr>
          <w:spacing w:val="-1"/>
        </w:rPr>
        <w:t>公司业务图示（在智慧校园继续深度挖掘的同时，加紧打造智慧教育的竞争力以开拓市场，并向更广</w:t>
      </w:r>
    </w:p>
    <w:p>
      <w:pPr>
        <w:pStyle w:val="BodyText"/>
        <w:spacing w:line="240" w:lineRule="auto" w:before="18"/>
        <w:ind w:left="153" w:right="133"/>
        <w:jc w:val="left"/>
      </w:pPr>
      <w:r>
        <w:rPr/>
        <w:t>大的多行业信息化业务布局和迈进以获得更大的增长空间）</w:t>
      </w:r>
    </w:p>
    <w:p>
      <w:pPr>
        <w:spacing w:line="240" w:lineRule="auto" w:before="5"/>
        <w:rPr>
          <w:rFonts w:ascii="宋体" w:hAnsi="宋体" w:cs="宋体" w:eastAsia="宋体" w:hint="default"/>
          <w:sz w:val="22"/>
          <w:szCs w:val="22"/>
        </w:rPr>
      </w:pPr>
    </w:p>
    <w:p>
      <w:pPr>
        <w:spacing w:line="5408" w:lineRule="exact"/>
        <w:ind w:left="2453" w:right="0" w:firstLine="0"/>
        <w:rPr>
          <w:rFonts w:ascii="宋体" w:hAnsi="宋体" w:cs="宋体" w:eastAsia="宋体" w:hint="default"/>
          <w:sz w:val="20"/>
          <w:szCs w:val="20"/>
        </w:rPr>
      </w:pPr>
      <w:r>
        <w:rPr>
          <w:rFonts w:ascii="宋体" w:hAnsi="宋体" w:cs="宋体" w:eastAsia="宋体" w:hint="default"/>
          <w:position w:val="-107"/>
          <w:sz w:val="20"/>
          <w:szCs w:val="20"/>
        </w:rPr>
        <w:drawing>
          <wp:inline distT="0" distB="0" distL="0" distR="0">
            <wp:extent cx="3453616" cy="343442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3453616" cy="3434429"/>
                    </a:xfrm>
                    <a:prstGeom prst="rect">
                      <a:avLst/>
                    </a:prstGeom>
                  </pic:spPr>
                </pic:pic>
              </a:graphicData>
            </a:graphic>
          </wp:inline>
        </w:drawing>
      </w:r>
      <w:r>
        <w:rPr>
          <w:rFonts w:ascii="宋体" w:hAnsi="宋体" w:cs="宋体" w:eastAsia="宋体" w:hint="default"/>
          <w:position w:val="-107"/>
          <w:sz w:val="20"/>
          <w:szCs w:val="20"/>
        </w:rPr>
      </w:r>
    </w:p>
    <w:p>
      <w:pPr>
        <w:spacing w:line="240" w:lineRule="auto" w:before="6"/>
        <w:rPr>
          <w:rFonts w:ascii="宋体" w:hAnsi="宋体" w:cs="宋体" w:eastAsia="宋体" w:hint="default"/>
          <w:sz w:val="26"/>
          <w:szCs w:val="26"/>
        </w:rPr>
      </w:pPr>
    </w:p>
    <w:p>
      <w:pPr>
        <w:pStyle w:val="Heading2"/>
        <w:spacing w:line="240" w:lineRule="auto"/>
        <w:ind w:right="133"/>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6"/>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主要系报告期内投资希嘉教育及丹诚开普所致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主要系报告期内母公司购入专利权</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主要系新增宽带载波通信芯片模具开发</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主要系期末收到的应收票据金额较少所致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主要系随收入增加而增长</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主要系本报告期母公司预付货款及项目实施款项增加所致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主要系报告期内保证金及往来款较上期增加所致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系报告期内母公司购买理财产品增加所致</w:t>
            </w:r>
          </w:p>
        </w:tc>
      </w:tr>
      <w:tr>
        <w:trPr>
          <w:trHeight w:val="403"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主要系待摊销的职业教育培训中心装修费</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4"/>
        <w:spacing w:line="240" w:lineRule="auto" w:before="35"/>
        <w:ind w:right="6871"/>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68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6871"/>
        <w:jc w:val="left"/>
        <w:rPr>
          <w:b w:val="0"/>
          <w:bCs w:val="0"/>
        </w:rPr>
      </w:pPr>
      <w:r>
        <w:rPr/>
        <w:t>三、核心竞争力分析</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687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86" w:lineRule="auto" w:before="80"/>
        <w:ind w:left="575" w:right="305" w:hanging="64"/>
        <w:jc w:val="left"/>
      </w:pPr>
      <w:r>
        <w:rPr>
          <w:rFonts w:ascii="Times New Roman" w:hAnsi="Times New Roman" w:cs="Times New Roman" w:eastAsia="Times New Roman" w:hint="default"/>
        </w:rPr>
        <w:t>1</w:t>
      </w:r>
      <w:r>
        <w:rPr/>
        <w:t>、优质客户多、需求黏性大 </w:t>
      </w:r>
      <w:r>
        <w:rPr>
          <w:spacing w:val="-1"/>
        </w:rPr>
        <w:t>经过多年经营，公司凭借完善的整体解决方案和优质的客户服务，在行业内树立了良好的口碑，客户</w:t>
      </w:r>
    </w:p>
    <w:p>
      <w:pPr>
        <w:pStyle w:val="BodyText"/>
        <w:spacing w:line="393" w:lineRule="auto" w:before="65"/>
        <w:ind w:right="305"/>
        <w:jc w:val="left"/>
      </w:pPr>
      <w:r>
        <w:rPr>
          <w:spacing w:val="-1"/>
        </w:rPr>
        <w:t>范围遍及校园、企事业、城市等领域。截至报告期末，公司校园信息化产品覆盖高校总数达千余所，市场</w:t>
      </w:r>
      <w:r>
        <w:rPr>
          <w:spacing w:val="-83"/>
        </w:rPr>
        <w:t> </w:t>
      </w:r>
      <w:r>
        <w:rPr>
          <w:spacing w:val="-83"/>
        </w:rPr>
      </w:r>
      <w:r>
        <w:rPr/>
        <w:t>占有率逾</w:t>
      </w:r>
      <w:r>
        <w:rPr>
          <w:rFonts w:ascii="Times New Roman" w:hAnsi="Times New Roman" w:cs="Times New Roman" w:eastAsia="Times New Roman" w:hint="default"/>
        </w:rPr>
        <w:t>40%</w:t>
      </w:r>
      <w:r>
        <w:rPr/>
        <w:t>，进一步夯实校园信息化龙头地位。线下业务多年的经营积累为公司进军移动互联网提供了 </w:t>
      </w:r>
      <w:r>
        <w:rPr>
          <w:spacing w:val="-1"/>
        </w:rPr>
        <w:t>良好的保障，便于公司快速将线下资源向线上转移。公司以一卡通为切入点，通过持续占领高校市场不断</w:t>
      </w:r>
      <w:r>
        <w:rPr>
          <w:spacing w:val="-83"/>
        </w:rPr>
        <w:t> </w:t>
      </w:r>
      <w:r>
        <w:rPr>
          <w:spacing w:val="-83"/>
        </w:rPr>
      </w:r>
      <w:r>
        <w:rPr/>
        <w:t>扩大线下用户群体规模，同时公司面向高校自主运营的移动互联网产品</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”APP</w:t>
      </w:r>
      <w:r>
        <w:rPr/>
        <w:t>，已进军移动互联 </w:t>
      </w:r>
      <w:r>
        <w:rPr>
          <w:spacing w:val="-1"/>
        </w:rPr>
        <w:t>网领域。不仅包含校园一卡通、移动支付、学习、生活等服务，还加入了人才成长服务体系，致力于全面</w:t>
      </w:r>
      <w:r>
        <w:rPr>
          <w:spacing w:val="-83"/>
        </w:rPr>
        <w:t> </w:t>
      </w:r>
      <w:r>
        <w:rPr>
          <w:spacing w:val="-83"/>
        </w:rPr>
      </w:r>
      <w:r>
        <w:rPr/>
        <w:t>提升学生综合能力素质，解决学校和学生的就业问题。截止报告期末公司高校移动互联服务平台</w:t>
      </w:r>
      <w:r>
        <w:rPr>
          <w:rFonts w:ascii="Times New Roman" w:hAnsi="Times New Roman" w:cs="Times New Roman" w:eastAsia="Times New Roman" w:hint="default"/>
        </w:rPr>
        <w:t>“</w:t>
      </w:r>
      <w:r>
        <w:rPr/>
        <w:t>完美校 </w:t>
      </w:r>
      <w:r>
        <w:rPr>
          <w:spacing w:val="-1"/>
        </w:rPr>
        <w:t>园</w:t>
      </w:r>
      <w:r>
        <w:rPr>
          <w:rFonts w:ascii="Times New Roman" w:hAnsi="Times New Roman" w:cs="Times New Roman" w:eastAsia="Times New Roman" w:hint="default"/>
          <w:spacing w:val="-1"/>
        </w:rPr>
        <w:t>”</w:t>
      </w:r>
      <w:r>
        <w:rPr>
          <w:spacing w:val="-1"/>
        </w:rPr>
        <w:t>已与国内</w:t>
      </w:r>
      <w:r>
        <w:rPr>
          <w:rFonts w:ascii="Times New Roman" w:hAnsi="Times New Roman" w:cs="Times New Roman" w:eastAsia="Times New Roman" w:hint="default"/>
          <w:spacing w:val="-1"/>
        </w:rPr>
        <w:t>900</w:t>
      </w:r>
      <w:r>
        <w:rPr>
          <w:spacing w:val="-1"/>
        </w:rPr>
        <w:t>多所高校合作，覆盖用户</w:t>
      </w:r>
      <w:r>
        <w:rPr>
          <w:rFonts w:ascii="Times New Roman" w:hAnsi="Times New Roman" w:cs="Times New Roman" w:eastAsia="Times New Roman" w:hint="default"/>
          <w:spacing w:val="-1"/>
        </w:rPr>
        <w:t>1000</w:t>
      </w:r>
      <w:r>
        <w:rPr>
          <w:spacing w:val="-1"/>
        </w:rPr>
        <w:t>万人，其中，上线注册用户超过</w:t>
      </w:r>
      <w:r>
        <w:rPr>
          <w:rFonts w:ascii="Times New Roman" w:hAnsi="Times New Roman" w:cs="Times New Roman" w:eastAsia="Times New Roman" w:hint="default"/>
          <w:spacing w:val="-1"/>
        </w:rPr>
        <w:t>600</w:t>
      </w:r>
      <w:r>
        <w:rPr>
          <w:spacing w:val="-1"/>
        </w:rPr>
        <w:t>万人，认证用户超过</w:t>
      </w:r>
      <w:r>
        <w:rPr>
          <w:rFonts w:ascii="Times New Roman" w:hAnsi="Times New Roman" w:cs="Times New Roman" w:eastAsia="Times New Roman" w:hint="default"/>
          <w:spacing w:val="-1"/>
        </w:rPr>
        <w:t>500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1"/>
        </w:rPr>
        <w:t>万人，较</w:t>
      </w:r>
      <w:r>
        <w:rPr>
          <w:rFonts w:ascii="Times New Roman" w:hAnsi="Times New Roman" w:cs="Times New Roman" w:eastAsia="Times New Roman" w:hint="default"/>
          <w:spacing w:val="-1"/>
        </w:rPr>
        <w:t>2016</w:t>
      </w:r>
      <w:r>
        <w:rPr>
          <w:spacing w:val="-1"/>
        </w:rPr>
        <w:t>年实现了翻番，从校园生活平台、聚合支付平台、兼职就业平台、学习成长平台等方面带给</w:t>
      </w:r>
      <w:r>
        <w:rPr>
          <w:spacing w:val="-84"/>
        </w:rPr>
        <w:t> </w:t>
      </w:r>
      <w:r>
        <w:rPr>
          <w:spacing w:val="-84"/>
        </w:rPr>
      </w:r>
      <w:r>
        <w:rPr/>
        <w:t>学生更完善、更全面的服务体验。</w:t>
      </w:r>
    </w:p>
    <w:p>
      <w:pPr>
        <w:pStyle w:val="BodyText"/>
        <w:spacing w:line="398" w:lineRule="auto" w:before="59"/>
        <w:ind w:right="94" w:firstLine="426"/>
        <w:jc w:val="left"/>
      </w:pPr>
      <w:r>
        <w:rPr/>
        <w:t>此外，由于智能一卡通系统的使用一般具有延续性，再加上公司提供的解决方案以多功能系统为主，</w:t>
      </w:r>
      <w:r>
        <w:rPr>
          <w:spacing w:val="2"/>
        </w:rPr>
        <w:t> </w:t>
      </w:r>
      <w:r>
        <w:rPr/>
        <w:t>因此原有客户的后续需求黏性比较大。</w:t>
      </w:r>
      <w:r>
        <w:rPr>
          <w:rFonts w:ascii="Times New Roman" w:hAnsi="Times New Roman" w:cs="Times New Roman" w:eastAsia="Times New Roman" w:hint="default"/>
        </w:rPr>
        <w:t>50%</w:t>
      </w:r>
      <w:r>
        <w:rPr/>
        <w:t>以上的客户购买安装了公司的智能一卡通系统后，未来仍会选 择公司的其他功能系统或后续产品升级，其中校园一卡通领域客户黏度尤高。</w:t>
      </w:r>
    </w:p>
    <w:p>
      <w:pPr>
        <w:pStyle w:val="BodyText"/>
        <w:spacing w:line="386" w:lineRule="auto" w:before="54"/>
        <w:ind w:left="575" w:right="94" w:hanging="2"/>
        <w:jc w:val="left"/>
      </w:pPr>
      <w:r>
        <w:rPr>
          <w:rFonts w:ascii="Times New Roman" w:hAnsi="Times New Roman" w:cs="Times New Roman" w:eastAsia="Times New Roman" w:hint="default"/>
        </w:rPr>
        <w:t>2</w:t>
      </w:r>
      <w:r>
        <w:rPr/>
        <w:t>、符合个性化需求的一站式整体解决方案 </w:t>
      </w:r>
      <w:r>
        <w:rPr>
          <w:spacing w:val="-1"/>
        </w:rPr>
        <w:t>公司拥有自主研发的全系列智能化硬件终端产品线、多功能应用子系统以及强大集成能力的系统平台，</w:t>
      </w:r>
    </w:p>
    <w:p>
      <w:pPr>
        <w:pStyle w:val="BodyText"/>
        <w:spacing w:line="386" w:lineRule="auto" w:before="65"/>
        <w:ind w:right="305"/>
        <w:jc w:val="left"/>
      </w:pPr>
      <w:r>
        <w:rPr>
          <w:spacing w:val="-1"/>
        </w:rPr>
        <w:t>截止目前，公司拥有校园一卡通平台、数字化校园平台、城市一卡通平台、能源管控管理平台、金融</w:t>
      </w:r>
      <w:r>
        <w:rPr>
          <w:rFonts w:ascii="Times New Roman" w:hAnsi="Times New Roman" w:cs="Times New Roman" w:eastAsia="Times New Roman" w:hint="default"/>
          <w:spacing w:val="-1"/>
        </w:rPr>
        <w:t>IC</w:t>
      </w:r>
      <w:r>
        <w:rPr>
          <w:spacing w:val="-1"/>
        </w:rPr>
        <w:t>卡</w:t>
      </w:r>
      <w:r>
        <w:rPr>
          <w:spacing w:val="-83"/>
        </w:rPr>
        <w:t> </w:t>
      </w:r>
      <w:r>
        <w:rPr/>
        <w:t>行业应用平台和手机一卡通运营平台等平台系统、</w:t>
      </w:r>
      <w:r>
        <w:rPr>
          <w:rFonts w:ascii="Times New Roman" w:hAnsi="Times New Roman" w:cs="Times New Roman" w:eastAsia="Times New Roman" w:hint="default"/>
        </w:rPr>
        <w:t>50</w:t>
      </w:r>
      <w:r>
        <w:rPr/>
        <w:t>余个应用功能子系统以及</w:t>
      </w:r>
      <w:r>
        <w:rPr>
          <w:rFonts w:ascii="Times New Roman" w:hAnsi="Times New Roman" w:cs="Times New Roman" w:eastAsia="Times New Roman" w:hint="default"/>
        </w:rPr>
        <w:t>300</w:t>
      </w:r>
      <w:r>
        <w:rPr/>
        <w:t>多种不同型号规格的智 能终端系列产品，能够为客户提供符合个性化需求、多功能实现、一站式服务的整体解决方案。</w:t>
      </w:r>
    </w:p>
    <w:p>
      <w:pPr>
        <w:pStyle w:val="BodyText"/>
        <w:spacing w:line="408" w:lineRule="auto" w:before="65"/>
        <w:ind w:right="205" w:firstLine="421"/>
        <w:jc w:val="both"/>
      </w:pPr>
      <w:r>
        <w:rPr/>
        <w:t>总体来看，国内智能一卡通行业内的企业在研发实力、技术素质、业务规模、涉及领域等多方面的差 别较大，行业内以提供单一功能系统解决方案的企业居多，且多集中在餐饮收费、门禁、考勤系统等传统 功能板块，其因市场竞争激烈，利润空间小。而新开普是行业内少数能够为客户提供全面、整体化、一揽 子解决方案的代表性企业之一，公司通过更全面的产品线、更高的研发平台、更丰富的业务功能、更强的 </w:t>
      </w:r>
      <w:r>
        <w:rPr>
          <w:spacing w:val="-3"/>
        </w:rPr>
        <w:t>集成能力，在满足客户个性化需求的前提下，为客户提供多功能实现的整体解决方案和一站式的客户服务，</w:t>
      </w:r>
    </w:p>
    <w:p>
      <w:pPr>
        <w:spacing w:after="0" w:line="408" w:lineRule="auto"/>
        <w:jc w:val="both"/>
        <w:sectPr>
          <w:pgSz w:w="11910" w:h="16840"/>
          <w:pgMar w:header="747" w:footer="982" w:top="1060" w:bottom="1180" w:left="980" w:right="820"/>
        </w:sectPr>
      </w:pPr>
    </w:p>
    <w:p>
      <w:pPr>
        <w:spacing w:line="240" w:lineRule="auto" w:before="0"/>
        <w:rPr>
          <w:rFonts w:ascii="宋体" w:hAnsi="宋体" w:cs="宋体" w:eastAsia="宋体" w:hint="default"/>
          <w:sz w:val="20"/>
          <w:szCs w:val="20"/>
        </w:rPr>
      </w:pPr>
    </w:p>
    <w:p>
      <w:pPr>
        <w:pStyle w:val="BodyText"/>
        <w:spacing w:line="408" w:lineRule="auto" w:before="174"/>
        <w:ind w:right="210"/>
        <w:jc w:val="both"/>
      </w:pPr>
      <w:r>
        <w:rPr>
          <w:spacing w:val="-1"/>
        </w:rPr>
        <w:t>以增加公司产品和服务的经济附加值、不断增强客户黏性、扩大品牌影响度，进而提升自身的盈利能力和</w:t>
      </w:r>
      <w:r>
        <w:rPr>
          <w:spacing w:val="-83"/>
        </w:rPr>
        <w:t> </w:t>
      </w:r>
      <w:r>
        <w:rPr>
          <w:spacing w:val="-83"/>
        </w:rPr>
      </w:r>
      <w:r>
        <w:rPr/>
        <w:t>利润空间。</w:t>
      </w:r>
    </w:p>
    <w:p>
      <w:pPr>
        <w:pStyle w:val="BodyText"/>
        <w:spacing w:line="386" w:lineRule="auto"/>
        <w:ind w:left="575" w:right="102" w:hanging="2"/>
        <w:jc w:val="left"/>
      </w:pPr>
      <w:r>
        <w:rPr>
          <w:rFonts w:ascii="Times New Roman" w:hAnsi="Times New Roman" w:cs="Times New Roman" w:eastAsia="Times New Roman" w:hint="default"/>
        </w:rPr>
        <w:t>3</w:t>
      </w:r>
      <w:r>
        <w:rPr/>
        <w:t>、自主研发和技术创新能力强 </w:t>
      </w:r>
      <w:r>
        <w:rPr>
          <w:spacing w:val="-1"/>
        </w:rPr>
        <w:t>公司是国家重点支持的高新技术企业，火炬计划重点高新技术企业，具有较强的自主研发和技术创新</w:t>
      </w:r>
    </w:p>
    <w:p>
      <w:pPr>
        <w:pStyle w:val="BodyText"/>
        <w:spacing w:line="408" w:lineRule="auto" w:before="65"/>
        <w:ind w:right="208"/>
        <w:jc w:val="both"/>
      </w:pPr>
      <w:r>
        <w:rPr>
          <w:spacing w:val="-5"/>
        </w:rPr>
        <w:t>能力。公司始终紧跟信息技术发展前沿，并将技术创新的着眼点立足于符合客户需求、符合公司资源现状、</w:t>
      </w:r>
      <w:r>
        <w:rPr>
          <w:spacing w:val="-101"/>
        </w:rPr>
        <w:t> </w:t>
      </w:r>
      <w:r>
        <w:rPr>
          <w:spacing w:val="-101"/>
        </w:rPr>
      </w:r>
      <w:r>
        <w:rPr>
          <w:spacing w:val="-1"/>
        </w:rPr>
        <w:t>符合行业特点的应用技术创新上，在努力提升产品性能、降低生产成本的同时，更加突出市场需求对产品</w:t>
      </w:r>
      <w:r>
        <w:rPr>
          <w:spacing w:val="-83"/>
        </w:rPr>
        <w:t> </w:t>
      </w:r>
      <w:r>
        <w:rPr>
          <w:spacing w:val="-83"/>
        </w:rPr>
      </w:r>
      <w:r>
        <w:rPr>
          <w:spacing w:val="-1"/>
        </w:rPr>
        <w:t>研发和服务的导向作用，强调集成创新和研发成果的转化及应用，持续开发出具备行业先进性、具有公司</w:t>
      </w:r>
      <w:r>
        <w:rPr>
          <w:spacing w:val="-83"/>
        </w:rPr>
        <w:t> </w:t>
      </w:r>
      <w:r>
        <w:rPr>
          <w:spacing w:val="-83"/>
        </w:rPr>
      </w:r>
      <w:r>
        <w:rPr/>
        <w:t>特色和富有市场竞争力的产品。</w:t>
      </w:r>
    </w:p>
    <w:p>
      <w:pPr>
        <w:pStyle w:val="BodyText"/>
        <w:spacing w:line="398" w:lineRule="auto"/>
        <w:ind w:right="209" w:firstLine="421"/>
        <w:jc w:val="both"/>
      </w:pPr>
      <w:r>
        <w:rPr>
          <w:spacing w:val="-1"/>
        </w:rPr>
        <w:t>近年来公司不断引进研发和研发管理人才以提高技术创新能力。同时，核心技术带头人员的行业专业</w:t>
      </w:r>
      <w:r>
        <w:rPr/>
        <w:t> </w:t>
      </w:r>
      <w:r>
        <w:rPr>
          <w:spacing w:val="-1"/>
        </w:rPr>
        <w:t>经验平均超过</w:t>
      </w:r>
      <w:r>
        <w:rPr>
          <w:rFonts w:ascii="Times New Roman" w:hAnsi="Times New Roman" w:cs="Times New Roman" w:eastAsia="Times New Roman" w:hint="default"/>
          <w:spacing w:val="-1"/>
        </w:rPr>
        <w:t>10</w:t>
      </w:r>
      <w:r>
        <w:rPr>
          <w:spacing w:val="-1"/>
        </w:rPr>
        <w:t>年，稳定性高，长期从事一卡通的研究与开发，在智能卡、校园信息化、互联网等业务领</w:t>
      </w:r>
      <w:r>
        <w:rPr>
          <w:spacing w:val="-84"/>
        </w:rPr>
        <w:t> </w:t>
      </w:r>
      <w:r>
        <w:rPr>
          <w:spacing w:val="-84"/>
        </w:rPr>
      </w:r>
      <w:r>
        <w:rPr/>
        <w:t>域具有非常突出的技术创新能力。</w:t>
      </w:r>
    </w:p>
    <w:p>
      <w:pPr>
        <w:pStyle w:val="BodyText"/>
        <w:spacing w:line="386" w:lineRule="auto" w:before="54"/>
        <w:ind w:left="575" w:right="102" w:firstLine="104"/>
        <w:jc w:val="left"/>
      </w:pPr>
      <w:r>
        <w:rPr>
          <w:rFonts w:ascii="Times New Roman" w:hAnsi="Times New Roman" w:cs="Times New Roman" w:eastAsia="Times New Roman" w:hint="default"/>
        </w:rPr>
        <w:t>4</w:t>
      </w:r>
      <w:r>
        <w:rPr/>
        <w:t>、贴近客户、高效响应的服务优势 </w:t>
      </w:r>
      <w:r>
        <w:rPr>
          <w:spacing w:val="-1"/>
        </w:rPr>
        <w:t>基于一直以来以需求为导向的经营理念，以及公司提供整体解决方案及定制服务的业务特色，公司能</w:t>
      </w:r>
    </w:p>
    <w:p>
      <w:pPr>
        <w:pStyle w:val="BodyText"/>
        <w:spacing w:line="400" w:lineRule="auto" w:before="65"/>
        <w:ind w:right="102"/>
        <w:jc w:val="left"/>
      </w:pPr>
      <w:r>
        <w:rPr/>
        <w:t>够深刻理解客户个性化需求，有针对性地推进前端营销工作，并及时提供技术支持和客户服务。目前，公 司已经在全国范围内设立</w:t>
      </w:r>
      <w:r>
        <w:rPr>
          <w:rFonts w:ascii="Times New Roman" w:hAnsi="Times New Roman" w:cs="Times New Roman" w:eastAsia="Times New Roman" w:hint="default"/>
        </w:rPr>
        <w:t>30</w:t>
      </w:r>
      <w:r>
        <w:rPr/>
        <w:t>多家分支机构，建立了成熟的销售渠道和客户服务体系，以贴近客户的方式进 行一对一的营销和技术支持，能够第一手掌握客户的动态，发现新的个性化需求，成为公司创新的来源，</w:t>
      </w:r>
      <w:r>
        <w:rPr>
          <w:spacing w:val="-36"/>
        </w:rPr>
        <w:t> </w:t>
      </w:r>
      <w:r>
        <w:rPr>
          <w:spacing w:val="-36"/>
        </w:rPr>
      </w:r>
      <w:r>
        <w:rPr/>
        <w:t>同时给予客户最及时的技术反馈和维护。</w:t>
      </w:r>
    </w:p>
    <w:p>
      <w:pPr>
        <w:pStyle w:val="BodyText"/>
        <w:spacing w:line="408" w:lineRule="auto" w:before="52"/>
        <w:ind w:right="208" w:firstLine="421"/>
        <w:jc w:val="both"/>
      </w:pPr>
      <w:r>
        <w:rPr>
          <w:spacing w:val="-6"/>
        </w:rPr>
        <w:t>结合公司业务的快速增长、产品应用领域的扩张以及技术升级带来的营销、客服需求，公司也拟扩建、</w:t>
      </w:r>
      <w:r>
        <w:rPr/>
        <w:t> </w:t>
      </w:r>
      <w:r>
        <w:rPr>
          <w:spacing w:val="-1"/>
        </w:rPr>
        <w:t>新建营销客服网络，为客户提供更优质、更快速、更贴身的技术支持与服务，同时将更多新产品、新技术</w:t>
      </w:r>
      <w:r>
        <w:rPr>
          <w:spacing w:val="-83"/>
        </w:rPr>
        <w:t> </w:t>
      </w:r>
      <w:r>
        <w:rPr>
          <w:spacing w:val="-83"/>
        </w:rPr>
      </w:r>
      <w:r>
        <w:rPr>
          <w:spacing w:val="-1"/>
        </w:rPr>
        <w:t>向更多客户推广，加快创新技术成果转化能力，使得产品和服务能第一时间满足客户日益增加的智慧化需</w:t>
      </w:r>
      <w:r>
        <w:rPr>
          <w:spacing w:val="-81"/>
        </w:rPr>
        <w:t> </w:t>
      </w:r>
      <w:r>
        <w:rPr>
          <w:spacing w:val="-81"/>
        </w:rPr>
      </w:r>
      <w:r>
        <w:rPr/>
        <w:t>求。</w:t>
      </w:r>
    </w:p>
    <w:p>
      <w:pPr>
        <w:pStyle w:val="BodyText"/>
        <w:spacing w:line="420" w:lineRule="auto"/>
        <w:ind w:left="575" w:right="102" w:hanging="2"/>
        <w:jc w:val="left"/>
      </w:pPr>
      <w:r>
        <w:rPr>
          <w:rFonts w:ascii="Times New Roman" w:hAnsi="Times New Roman" w:cs="Times New Roman" w:eastAsia="Times New Roman" w:hint="default"/>
        </w:rPr>
        <w:t>5</w:t>
      </w:r>
      <w:r>
        <w:rPr/>
        <w:t>、并购整合优势 相对于行业内其他竞争对手，公司融资渠道众多、融资能力强、资本运作手段灵活的优势较为明显，</w:t>
      </w:r>
    </w:p>
    <w:p>
      <w:pPr>
        <w:pStyle w:val="BodyText"/>
        <w:spacing w:line="400" w:lineRule="auto" w:before="34"/>
        <w:ind w:right="209"/>
        <w:jc w:val="both"/>
      </w:pPr>
      <w:r>
        <w:rPr>
          <w:spacing w:val="-1"/>
        </w:rPr>
        <w:t>便于公司借助资本市场的力量迅速拓展市场，推动主营业务发展，不断强化竞争优势。</w:t>
      </w:r>
      <w:r>
        <w:rPr>
          <w:rFonts w:ascii="Times New Roman" w:hAnsi="Times New Roman" w:cs="Times New Roman" w:eastAsia="Times New Roman" w:hint="default"/>
          <w:spacing w:val="-1"/>
        </w:rPr>
        <w:t>2015</w:t>
      </w:r>
      <w:r>
        <w:rPr>
          <w:spacing w:val="-1"/>
        </w:rPr>
        <w:t>年，公司先后</w:t>
      </w:r>
      <w:r>
        <w:rPr>
          <w:spacing w:val="-82"/>
        </w:rPr>
        <w:t> </w:t>
      </w:r>
      <w:r>
        <w:rPr>
          <w:spacing w:val="-82"/>
        </w:rPr>
      </w:r>
      <w:r>
        <w:rPr>
          <w:spacing w:val="-1"/>
        </w:rPr>
        <w:t>完成了对北京迪科远望科技有限公司和上海树维信息科技有限公司的收购工作，收购完成后公司在校园一</w:t>
      </w:r>
      <w:r>
        <w:rPr>
          <w:spacing w:val="-81"/>
        </w:rPr>
        <w:t> </w:t>
      </w:r>
      <w:r>
        <w:rPr>
          <w:spacing w:val="-81"/>
        </w:rPr>
      </w:r>
      <w:r>
        <w:rPr/>
        <w:t>卡通领域的市场份额大幅提高，高校客户尤其是</w:t>
      </w:r>
      <w:r>
        <w:rPr>
          <w:rFonts w:ascii="Times New Roman" w:hAnsi="Times New Roman" w:cs="Times New Roman" w:eastAsia="Times New Roman" w:hint="default"/>
        </w:rPr>
        <w:t>“985</w:t>
      </w:r>
      <w:r>
        <w:rPr/>
        <w:t>工程</w:t>
      </w:r>
      <w:r>
        <w:rPr>
          <w:rFonts w:ascii="Times New Roman" w:hAnsi="Times New Roman" w:cs="Times New Roman" w:eastAsia="Times New Roman" w:hint="default"/>
        </w:rPr>
        <w:t>”</w:t>
      </w:r>
      <w:r>
        <w:rPr/>
        <w:t>院校、</w:t>
      </w:r>
      <w:r>
        <w:rPr>
          <w:rFonts w:ascii="Times New Roman" w:hAnsi="Times New Roman" w:cs="Times New Roman" w:eastAsia="Times New Roman" w:hint="default"/>
        </w:rPr>
        <w:t>“211</w:t>
      </w:r>
      <w:r>
        <w:rPr/>
        <w:t>工程</w:t>
      </w:r>
      <w:r>
        <w:rPr>
          <w:rFonts w:ascii="Times New Roman" w:hAnsi="Times New Roman" w:cs="Times New Roman" w:eastAsia="Times New Roman" w:hint="default"/>
        </w:rPr>
        <w:t>”</w:t>
      </w:r>
      <w:r>
        <w:rPr/>
        <w:t>院校等知名高校客户的数量大</w:t>
      </w:r>
      <w:r>
        <w:rPr>
          <w:spacing w:val="-90"/>
        </w:rPr>
        <w:t> </w:t>
      </w:r>
      <w:r>
        <w:rPr>
          <w:spacing w:val="-90"/>
        </w:rPr>
      </w:r>
      <w:r>
        <w:rPr>
          <w:spacing w:val="-1"/>
        </w:rPr>
        <w:t>幅增加，进一步夯实了公司校园移动互联网业务的高校客户资源基础。同时，提升了公司的业务规模和盈</w:t>
      </w:r>
      <w:r>
        <w:rPr>
          <w:spacing w:val="-83"/>
        </w:rPr>
        <w:t> </w:t>
      </w:r>
      <w:r>
        <w:rPr>
          <w:spacing w:val="-83"/>
        </w:rPr>
      </w:r>
      <w:r>
        <w:rPr>
          <w:spacing w:val="-5"/>
        </w:rPr>
        <w:t>利水平，充分发挥并购双方在采购、生产、技术与研发、营销服务、产品与业务内容等多方面的整合效应，</w:t>
      </w:r>
      <w:r>
        <w:rPr/>
        <w:t> 提高公司的核心竞争力和持续盈利能力。</w:t>
      </w:r>
    </w:p>
    <w:p>
      <w:pPr>
        <w:spacing w:after="0" w:line="400"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102"/>
        <w:jc w:val="left"/>
        <w:rPr>
          <w:b w:val="0"/>
          <w:bCs w:val="0"/>
        </w:rPr>
      </w:pPr>
      <w:bookmarkStart w:name="_TOC_250008"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w:t>
      </w:r>
      <w:r>
        <w:rPr>
          <w:spacing w:val="-94"/>
        </w:rPr>
        <w:t> </w:t>
      </w:r>
      <w:r>
        <w:rPr/>
        <w:t>概述</w:t>
      </w:r>
      <w:r>
        <w:rPr>
          <w:b w:val="0"/>
          <w:bCs w:val="0"/>
        </w:rPr>
      </w:r>
    </w:p>
    <w:p>
      <w:pPr>
        <w:spacing w:line="240" w:lineRule="auto" w:before="8"/>
        <w:rPr>
          <w:rFonts w:ascii="宋体" w:hAnsi="宋体" w:cs="宋体" w:eastAsia="宋体" w:hint="default"/>
          <w:b/>
          <w:bCs/>
          <w:sz w:val="30"/>
          <w:szCs w:val="30"/>
        </w:rPr>
      </w:pPr>
    </w:p>
    <w:p>
      <w:pPr>
        <w:pStyle w:val="BodyText"/>
        <w:spacing w:line="400" w:lineRule="auto" w:before="0"/>
        <w:ind w:left="153" w:right="208" w:firstLine="420"/>
        <w:jc w:val="both"/>
      </w:pP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6"/>
        </w:rPr>
        <w:t> </w:t>
      </w:r>
      <w:r>
        <w:rPr>
          <w:spacing w:val="-2"/>
        </w:rPr>
        <w:t>年度，公司全面贯彻发展战略的意图，在校园管理信息化（智慧校园）上不断通过拓展客户，产</w:t>
      </w:r>
      <w:r>
        <w:rPr/>
        <w:t> </w:t>
      </w:r>
      <w:r>
        <w:rPr>
          <w:spacing w:val="-1"/>
        </w:rPr>
        <w:t>品叠加、紧抓从一卡通到一码通行业发展趋势巩固竞争优势的同时，亦在职业教育业务的基础上嫁接教育</w:t>
      </w:r>
      <w:r>
        <w:rPr>
          <w:spacing w:val="-81"/>
        </w:rPr>
        <w:t> </w:t>
      </w:r>
      <w:r>
        <w:rPr>
          <w:spacing w:val="-81"/>
        </w:rPr>
      </w:r>
      <w:r>
        <w:rPr>
          <w:spacing w:val="-1"/>
        </w:rPr>
        <w:t>软硬件产品，完成了向智慧教育的延伸。同时，公司校园线上平台“完美校园”实现了新接入院校数和用</w:t>
      </w:r>
      <w:r>
        <w:rPr>
          <w:spacing w:val="-83"/>
        </w:rPr>
        <w:t> </w:t>
      </w:r>
      <w:r>
        <w:rPr>
          <w:spacing w:val="-83"/>
        </w:rPr>
      </w:r>
      <w:r>
        <w:rPr/>
        <w:t>户数及收入的继续快速增长，所提供的服务亦不断丰富和深化。携学校信息化领域积累多年的 </w:t>
      </w:r>
      <w:r>
        <w:rPr>
          <w:rFonts w:ascii="Times New Roman" w:hAnsi="Times New Roman" w:cs="Times New Roman" w:eastAsia="Times New Roman" w:hint="default"/>
        </w:rPr>
        <w:t>IT</w:t>
      </w:r>
      <w:r>
        <w:rPr>
          <w:rFonts w:ascii="Times New Roman" w:hAnsi="Times New Roman" w:cs="Times New Roman" w:eastAsia="Times New Roman" w:hint="default"/>
          <w:spacing w:val="40"/>
        </w:rPr>
        <w:t> </w:t>
      </w:r>
      <w:r>
        <w:rPr/>
        <w:t>等技术 </w:t>
      </w:r>
      <w:r>
        <w:rPr>
          <w:spacing w:val="-1"/>
        </w:rPr>
        <w:t>能力和娴熟的基于社区的服务能力，公司还借助外部合作和产品、模式的创新，提高公司技术和产品跨行</w:t>
      </w:r>
      <w:r>
        <w:rPr>
          <w:spacing w:val="-83"/>
        </w:rPr>
        <w:t> </w:t>
      </w:r>
      <w:r>
        <w:rPr>
          <w:spacing w:val="-83"/>
        </w:rPr>
      </w:r>
      <w:r>
        <w:rPr/>
        <w:t>业的可复制性，不断拓展市场空间。</w:t>
      </w:r>
    </w:p>
    <w:p>
      <w:pPr>
        <w:pStyle w:val="BodyText"/>
        <w:spacing w:line="398" w:lineRule="auto" w:before="91"/>
        <w:ind w:left="153" w:right="102" w:firstLine="420"/>
        <w:jc w:val="left"/>
      </w:pPr>
      <w:r>
        <w:rPr/>
        <w:t>报告期内，公司实现营业收</w:t>
      </w:r>
      <w:r>
        <w:rPr>
          <w:spacing w:val="-53"/>
        </w:rPr>
        <w:t> </w:t>
      </w:r>
      <w:r>
        <w:rPr>
          <w:rFonts w:ascii="Times New Roman" w:hAnsi="Times New Roman" w:cs="Times New Roman" w:eastAsia="Times New Roman" w:hint="default"/>
        </w:rPr>
        <w:t>76,961.97 </w:t>
      </w:r>
      <w:r>
        <w:rPr/>
        <w:t>万元，比上年同期增长</w:t>
      </w:r>
      <w:r>
        <w:rPr>
          <w:spacing w:val="-53"/>
        </w:rPr>
        <w:t> </w:t>
      </w:r>
      <w:r>
        <w:rPr>
          <w:rFonts w:ascii="Times New Roman" w:hAnsi="Times New Roman" w:cs="Times New Roman" w:eastAsia="Times New Roman" w:hint="default"/>
        </w:rPr>
        <w:t>12.60%</w:t>
      </w:r>
      <w:r>
        <w:rPr/>
        <w:t>；实现营业利润</w:t>
      </w:r>
      <w:r>
        <w:rPr>
          <w:spacing w:val="-53"/>
        </w:rPr>
        <w:t> </w:t>
      </w:r>
      <w:r>
        <w:rPr>
          <w:rFonts w:ascii="Times New Roman" w:hAnsi="Times New Roman" w:cs="Times New Roman" w:eastAsia="Times New Roman" w:hint="default"/>
        </w:rPr>
        <w:t>13,051.64 </w:t>
      </w:r>
      <w:r>
        <w:rPr/>
        <w:t>万元， 比上年同期增长</w:t>
      </w:r>
      <w:r>
        <w:rPr>
          <w:spacing w:val="-60"/>
        </w:rPr>
        <w:t> </w:t>
      </w:r>
      <w:r>
        <w:rPr>
          <w:rFonts w:ascii="Times New Roman" w:hAnsi="Times New Roman" w:cs="Times New Roman" w:eastAsia="Times New Roman" w:hint="default"/>
        </w:rPr>
        <w:t>77.04%</w:t>
      </w:r>
      <w:r>
        <w:rPr/>
        <w:t>；实现归属于上市公司股东的净利润</w:t>
      </w:r>
      <w:r>
        <w:rPr>
          <w:spacing w:val="-60"/>
        </w:rPr>
        <w:t> </w:t>
      </w:r>
      <w:r>
        <w:rPr>
          <w:rFonts w:ascii="Times New Roman" w:hAnsi="Times New Roman" w:cs="Times New Roman" w:eastAsia="Times New Roman" w:hint="default"/>
        </w:rPr>
        <w:t>11,967.12</w:t>
      </w:r>
      <w:r>
        <w:rPr>
          <w:rFonts w:ascii="Times New Roman" w:hAnsi="Times New Roman" w:cs="Times New Roman" w:eastAsia="Times New Roman" w:hint="default"/>
          <w:spacing w:val="-8"/>
        </w:rPr>
        <w:t> </w:t>
      </w:r>
      <w:r>
        <w:rPr/>
        <w:t>万元，比上年同期增长</w:t>
      </w:r>
      <w:r>
        <w:rPr>
          <w:spacing w:val="-60"/>
        </w:rPr>
        <w:t> </w:t>
      </w:r>
      <w:r>
        <w:rPr>
          <w:rFonts w:ascii="Times New Roman" w:hAnsi="Times New Roman" w:cs="Times New Roman" w:eastAsia="Times New Roman" w:hint="default"/>
          <w:spacing w:val="-5"/>
        </w:rPr>
        <w:t>41.04%</w:t>
      </w:r>
      <w:r>
        <w:rPr>
          <w:spacing w:val="-5"/>
        </w:rPr>
        <w:t>。公</w:t>
      </w:r>
      <w:r>
        <w:rPr>
          <w:spacing w:val="-16"/>
        </w:rPr>
        <w:t> </w:t>
      </w:r>
      <w:r>
        <w:rPr/>
        <w:t>司取得上述经营成果的主要原因如下：公司在校园管理信息化（智慧校园）领域通过推广新产品继续提高</w:t>
      </w:r>
      <w:r>
        <w:rPr/>
        <w:t> 多产品覆盖率，通过新增客户提高市场占有率。公司在企业、园区、城市公交及金融应用等多行业推广解 决方案，取得了较好的经营业绩。另外，报告期内公司进一步加大与北京迪科、上海树维等子公司的融合 创新，在原有业务、产品基础上将不同公司间的产品研发及销售推广部门进行深度资源整合，使得收入快 </w:t>
      </w:r>
      <w:r>
        <w:rPr>
          <w:spacing w:val="-14"/>
        </w:rPr>
        <w:t>速增长。加强公司“硬件</w:t>
      </w:r>
      <w:r>
        <w:rPr>
          <w:rFonts w:ascii="Times New Roman" w:hAnsi="Times New Roman" w:cs="Times New Roman" w:eastAsia="Times New Roman" w:hint="default"/>
          <w:spacing w:val="-14"/>
        </w:rPr>
        <w:t>+</w:t>
      </w:r>
      <w:r>
        <w:rPr>
          <w:spacing w:val="-14"/>
        </w:rPr>
        <w:t>软件”、“产品</w:t>
      </w:r>
      <w:r>
        <w:rPr>
          <w:rFonts w:ascii="Times New Roman" w:hAnsi="Times New Roman" w:cs="Times New Roman" w:eastAsia="Times New Roman" w:hint="default"/>
          <w:spacing w:val="-14"/>
        </w:rPr>
        <w:t>+</w:t>
      </w:r>
      <w:r>
        <w:rPr>
          <w:spacing w:val="-14"/>
        </w:rPr>
        <w:t>服务”、“平台</w:t>
      </w:r>
      <w:r>
        <w:rPr>
          <w:rFonts w:ascii="Times New Roman" w:hAnsi="Times New Roman" w:cs="Times New Roman" w:eastAsia="Times New Roman" w:hint="default"/>
          <w:spacing w:val="-14"/>
        </w:rPr>
        <w:t>+</w:t>
      </w:r>
      <w:r>
        <w:rPr>
          <w:spacing w:val="-14"/>
        </w:rPr>
        <w:t>内容”、“线上</w:t>
      </w:r>
      <w:r>
        <w:rPr>
          <w:rFonts w:ascii="Times New Roman" w:hAnsi="Times New Roman" w:cs="Times New Roman" w:eastAsia="Times New Roman" w:hint="default"/>
          <w:spacing w:val="-14"/>
        </w:rPr>
        <w:t>+</w:t>
      </w:r>
      <w:r>
        <w:rPr>
          <w:spacing w:val="-14"/>
        </w:rPr>
        <w:t>线下”的生态体系建设，为公司长</w:t>
      </w:r>
      <w:r>
        <w:rPr/>
        <w:t> 期良性发展奠定了坚实基础。</w:t>
      </w:r>
    </w:p>
    <w:p>
      <w:pPr>
        <w:pStyle w:val="Heading4"/>
        <w:spacing w:line="240" w:lineRule="auto" w:before="94"/>
        <w:ind w:left="576" w:right="102"/>
        <w:jc w:val="left"/>
        <w:rPr>
          <w:b w:val="0"/>
          <w:bCs w:val="0"/>
        </w:rPr>
      </w:pPr>
      <w:r>
        <w:rPr/>
        <w:t>（一）主营业务</w:t>
      </w:r>
      <w:r>
        <w:rPr>
          <w:b w:val="0"/>
          <w:bCs w:val="0"/>
        </w:rPr>
      </w:r>
    </w:p>
    <w:p>
      <w:pPr>
        <w:spacing w:line="240" w:lineRule="auto" w:before="10"/>
        <w:rPr>
          <w:rFonts w:ascii="宋体" w:hAnsi="宋体" w:cs="宋体" w:eastAsia="宋体" w:hint="default"/>
          <w:b/>
          <w:bCs/>
          <w:sz w:val="17"/>
          <w:szCs w:val="17"/>
        </w:rPr>
      </w:pPr>
    </w:p>
    <w:p>
      <w:pPr>
        <w:spacing w:line="420" w:lineRule="auto" w:before="0"/>
        <w:ind w:left="573"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、校园管理信息化业务继续快速增长的同时，亦为未来增长做好了准备</w:t>
      </w:r>
      <w:r>
        <w:rPr>
          <w:rFonts w:ascii="宋体" w:hAnsi="宋体" w:cs="宋体" w:eastAsia="宋体" w:hint="default"/>
          <w:b/>
          <w:bCs/>
          <w:w w:val="99"/>
          <w:sz w:val="21"/>
          <w:szCs w:val="21"/>
        </w:rPr>
        <w:t> </w:t>
      </w:r>
      <w:r>
        <w:rPr>
          <w:rFonts w:ascii="宋体" w:hAnsi="宋体" w:cs="宋体" w:eastAsia="宋体" w:hint="default"/>
          <w:sz w:val="21"/>
          <w:szCs w:val="21"/>
        </w:rPr>
        <w:t>在校园管理信息化领域，公司紧跟客户需求的变化，凭借完整的解决方案、贴身的服务、智能硬件、</w:t>
      </w:r>
    </w:p>
    <w:p>
      <w:pPr>
        <w:pStyle w:val="BodyText"/>
        <w:spacing w:line="240" w:lineRule="auto" w:before="35"/>
        <w:ind w:left="153" w:right="0"/>
        <w:jc w:val="both"/>
      </w:pPr>
      <w:r>
        <w:rPr/>
        <w:t>移动互联线上产品等竞争优势，与子公司进行深度融合，从而实现不断提高学校市场占有率，产品占有率</w:t>
      </w:r>
    </w:p>
    <w:p>
      <w:pPr>
        <w:spacing w:line="240" w:lineRule="auto" w:before="10"/>
        <w:rPr>
          <w:rFonts w:ascii="宋体" w:hAnsi="宋体" w:cs="宋体" w:eastAsia="宋体" w:hint="default"/>
          <w:sz w:val="14"/>
          <w:szCs w:val="14"/>
        </w:rPr>
      </w:pPr>
    </w:p>
    <w:p>
      <w:pPr>
        <w:pStyle w:val="BodyText"/>
        <w:spacing w:line="386" w:lineRule="auto" w:before="0"/>
        <w:ind w:left="153" w:right="208"/>
        <w:jc w:val="both"/>
      </w:pPr>
      <w:r>
        <w:rPr>
          <w:spacing w:val="-5"/>
        </w:rPr>
        <w:t>（复用渠道铺产品）的经营成果。报告期内，校园领域实现营业收入</w:t>
      </w:r>
      <w:r>
        <w:rPr>
          <w:spacing w:val="-53"/>
        </w:rPr>
        <w:t> </w:t>
      </w:r>
      <w:r>
        <w:rPr>
          <w:rFonts w:ascii="Times New Roman" w:hAnsi="Times New Roman" w:cs="Times New Roman" w:eastAsia="Times New Roman" w:hint="default"/>
        </w:rPr>
        <w:t>49,894.11 </w:t>
      </w:r>
      <w:r>
        <w:rPr>
          <w:spacing w:val="-7"/>
        </w:rPr>
        <w:t>万元，较上年增长</w:t>
      </w:r>
      <w:r>
        <w:rPr>
          <w:spacing w:val="-53"/>
        </w:rPr>
        <w:t> </w:t>
      </w:r>
      <w:r>
        <w:rPr>
          <w:rFonts w:ascii="Times New Roman" w:hAnsi="Times New Roman" w:cs="Times New Roman" w:eastAsia="Times New Roman" w:hint="default"/>
        </w:rPr>
        <w:t>32.09%</w:t>
      </w:r>
      <w:r>
        <w:rPr/>
        <w:t>。 公司及子公司共新增中国人民大学等</w:t>
      </w:r>
      <w:r>
        <w:rPr>
          <w:spacing w:val="-61"/>
        </w:rPr>
        <w:t> </w:t>
      </w:r>
      <w:r>
        <w:rPr>
          <w:rFonts w:ascii="Times New Roman" w:hAnsi="Times New Roman" w:cs="Times New Roman" w:eastAsia="Times New Roman" w:hint="default"/>
        </w:rPr>
        <w:t>100</w:t>
      </w:r>
      <w:r>
        <w:rPr>
          <w:rFonts w:ascii="Times New Roman" w:hAnsi="Times New Roman" w:cs="Times New Roman" w:eastAsia="Times New Roman" w:hint="default"/>
          <w:spacing w:val="-8"/>
        </w:rPr>
        <w:t> </w:t>
      </w:r>
      <w:r>
        <w:rPr/>
        <w:t>余所高校一卡通客户，新增持卡人用户</w:t>
      </w:r>
      <w:r>
        <w:rPr>
          <w:spacing w:val="-61"/>
        </w:rPr>
        <w:t> </w:t>
      </w:r>
      <w:r>
        <w:rPr>
          <w:rFonts w:ascii="Times New Roman" w:hAnsi="Times New Roman" w:cs="Times New Roman" w:eastAsia="Times New Roman" w:hint="default"/>
        </w:rPr>
        <w:t>100</w:t>
      </w:r>
      <w:r>
        <w:rPr>
          <w:rFonts w:ascii="Times New Roman" w:hAnsi="Times New Roman" w:cs="Times New Roman" w:eastAsia="Times New Roman" w:hint="default"/>
          <w:spacing w:val="-8"/>
        </w:rPr>
        <w:t> </w:t>
      </w:r>
      <w:r>
        <w:rPr/>
        <w:t>余万人。同时，报告</w:t>
      </w:r>
    </w:p>
    <w:p>
      <w:pPr>
        <w:pStyle w:val="BodyText"/>
        <w:spacing w:line="240" w:lineRule="auto" w:before="35"/>
        <w:ind w:left="153" w:right="0"/>
        <w:jc w:val="both"/>
      </w:pPr>
      <w:r>
        <w:rPr/>
        <w:t>期内公司智慧校园基础平台新增西北工业大学、陕西师范大学、郑州大学、上海大学等 </w:t>
      </w:r>
      <w:r>
        <w:rPr>
          <w:rFonts w:ascii="Times New Roman" w:hAnsi="Times New Roman" w:cs="Times New Roman" w:eastAsia="Times New Roman" w:hint="default"/>
        </w:rPr>
        <w:t>31</w:t>
      </w:r>
      <w:r>
        <w:rPr>
          <w:rFonts w:ascii="Times New Roman" w:hAnsi="Times New Roman" w:cs="Times New Roman" w:eastAsia="Times New Roman" w:hint="default"/>
          <w:spacing w:val="29"/>
        </w:rPr>
        <w:t> </w:t>
      </w:r>
      <w:r>
        <w:rPr/>
        <w:t>所高校客户，</w:t>
      </w:r>
    </w:p>
    <w:p>
      <w:pPr>
        <w:pStyle w:val="BodyText"/>
        <w:spacing w:line="400" w:lineRule="auto" w:before="177"/>
        <w:ind w:left="153" w:right="210"/>
        <w:jc w:val="both"/>
      </w:pPr>
      <w:r>
        <w:rPr/>
        <w:t>中标了中国科学技术大学、天津大学、湖南师范大学、郑州大学等 </w:t>
      </w:r>
      <w:r>
        <w:rPr>
          <w:rFonts w:ascii="Times New Roman" w:hAnsi="Times New Roman" w:cs="Times New Roman" w:eastAsia="Times New Roman" w:hint="default"/>
        </w:rPr>
        <w:t>31</w:t>
      </w:r>
      <w:r>
        <w:rPr>
          <w:rFonts w:ascii="Times New Roman" w:hAnsi="Times New Roman" w:cs="Times New Roman" w:eastAsia="Times New Roman" w:hint="default"/>
          <w:spacing w:val="29"/>
        </w:rPr>
        <w:t> </w:t>
      </w:r>
      <w:r>
        <w:rPr/>
        <w:t>所高校教务管理系统，上线了北京 </w:t>
      </w:r>
      <w:r>
        <w:rPr>
          <w:spacing w:val="-1"/>
        </w:rPr>
        <w:t>大学综合缴费平台，福建师范大学能源管控系统。结合目前数字化校园建设的快速推进，公司同时具备了</w:t>
      </w:r>
      <w:r>
        <w:rPr>
          <w:spacing w:val="-83"/>
        </w:rPr>
        <w:t> </w:t>
      </w:r>
      <w:r>
        <w:rPr>
          <w:spacing w:val="-83"/>
        </w:rPr>
      </w:r>
      <w:r>
        <w:rPr>
          <w:spacing w:val="-1"/>
        </w:rPr>
        <w:t>较强的校园一卡通建设经验、数字化校园平台及应用整体解决方案、高校教务系统、在线缴费系统、高校</w:t>
      </w:r>
      <w:r>
        <w:rPr>
          <w:spacing w:val="-82"/>
        </w:rPr>
        <w:t> </w:t>
      </w:r>
      <w:r>
        <w:rPr>
          <w:spacing w:val="-82"/>
        </w:rPr>
      </w:r>
      <w:r>
        <w:rPr>
          <w:spacing w:val="-1"/>
        </w:rPr>
        <w:t>移动互联网的研发、集成、服务能力，并且拥有集合完美校园的二维码、扫码付移动支付等创新方案，在</w:t>
      </w:r>
    </w:p>
    <w:p>
      <w:pPr>
        <w:spacing w:after="0" w:line="400"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10" w:lineRule="auto" w:before="174"/>
        <w:ind w:right="102"/>
        <w:jc w:val="left"/>
      </w:pPr>
      <w:r>
        <w:rPr/>
        <w:t>智慧校园产业升级建设中具备较强的优势。截至报告期末，公司校园信息化产品覆盖高校总数达千余所，</w:t>
      </w:r>
      <w:r>
        <w:rPr>
          <w:spacing w:val="-34"/>
        </w:rPr>
        <w:t> </w:t>
      </w:r>
      <w:r>
        <w:rPr>
          <w:spacing w:val="-34"/>
        </w:rPr>
      </w:r>
      <w:r>
        <w:rPr/>
        <w:t>高校市场占有率继续增加，进一步夯实了校园管理信息化龙头地位。</w:t>
      </w:r>
    </w:p>
    <w:p>
      <w:pPr>
        <w:spacing w:line="420" w:lineRule="auto" w:before="83"/>
        <w:ind w:left="573"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、校园互联网业务取得快速发展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报告期内，公司高校移动互联收入实现翻倍增长，实现了</w:t>
      </w:r>
      <w:r>
        <w:rPr>
          <w:rFonts w:ascii="Times New Roman" w:hAnsi="Times New Roman" w:cs="Times New Roman" w:eastAsia="Times New Roman" w:hint="default"/>
          <w:spacing w:val="-1"/>
          <w:sz w:val="21"/>
          <w:szCs w:val="21"/>
        </w:rPr>
        <w:t>1300</w:t>
      </w:r>
      <w:r>
        <w:rPr>
          <w:rFonts w:ascii="宋体" w:hAnsi="宋体" w:cs="宋体" w:eastAsia="宋体" w:hint="default"/>
          <w:spacing w:val="-1"/>
          <w:sz w:val="21"/>
          <w:szCs w:val="21"/>
        </w:rPr>
        <w:t>余万元的业务收入。截止报告期末公司</w:t>
      </w:r>
    </w:p>
    <w:p>
      <w:pPr>
        <w:pStyle w:val="BodyText"/>
        <w:spacing w:line="386" w:lineRule="auto" w:before="3"/>
        <w:ind w:left="153" w:right="211"/>
        <w:jc w:val="left"/>
      </w:pPr>
      <w:r>
        <w:rPr>
          <w:spacing w:val="-3"/>
        </w:rPr>
        <w:t>高校移动互联服务平台</w:t>
      </w:r>
      <w:r>
        <w:rPr>
          <w:rFonts w:ascii="Times New Roman" w:hAnsi="Times New Roman" w:cs="Times New Roman" w:eastAsia="Times New Roman" w:hint="default"/>
          <w:spacing w:val="-3"/>
        </w:rPr>
        <w:t>“</w:t>
      </w:r>
      <w:r>
        <w:rPr>
          <w:spacing w:val="-3"/>
        </w:rPr>
        <w:t>完美校园</w:t>
      </w:r>
      <w:r>
        <w:rPr>
          <w:rFonts w:ascii="Times New Roman" w:hAnsi="Times New Roman" w:cs="Times New Roman" w:eastAsia="Times New Roman" w:hint="default"/>
          <w:spacing w:val="-3"/>
        </w:rPr>
        <w:t>”</w:t>
      </w:r>
      <w:r>
        <w:rPr>
          <w:spacing w:val="-3"/>
        </w:rPr>
        <w:t>已与国内</w:t>
      </w:r>
      <w:r>
        <w:rPr>
          <w:rFonts w:ascii="Times New Roman" w:hAnsi="Times New Roman" w:cs="Times New Roman" w:eastAsia="Times New Roman" w:hint="default"/>
          <w:spacing w:val="-3"/>
        </w:rPr>
        <w:t>900</w:t>
      </w:r>
      <w:r>
        <w:rPr>
          <w:spacing w:val="-3"/>
        </w:rPr>
        <w:t>多所高校合作，覆盖用户</w:t>
      </w:r>
      <w:r>
        <w:rPr>
          <w:rFonts w:ascii="Times New Roman" w:hAnsi="Times New Roman" w:cs="Times New Roman" w:eastAsia="Times New Roman" w:hint="default"/>
          <w:spacing w:val="-3"/>
        </w:rPr>
        <w:t>1000</w:t>
      </w:r>
      <w:r>
        <w:rPr>
          <w:spacing w:val="-3"/>
        </w:rPr>
        <w:t>万人，其中，上线注册用户超</w:t>
      </w:r>
      <w:r>
        <w:rPr>
          <w:spacing w:val="-62"/>
        </w:rPr>
        <w:t> </w:t>
      </w:r>
      <w:r>
        <w:rPr>
          <w:spacing w:val="-62"/>
        </w:rPr>
      </w:r>
      <w:r>
        <w:rPr/>
        <w:t>过</w:t>
      </w:r>
      <w:r>
        <w:rPr>
          <w:rFonts w:ascii="Times New Roman" w:hAnsi="Times New Roman" w:cs="Times New Roman" w:eastAsia="Times New Roman" w:hint="default"/>
        </w:rPr>
        <w:t>600</w:t>
      </w:r>
      <w:r>
        <w:rPr/>
        <w:t>万人，认证用户超过</w:t>
      </w:r>
      <w:r>
        <w:rPr>
          <w:rFonts w:ascii="Times New Roman" w:hAnsi="Times New Roman" w:cs="Times New Roman" w:eastAsia="Times New Roman" w:hint="default"/>
        </w:rPr>
        <w:t>500</w:t>
      </w:r>
      <w:r>
        <w:rPr/>
        <w:t>万人，较</w:t>
      </w:r>
      <w:r>
        <w:rPr>
          <w:rFonts w:ascii="Times New Roman" w:hAnsi="Times New Roman" w:cs="Times New Roman" w:eastAsia="Times New Roman" w:hint="default"/>
        </w:rPr>
        <w:t>2016</w:t>
      </w:r>
      <w:r>
        <w:rPr/>
        <w:t>年实现了翻番。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用户平均日活跃度保持在 </w:t>
      </w:r>
      <w:r>
        <w:rPr>
          <w:rFonts w:ascii="Times New Roman" w:hAnsi="Times New Roman" w:cs="Times New Roman" w:eastAsia="Times New Roman" w:hint="default"/>
        </w:rPr>
        <w:t>5%-10%</w:t>
      </w:r>
      <w:r>
        <w:rPr/>
        <w:t>，平均周活跃度保持在</w:t>
      </w:r>
      <w:r>
        <w:rPr>
          <w:rFonts w:ascii="Times New Roman" w:hAnsi="Times New Roman" w:cs="Times New Roman" w:eastAsia="Times New Roman" w:hint="default"/>
        </w:rPr>
        <w:t>20%</w:t>
      </w:r>
      <w:r>
        <w:rPr/>
        <w:t>以上，平均月活跃度保持在</w:t>
      </w:r>
      <w:r>
        <w:rPr>
          <w:rFonts w:ascii="Times New Roman" w:hAnsi="Times New Roman" w:cs="Times New Roman" w:eastAsia="Times New Roman" w:hint="default"/>
        </w:rPr>
        <w:t>40%-50%</w:t>
      </w:r>
      <w:r>
        <w:rPr/>
        <w:t>，日活峰值达到</w:t>
      </w:r>
      <w:r>
        <w:rPr>
          <w:rFonts w:ascii="Times New Roman" w:hAnsi="Times New Roman" w:cs="Times New Roman" w:eastAsia="Times New Roman" w:hint="default"/>
        </w:rPr>
        <w:t>58.36</w:t>
      </w:r>
      <w:r>
        <w:rPr/>
        <w:t>万人次、月 活峰值达到</w:t>
      </w:r>
      <w:r>
        <w:rPr>
          <w:rFonts w:ascii="Times New Roman" w:hAnsi="Times New Roman" w:cs="Times New Roman" w:eastAsia="Times New Roman" w:hint="default"/>
        </w:rPr>
        <w:t>218.3</w:t>
      </w:r>
      <w:r>
        <w:rPr/>
        <w:t>万人次，较</w:t>
      </w:r>
      <w:r>
        <w:rPr>
          <w:rFonts w:ascii="Times New Roman" w:hAnsi="Times New Roman" w:cs="Times New Roman" w:eastAsia="Times New Roman" w:hint="default"/>
        </w:rPr>
        <w:t>2016</w:t>
      </w:r>
      <w:r>
        <w:rPr/>
        <w:t>年均实现了翻番。其中完美校园平台上的日交易笔数峰值达到了</w:t>
      </w:r>
      <w:r>
        <w:rPr>
          <w:rFonts w:ascii="Times New Roman" w:hAnsi="Times New Roman" w:cs="Times New Roman" w:eastAsia="Times New Roman" w:hint="default"/>
        </w:rPr>
        <w:t>29.85</w:t>
      </w:r>
      <w:r>
        <w:rPr/>
        <w:t>万 笔，较</w:t>
      </w:r>
      <w:r>
        <w:rPr>
          <w:rFonts w:ascii="Times New Roman" w:hAnsi="Times New Roman" w:cs="Times New Roman" w:eastAsia="Times New Roman" w:hint="default"/>
        </w:rPr>
        <w:t>2016</w:t>
      </w:r>
      <w:r>
        <w:rPr/>
        <w:t>年实现了倍增。</w:t>
      </w:r>
    </w:p>
    <w:p>
      <w:pPr>
        <w:pStyle w:val="BodyText"/>
        <w:spacing w:line="398" w:lineRule="auto" w:before="74"/>
        <w:ind w:left="153" w:right="195" w:firstLine="420"/>
        <w:jc w:val="left"/>
      </w:pPr>
      <w:r>
        <w:rPr/>
        <w:t>报告期内，</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持续深化校园生活、移动聚合支付、学习成长、兼职就业等服务能力，并积极 </w:t>
      </w:r>
      <w:r>
        <w:rPr>
          <w:spacing w:val="-3"/>
        </w:rPr>
        <w:t>与第三方互联网企业进行互联网增值业务探索。“完美校园”通过校区移动信息化服务、缴费云服务、个</w:t>
      </w:r>
      <w:r>
        <w:rPr>
          <w:spacing w:val="-73"/>
        </w:rPr>
        <w:t> </w:t>
      </w:r>
      <w:r>
        <w:rPr>
          <w:spacing w:val="-73"/>
        </w:rPr>
      </w:r>
      <w:r>
        <w:rPr/>
        <w:t>性化应用定制等多种方式，不断满足学校、学生的需求，不断促进学校接入和学生注册上线。</w:t>
      </w:r>
    </w:p>
    <w:p>
      <w:pPr>
        <w:pStyle w:val="BodyText"/>
        <w:spacing w:line="398" w:lineRule="auto" w:before="93"/>
        <w:ind w:left="153" w:right="210" w:firstLine="420"/>
        <w:jc w:val="both"/>
      </w:pP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的校区移动信息化版块通过移动端</w:t>
      </w:r>
      <w:r>
        <w:rPr>
          <w:rFonts w:ascii="Times New Roman" w:hAnsi="Times New Roman" w:cs="Times New Roman" w:eastAsia="Times New Roman" w:hint="default"/>
        </w:rPr>
        <w:t>7*24</w:t>
      </w:r>
      <w:r>
        <w:rPr/>
        <w:t>小时实时用户自助服务及多维度的</w:t>
      </w:r>
      <w:r>
        <w:rPr>
          <w:rFonts w:ascii="Times New Roman" w:hAnsi="Times New Roman" w:cs="Times New Roman" w:eastAsia="Times New Roman" w:hint="default"/>
        </w:rPr>
        <w:t>SaaS</w:t>
      </w:r>
      <w:r>
        <w:rPr/>
        <w:t>微服务，提 </w:t>
      </w:r>
      <w:r>
        <w:rPr>
          <w:spacing w:val="-1"/>
        </w:rPr>
        <w:t>供了综合的校园信息化及学生学习、生活、交友、娱乐、消费和人才成长服务，促进了用户活跃度保持在</w:t>
      </w:r>
      <w:r>
        <w:rPr>
          <w:spacing w:val="-82"/>
        </w:rPr>
        <w:t> </w:t>
      </w:r>
      <w:r>
        <w:rPr>
          <w:spacing w:val="-82"/>
        </w:rPr>
      </w:r>
      <w:r>
        <w:rPr/>
        <w:t>较高的水平</w:t>
      </w:r>
    </w:p>
    <w:p>
      <w:pPr>
        <w:pStyle w:val="BodyText"/>
        <w:spacing w:line="400" w:lineRule="auto" w:before="94"/>
        <w:ind w:left="153" w:right="208" w:firstLine="420"/>
        <w:jc w:val="both"/>
      </w:pPr>
      <w:r>
        <w:rPr>
          <w:spacing w:val="-5"/>
          <w:w w:val="99"/>
        </w:rPr>
        <w:t>结合完美校园</w:t>
      </w:r>
      <w:r>
        <w:rPr>
          <w:rFonts w:ascii="Times New Roman" w:hAnsi="Times New Roman" w:cs="Times New Roman" w:eastAsia="Times New Roman" w:hint="default"/>
          <w:spacing w:val="-5"/>
          <w:w w:val="99"/>
        </w:rPr>
        <w:t>APP</w:t>
      </w:r>
      <w:r>
        <w:rPr>
          <w:spacing w:val="-5"/>
          <w:w w:val="99"/>
        </w:rPr>
        <w:t>，公司紧抓移动支付行业发展机遇，在虚拟校园卡扫码付等多个方面取得可喜进展，</w:t>
      </w:r>
      <w:r>
        <w:rPr/>
        <w:t> </w:t>
      </w:r>
      <w:r>
        <w:rPr>
          <w:spacing w:val="-1"/>
        </w:rPr>
        <w:t>具备了在移动支付多个关键环节提供相应解决方案的能力和技术储备，业务拓展实现突破，顺利上线了大</w:t>
      </w:r>
      <w:r>
        <w:rPr>
          <w:spacing w:val="-81"/>
        </w:rPr>
        <w:t> </w:t>
      </w:r>
      <w:r>
        <w:rPr>
          <w:spacing w:val="-81"/>
        </w:rPr>
      </w:r>
      <w:r>
        <w:rPr>
          <w:spacing w:val="-1"/>
        </w:rPr>
        <w:t>连理工大学、云南大学、中南林业科技大学、首都体育学院、北京第二外国语学院、河南中医药学院、武</w:t>
      </w:r>
      <w:r>
        <w:rPr>
          <w:spacing w:val="-83"/>
        </w:rPr>
        <w:t> </w:t>
      </w:r>
      <w:r>
        <w:rPr>
          <w:spacing w:val="-83"/>
        </w:rPr>
      </w:r>
      <w:r>
        <w:rPr>
          <w:spacing w:val="-1"/>
        </w:rPr>
        <w:t>汉科技大学、河南工业大学、上海工程技术大学、清明上河园等多个虚拟卡扫码付项目，同时实现了支付</w:t>
      </w:r>
      <w:r>
        <w:rPr>
          <w:spacing w:val="-82"/>
        </w:rPr>
        <w:t> </w:t>
      </w:r>
      <w:r>
        <w:rPr>
          <w:spacing w:val="-82"/>
        </w:rPr>
      </w:r>
      <w:r>
        <w:rPr>
          <w:spacing w:val="-1"/>
        </w:rPr>
        <w:t>宝、微信、银联、银行及其他第三方支付的聚合支付应用，逐步实现了一卡通到一码通的升级。同时，秉</w:t>
      </w:r>
      <w:r>
        <w:rPr>
          <w:spacing w:val="-83"/>
        </w:rPr>
        <w:t> </w:t>
      </w:r>
      <w:r>
        <w:rPr>
          <w:spacing w:val="-83"/>
        </w:rPr>
      </w:r>
      <w:r>
        <w:rPr/>
        <w:t>承</w:t>
      </w:r>
      <w:r>
        <w:rPr>
          <w:rFonts w:ascii="Times New Roman" w:hAnsi="Times New Roman" w:cs="Times New Roman" w:eastAsia="Times New Roman" w:hint="default"/>
        </w:rPr>
        <w:t>“</w:t>
      </w:r>
      <w:r>
        <w:rPr/>
        <w:t>开放分享，合作共赢</w:t>
      </w:r>
      <w:r>
        <w:rPr>
          <w:rFonts w:ascii="Times New Roman" w:hAnsi="Times New Roman" w:cs="Times New Roman" w:eastAsia="Times New Roman" w:hint="default"/>
        </w:rPr>
        <w:t>”</w:t>
      </w:r>
      <w:r>
        <w:rPr/>
        <w:t>的企业发展理念，与金融机构共建校园生态圈，公司</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持续接入中国建 </w:t>
      </w:r>
      <w:r>
        <w:rPr>
          <w:spacing w:val="-5"/>
        </w:rPr>
        <w:t>设银行、中国工商银行、中国农业银行、中原银行、柳州银行、长沙银行、招商银行、支付宝、微信支付、</w:t>
      </w:r>
      <w:r>
        <w:rPr>
          <w:spacing w:val="-102"/>
        </w:rPr>
        <w:t> </w:t>
      </w:r>
      <w:r>
        <w:rPr>
          <w:spacing w:val="-102"/>
        </w:rPr>
      </w:r>
      <w:r>
        <w:rPr/>
        <w:t>翼支付等十余家银行及第三方支付机构，继续丰富</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支付通道，构建高校校园市场的聚合支付能 力。</w:t>
      </w:r>
    </w:p>
    <w:p>
      <w:pPr>
        <w:pStyle w:val="BodyText"/>
        <w:spacing w:line="398" w:lineRule="auto" w:before="91"/>
        <w:ind w:left="153" w:right="102" w:firstLine="420"/>
        <w:jc w:val="left"/>
      </w:pP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通过连接、运营用户，可直接获取用户痛点，通过业务数据的积累，也不断探索校园普惠 金融、教育培训、就业服务等方向的互联网服务，帮助大学生改善校园生活质量、提升就业能力和素质。</w:t>
      </w:r>
      <w:r>
        <w:rPr>
          <w:spacing w:val="-36"/>
        </w:rPr>
        <w:t> </w:t>
      </w:r>
      <w:r>
        <w:rPr>
          <w:spacing w:val="-36"/>
        </w:rPr>
      </w:r>
      <w:r>
        <w:rPr/>
        <w:t>公司经过移动互联网业务的积淀，为</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t>准确切入消费互联网积累了大量的资源基础。</w:t>
      </w:r>
      <w:r>
        <w:rPr>
          <w:rFonts w:ascii="Times New Roman" w:hAnsi="Times New Roman" w:cs="Times New Roman" w:eastAsia="Times New Roman" w:hint="default"/>
        </w:rPr>
        <w:t>“</w:t>
      </w:r>
      <w:r>
        <w:rPr/>
        <w:t>完美校园</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未来将持续围绕聚合内容、聚合支付、精准用户服务等业务开展人才成长各项服务升级，成为链接企业、</w:t>
      </w:r>
      <w:r>
        <w:rPr>
          <w:spacing w:val="-36"/>
        </w:rPr>
        <w:t> </w:t>
      </w:r>
      <w:r>
        <w:rPr>
          <w:spacing w:val="-36"/>
        </w:rPr>
      </w:r>
      <w:r>
        <w:rPr/>
        <w:t>金融机构、社会产品及增值服务、第三方互联网服务机构及内容服务商与高校、学生的多应用、多服务的</w:t>
      </w:r>
    </w:p>
    <w:p>
      <w:pPr>
        <w:spacing w:after="0" w:line="39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102"/>
        <w:jc w:val="left"/>
      </w:pPr>
      <w:r>
        <w:rPr/>
        <w:t>双边型平台。</w:t>
      </w:r>
    </w:p>
    <w:p>
      <w:pPr>
        <w:spacing w:line="240" w:lineRule="auto" w:before="10"/>
        <w:rPr>
          <w:rFonts w:ascii="宋体" w:hAnsi="宋体" w:cs="宋体" w:eastAsia="宋体" w:hint="default"/>
          <w:sz w:val="17"/>
          <w:szCs w:val="17"/>
        </w:rPr>
      </w:pPr>
    </w:p>
    <w:p>
      <w:pPr>
        <w:spacing w:line="420" w:lineRule="auto" w:before="0"/>
        <w:ind w:left="574" w:right="1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、智慧教育进入快速推广阶段</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报告期内，公司借助在大数据、云计算、物联网、智能硬件、现代电子工艺与可靠性等产业背景，结</w:t>
      </w:r>
    </w:p>
    <w:p>
      <w:pPr>
        <w:pStyle w:val="BodyText"/>
        <w:spacing w:line="410" w:lineRule="auto" w:before="35"/>
        <w:ind w:right="102"/>
        <w:jc w:val="left"/>
      </w:pPr>
      <w:r>
        <w:rPr>
          <w:spacing w:val="-1"/>
        </w:rPr>
        <w:t>合公司在高校市场的资源优势，广泛开展校企合作等各式职业教育，并通过自主开发拥有了初见成效的教</w:t>
      </w:r>
      <w:r>
        <w:rPr>
          <w:spacing w:val="-81"/>
        </w:rPr>
        <w:t> </w:t>
      </w:r>
      <w:r>
        <w:rPr>
          <w:spacing w:val="-81"/>
        </w:rPr>
      </w:r>
      <w:r>
        <w:rPr>
          <w:spacing w:val="-3"/>
        </w:rPr>
        <w:t>育软硬件产品线，正积极开展智慧教育综合解决方案业务（教育软硬件服务</w:t>
      </w:r>
      <w:r>
        <w:rPr>
          <w:rFonts w:ascii="Times New Roman" w:hAnsi="Times New Roman" w:cs="Times New Roman" w:eastAsia="Times New Roman" w:hint="default"/>
          <w:spacing w:val="-3"/>
        </w:rPr>
        <w:t>+</w:t>
      </w:r>
      <w:r>
        <w:rPr>
          <w:spacing w:val="-3"/>
        </w:rPr>
        <w:t>职业教育的业务）。</w:t>
      </w:r>
    </w:p>
    <w:p>
      <w:pPr>
        <w:pStyle w:val="BodyText"/>
        <w:spacing w:line="403" w:lineRule="auto" w:before="50"/>
        <w:ind w:left="153" w:right="102" w:firstLine="420"/>
        <w:jc w:val="left"/>
      </w:pPr>
      <w:r>
        <w:rPr/>
        <w:t>报告期内，公司开发了工业机器人实训系统、</w:t>
      </w:r>
      <w:r>
        <w:rPr>
          <w:rFonts w:ascii="Times New Roman" w:hAnsi="Times New Roman" w:cs="Times New Roman" w:eastAsia="Times New Roman" w:hint="default"/>
        </w:rPr>
        <w:t>PCB</w:t>
      </w:r>
      <w:r>
        <w:rPr/>
        <w:t>激光成型机、大数据教学实验平台、虚拟现实教学 科研平台、网络教学服务平台、物联网教学实验系统等产品，同时与全国数十所院校合作，不断完善相关 专业的培养方案及教学实验内容，已经取得了良好的效果。目前，公司已进一步拓展实验室产品的全国销 售力量，已在郑州、石家庄、西安、武汉、南昌、长沙、成都、广州等区域建立了专职销售和服务团队，</w:t>
      </w:r>
      <w:r>
        <w:rPr>
          <w:spacing w:val="-36"/>
        </w:rPr>
        <w:t> </w:t>
      </w:r>
      <w:r>
        <w:rPr>
          <w:spacing w:val="-36"/>
        </w:rPr>
      </w:r>
      <w:r>
        <w:rPr/>
        <w:t>且利用公司优势资源和渠道，在全国范围内开展信息技术类学科深度服务。</w:t>
      </w:r>
    </w:p>
    <w:p>
      <w:pPr>
        <w:pStyle w:val="BodyText"/>
        <w:spacing w:line="410" w:lineRule="auto" w:before="88"/>
        <w:ind w:left="153" w:right="210" w:firstLine="420"/>
        <w:jc w:val="both"/>
      </w:pPr>
      <w:r>
        <w:rPr>
          <w:spacing w:val="-1"/>
        </w:rPr>
        <w:t>报告期内，公司进一步巩固和拓展专业共建职业教育模式，与多所院校达成战略合作，且正利用公司</w:t>
      </w:r>
      <w:r>
        <w:rPr/>
        <w:t> </w:t>
      </w:r>
      <w:r>
        <w:rPr>
          <w:spacing w:val="-1"/>
        </w:rPr>
        <w:t>优势资源和渠道，开辟更多的服务学校。公司还着力搭建市场招生、教研教学、教质管理、就业管理等系</w:t>
      </w:r>
      <w:r>
        <w:rPr>
          <w:spacing w:val="-83"/>
        </w:rPr>
        <w:t> </w:t>
      </w:r>
      <w:r>
        <w:rPr>
          <w:spacing w:val="-83"/>
        </w:rPr>
      </w:r>
      <w:r>
        <w:rPr/>
        <w:t>列体系，为智慧教育业务未来持续快速的发展打好了基础。</w:t>
      </w:r>
    </w:p>
    <w:p>
      <w:pPr>
        <w:pStyle w:val="Heading4"/>
        <w:spacing w:line="240" w:lineRule="auto" w:before="85"/>
        <w:ind w:left="576" w:right="102"/>
        <w:jc w:val="left"/>
        <w:rPr>
          <w:b w:val="0"/>
          <w:bCs w:val="0"/>
        </w:rPr>
      </w:pPr>
      <w:r>
        <w:rPr/>
        <w:t>（二）成长业务</w:t>
      </w:r>
      <w:r>
        <w:rPr>
          <w:b w:val="0"/>
          <w:bCs w:val="0"/>
        </w:rPr>
      </w:r>
    </w:p>
    <w:p>
      <w:pPr>
        <w:spacing w:line="240" w:lineRule="auto" w:before="10"/>
        <w:rPr>
          <w:rFonts w:ascii="宋体" w:hAnsi="宋体" w:cs="宋体" w:eastAsia="宋体" w:hint="default"/>
          <w:b/>
          <w:bCs/>
          <w:sz w:val="17"/>
          <w:szCs w:val="17"/>
        </w:rPr>
      </w:pPr>
    </w:p>
    <w:p>
      <w:pPr>
        <w:pStyle w:val="Heading4"/>
        <w:spacing w:line="240" w:lineRule="auto"/>
        <w:ind w:left="576" w:right="102"/>
        <w:jc w:val="left"/>
        <w:rPr>
          <w:b w:val="0"/>
          <w:bCs w:val="0"/>
        </w:rPr>
      </w:pPr>
      <w:r>
        <w:rPr>
          <w:rFonts w:ascii="Times New Roman" w:hAnsi="Times New Roman" w:cs="Times New Roman" w:eastAsia="Times New Roman" w:hint="default"/>
        </w:rPr>
        <w:t>1</w:t>
      </w:r>
      <w:r>
        <w:rPr/>
        <w:t>、智慧企业一卡通销售进展顺利，系统解决方案完成了升级</w:t>
      </w:r>
      <w:r>
        <w:rPr>
          <w:b w:val="0"/>
          <w:bCs w:val="0"/>
        </w:rPr>
      </w:r>
    </w:p>
    <w:p>
      <w:pPr>
        <w:spacing w:line="240" w:lineRule="auto" w:before="6"/>
        <w:rPr>
          <w:rFonts w:ascii="宋体" w:hAnsi="宋体" w:cs="宋体" w:eastAsia="宋体" w:hint="default"/>
          <w:b/>
          <w:bCs/>
          <w:sz w:val="16"/>
          <w:szCs w:val="16"/>
        </w:rPr>
      </w:pPr>
    </w:p>
    <w:p>
      <w:pPr>
        <w:pStyle w:val="BodyText"/>
        <w:spacing w:line="398" w:lineRule="auto" w:before="0"/>
        <w:ind w:left="153" w:right="102" w:firstLine="420"/>
        <w:jc w:val="left"/>
      </w:pPr>
      <w:r>
        <w:rPr>
          <w:rFonts w:ascii="Times New Roman" w:hAnsi="Times New Roman" w:cs="Times New Roman" w:eastAsia="Times New Roman" w:hint="default"/>
        </w:rPr>
        <w:t>2017</w:t>
      </w:r>
      <w:r>
        <w:rPr/>
        <w:t>年度，公司在智慧企业一卡通业务领域实现了快速的增长。报告期内，企事业一卡通销售进展顺 利，南方航空，长城汽车，华润中铝，爱玛集团、清明上河园等一大批项目落地实施。另外，公司还响应 </w:t>
      </w:r>
      <w:r>
        <w:rPr>
          <w:spacing w:val="-5"/>
        </w:rPr>
        <w:t>市场需求，陆续开发出基于人脸识别、二维码、扫码付、移动互联网技术的人脸识别系统，完美企业</w:t>
      </w:r>
      <w:r>
        <w:rPr>
          <w:rFonts w:ascii="Times New Roman" w:hAnsi="Times New Roman" w:cs="Times New Roman" w:eastAsia="Times New Roman" w:hint="default"/>
          <w:spacing w:val="-5"/>
        </w:rPr>
        <w:t>APP</w:t>
      </w:r>
      <w:r>
        <w:rPr>
          <w:spacing w:val="-5"/>
        </w:rPr>
        <w:t>，</w:t>
      </w:r>
      <w:r>
        <w:rPr>
          <w:spacing w:val="-68"/>
        </w:rPr>
        <w:t> </w:t>
      </w:r>
      <w:r>
        <w:rPr/>
        <w:t>无线门锁等创新性产品。在以往基础性产品（考勤管理、楼宇门禁、办公室门锁、厂区出入通道、餐饮消</w:t>
      </w:r>
      <w:r>
        <w:rPr/>
        <w:t> 费管理、能源管控等）的基础上，丰富了针对于企业的产品和解决方案，正逐步由传统的一卡通服务提供 商转变为更加综合的企业信息化服务商。公司以企业信息化融合和中国制造</w:t>
      </w:r>
      <w:r>
        <w:rPr>
          <w:rFonts w:ascii="Times New Roman" w:hAnsi="Times New Roman" w:cs="Times New Roman" w:eastAsia="Times New Roman" w:hint="default"/>
        </w:rPr>
        <w:t>2025</w:t>
      </w:r>
      <w:r>
        <w:rPr/>
        <w:t>的信息化建设为导向进行 企事业行业的解决方案设计和供应，不断提升了为不同类别企业提供更加贴身的定制化系统服务的能力，</w:t>
      </w:r>
      <w:r>
        <w:rPr>
          <w:spacing w:val="-36"/>
        </w:rPr>
        <w:t> </w:t>
      </w:r>
      <w:r>
        <w:rPr>
          <w:spacing w:val="-36"/>
        </w:rPr>
      </w:r>
      <w:r>
        <w:rPr/>
        <w:t>持续提升竞争力和盈利水平。</w:t>
      </w:r>
    </w:p>
    <w:p>
      <w:pPr>
        <w:pStyle w:val="Heading4"/>
        <w:spacing w:line="386" w:lineRule="auto" w:before="94"/>
        <w:ind w:left="153" w:right="102" w:firstLine="422"/>
        <w:jc w:val="left"/>
        <w:rPr>
          <w:b w:val="0"/>
          <w:bCs w:val="0"/>
        </w:rPr>
      </w:pPr>
      <w:r>
        <w:rPr>
          <w:rFonts w:ascii="Times New Roman" w:hAnsi="Times New Roman" w:cs="Times New Roman" w:eastAsia="Times New Roman" w:hint="default"/>
        </w:rPr>
        <w:t>2</w:t>
      </w:r>
      <w:r>
        <w:rPr/>
        <w:t>、紧抓智慧城市建设、智慧住区、智慧养老及交通部公交卡互联互通业务趋势，拓展业务及完善平</w:t>
      </w:r>
      <w:r>
        <w:rPr>
          <w:spacing w:val="2"/>
          <w:w w:val="99"/>
        </w:rPr>
        <w:t> </w:t>
      </w:r>
      <w:r>
        <w:rPr/>
        <w:t>台及产品的建设能力</w:t>
      </w:r>
      <w:r>
        <w:rPr>
          <w:b w:val="0"/>
          <w:bCs w:val="0"/>
        </w:rPr>
      </w:r>
    </w:p>
    <w:p>
      <w:pPr>
        <w:pStyle w:val="BodyText"/>
        <w:spacing w:line="408" w:lineRule="auto" w:before="103"/>
        <w:ind w:left="153" w:right="208" w:firstLine="420"/>
        <w:jc w:val="both"/>
      </w:pPr>
      <w:r>
        <w:rPr>
          <w:spacing w:val="-1"/>
        </w:rPr>
        <w:t>报告期内，公司不断进行产品创新，积极布局智慧城市、智慧住区、智慧景区、智慧养老等领域。公</w:t>
      </w:r>
      <w:r>
        <w:rPr/>
        <w:t> </w:t>
      </w:r>
      <w:r>
        <w:rPr>
          <w:spacing w:val="-1"/>
        </w:rPr>
        <w:t>司快速响应交通部政策导向，参与了交通部公交卡互联互通省平台业务建设，报告期内，完成了青海省交</w:t>
      </w:r>
      <w:r>
        <w:rPr>
          <w:spacing w:val="-83"/>
        </w:rPr>
        <w:t> </w:t>
      </w:r>
      <w:r>
        <w:rPr>
          <w:spacing w:val="-83"/>
        </w:rPr>
      </w:r>
      <w:r>
        <w:rPr>
          <w:spacing w:val="-1"/>
        </w:rPr>
        <w:t>通一卡通互联互通平台一期上线及其海东、德令哈公交接入工作。智能公交应用领域推出了全支付车载终</w:t>
      </w:r>
      <w:r>
        <w:rPr>
          <w:spacing w:val="-81"/>
        </w:rPr>
        <w:t> </w:t>
      </w:r>
      <w:r>
        <w:rPr>
          <w:spacing w:val="-81"/>
        </w:rPr>
      </w:r>
      <w:r>
        <w:rPr/>
        <w:t>端，实现了金融电子现金、金融双免、金融</w:t>
      </w:r>
      <w:r>
        <w:rPr>
          <w:spacing w:val="38"/>
        </w:rPr>
        <w:t> </w:t>
      </w:r>
      <w:r>
        <w:rPr>
          <w:rFonts w:ascii="Times New Roman" w:hAnsi="Times New Roman" w:cs="Times New Roman" w:eastAsia="Times New Roman" w:hint="default"/>
        </w:rPr>
        <w:t>ODA</w:t>
      </w:r>
      <w:r>
        <w:rPr/>
        <w:t>、支付宝、微信、自发二维码扫码付的全面乘车消费支</w:t>
      </w:r>
    </w:p>
    <w:p>
      <w:pPr>
        <w:spacing w:after="0" w:line="40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386" w:lineRule="auto" w:before="174"/>
        <w:ind w:right="150"/>
        <w:jc w:val="both"/>
      </w:pPr>
      <w:r>
        <w:rPr>
          <w:spacing w:val="-3"/>
        </w:rPr>
        <w:t>撑，结合前期发布的智能公交</w:t>
      </w:r>
      <w:r>
        <w:rPr>
          <w:spacing w:val="-79"/>
        </w:rPr>
        <w:t> </w:t>
      </w:r>
      <w:r>
        <w:rPr>
          <w:rFonts w:ascii="Times New Roman" w:hAnsi="Times New Roman" w:cs="Times New Roman" w:eastAsia="Times New Roman" w:hint="default"/>
        </w:rPr>
        <w:t>APP</w:t>
      </w:r>
      <w:r>
        <w:rPr>
          <w:rFonts w:ascii="Times New Roman" w:hAnsi="Times New Roman" w:cs="Times New Roman" w:eastAsia="Times New Roman" w:hint="default"/>
          <w:spacing w:val="-26"/>
        </w:rPr>
        <w:t> </w:t>
      </w:r>
      <w:r>
        <w:rPr/>
        <w:t>产品，确保了公交领域互联网金融消费能力的社会化服务保障水平，为 与第三方支付机构以及金融机构合作铺垫了产品基础。报告期内，广西农信金融 </w:t>
      </w:r>
      <w:r>
        <w:rPr>
          <w:rFonts w:ascii="Times New Roman" w:hAnsi="Times New Roman" w:cs="Times New Roman" w:eastAsia="Times New Roman" w:hint="default"/>
        </w:rPr>
        <w:t>IC</w:t>
      </w:r>
      <w:r>
        <w:rPr>
          <w:rFonts w:ascii="Times New Roman" w:hAnsi="Times New Roman" w:cs="Times New Roman" w:eastAsia="Times New Roman" w:hint="default"/>
          <w:spacing w:val="28"/>
        </w:rPr>
        <w:t> </w:t>
      </w:r>
      <w:r>
        <w:rPr/>
        <w:t>卡平台、河南农信金 融 </w:t>
      </w:r>
      <w:r>
        <w:rPr>
          <w:rFonts w:ascii="Times New Roman" w:hAnsi="Times New Roman" w:cs="Times New Roman" w:eastAsia="Times New Roman" w:hint="default"/>
        </w:rPr>
        <w:t>IC</w:t>
      </w:r>
      <w:r>
        <w:rPr>
          <w:rFonts w:ascii="Times New Roman" w:hAnsi="Times New Roman" w:cs="Times New Roman" w:eastAsia="Times New Roman" w:hint="default"/>
          <w:spacing w:val="28"/>
        </w:rPr>
        <w:t> </w:t>
      </w:r>
      <w:r>
        <w:rPr/>
        <w:t>卡平台、盐城一卡通等多个项目进展顺利。公司通过行业应用能力的提升，已由线下应用解决方案 </w:t>
      </w:r>
      <w:r>
        <w:rPr>
          <w:spacing w:val="-6"/>
        </w:rPr>
        <w:t>供应商逐步转为“线上</w:t>
      </w:r>
      <w:r>
        <w:rPr>
          <w:rFonts w:ascii="Times New Roman" w:hAnsi="Times New Roman" w:cs="Times New Roman" w:eastAsia="Times New Roman" w:hint="default"/>
          <w:spacing w:val="-6"/>
        </w:rPr>
        <w:t>+</w:t>
      </w:r>
      <w:r>
        <w:rPr>
          <w:spacing w:val="-6"/>
        </w:rPr>
        <w:t>线下”、“产品</w:t>
      </w:r>
      <w:r>
        <w:rPr>
          <w:rFonts w:ascii="Times New Roman" w:hAnsi="Times New Roman" w:cs="Times New Roman" w:eastAsia="Times New Roman" w:hint="default"/>
          <w:spacing w:val="-6"/>
        </w:rPr>
        <w:t>+</w:t>
      </w:r>
      <w:r>
        <w:rPr>
          <w:spacing w:val="-6"/>
        </w:rPr>
        <w:t>服务”相结合的城市综合服务商，将为智慧城市建设提供详实的消</w:t>
      </w:r>
      <w:r>
        <w:rPr>
          <w:spacing w:val="-80"/>
        </w:rPr>
        <w:t> </w:t>
      </w:r>
      <w:r>
        <w:rPr>
          <w:spacing w:val="-80"/>
        </w:rPr>
      </w:r>
      <w:r>
        <w:rPr/>
        <w:t>费大数据，让城市生活更美好。</w:t>
      </w:r>
    </w:p>
    <w:p>
      <w:pPr>
        <w:spacing w:line="420" w:lineRule="auto" w:before="104"/>
        <w:ind w:left="574" w:right="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、智慧能源、智慧水利正在积极开拓市场、夯实业务基础</w:t>
      </w:r>
      <w:r>
        <w:rPr>
          <w:rFonts w:ascii="宋体" w:hAnsi="宋体" w:cs="宋体" w:eastAsia="宋体" w:hint="default"/>
          <w:b/>
          <w:bCs/>
          <w:w w:val="99"/>
          <w:sz w:val="21"/>
          <w:szCs w:val="21"/>
        </w:rPr>
        <w:t> </w:t>
      </w:r>
      <w:r>
        <w:rPr>
          <w:rFonts w:ascii="宋体" w:hAnsi="宋体" w:cs="宋体" w:eastAsia="宋体" w:hint="default"/>
          <w:spacing w:val="-1"/>
          <w:sz w:val="21"/>
          <w:szCs w:val="21"/>
        </w:rPr>
        <w:t>在电力业务板块，随着电网公司智能电表改造工作的推进，电力事业部电力载波模块及相关产品在电</w:t>
      </w:r>
    </w:p>
    <w:p>
      <w:pPr>
        <w:pStyle w:val="BodyText"/>
        <w:spacing w:line="410" w:lineRule="auto" w:before="35"/>
        <w:ind w:right="151"/>
        <w:jc w:val="both"/>
      </w:pPr>
      <w:r>
        <w:rPr>
          <w:spacing w:val="-1"/>
        </w:rPr>
        <w:t>网公司得到了更为有效的推广。同时，对基于多频通信技术的双频载波模块、宽带载波进行深入研发并取</w:t>
      </w:r>
      <w:r>
        <w:rPr>
          <w:spacing w:val="-83"/>
        </w:rPr>
        <w:t> </w:t>
      </w:r>
      <w:r>
        <w:rPr>
          <w:spacing w:val="-83"/>
        </w:rPr>
      </w:r>
      <w:r>
        <w:rPr/>
        <w:t>得成功，在多个试点运行良好。基于多模通信技术的双模载波模块项目得到启动。</w:t>
      </w:r>
    </w:p>
    <w:p>
      <w:pPr>
        <w:pStyle w:val="BodyText"/>
        <w:spacing w:line="410" w:lineRule="auto" w:before="82"/>
        <w:ind w:right="150" w:firstLine="420"/>
        <w:jc w:val="both"/>
      </w:pPr>
      <w:r>
        <w:rPr>
          <w:spacing w:val="-5"/>
        </w:rPr>
        <w:t>在燃气业务板块，公司不仅在原来基础上升级了</w:t>
      </w:r>
      <w:r>
        <w:rPr>
          <w:spacing w:val="-50"/>
        </w:rPr>
        <w:t> </w:t>
      </w:r>
      <w:r>
        <w:rPr/>
        <w:t>IC</w:t>
      </w:r>
      <w:r>
        <w:rPr>
          <w:spacing w:val="-49"/>
        </w:rPr>
        <w:t> </w:t>
      </w:r>
      <w:r>
        <w:rPr>
          <w:spacing w:val="-13"/>
        </w:rPr>
        <w:t>卡燃气表、温补燃气表、金融</w:t>
      </w:r>
      <w:r>
        <w:rPr>
          <w:spacing w:val="-50"/>
        </w:rPr>
        <w:t> </w:t>
      </w:r>
      <w:r>
        <w:rPr/>
        <w:t>IC</w:t>
      </w:r>
      <w:r>
        <w:rPr>
          <w:spacing w:val="-49"/>
        </w:rPr>
        <w:t> </w:t>
      </w:r>
      <w:r>
        <w:rPr/>
        <w:t>卡燃气表等产品，</w:t>
      </w:r>
      <w:r>
        <w:rPr>
          <w:spacing w:val="-1"/>
        </w:rPr>
        <w:t> </w:t>
      </w:r>
      <w:r>
        <w:rPr/>
        <w:t>同时开发了</w:t>
      </w:r>
      <w:r>
        <w:rPr>
          <w:spacing w:val="-67"/>
        </w:rPr>
        <w:t> </w:t>
      </w:r>
      <w:r>
        <w:rPr/>
        <w:t>LoRa</w:t>
      </w:r>
      <w:r>
        <w:rPr>
          <w:spacing w:val="-66"/>
        </w:rPr>
        <w:t> </w:t>
      </w:r>
      <w:r>
        <w:rPr/>
        <w:t>物联网燃气表和</w:t>
      </w:r>
      <w:r>
        <w:rPr>
          <w:spacing w:val="-67"/>
        </w:rPr>
        <w:t> </w:t>
      </w:r>
      <w:r>
        <w:rPr/>
        <w:t>GPRS</w:t>
      </w:r>
      <w:r>
        <w:rPr>
          <w:spacing w:val="-67"/>
        </w:rPr>
        <w:t> </w:t>
      </w:r>
      <w:r>
        <w:rPr/>
        <w:t>物联网燃气表等新产品。公司产品成功销售至昆仑燃气集团、兴港</w:t>
      </w:r>
      <w:r>
        <w:rPr>
          <w:spacing w:val="-1"/>
        </w:rPr>
        <w:t> </w:t>
      </w:r>
      <w:r>
        <w:rPr/>
        <w:t>燃气、菏泽昆仑、河南昆仑等知名大型燃气公司。 </w:t>
      </w:r>
    </w:p>
    <w:p>
      <w:pPr>
        <w:pStyle w:val="BodyText"/>
        <w:spacing w:line="410" w:lineRule="auto" w:before="82"/>
        <w:ind w:right="151" w:firstLine="420"/>
        <w:jc w:val="both"/>
      </w:pPr>
      <w:r>
        <w:rPr>
          <w:spacing w:val="-1"/>
        </w:rPr>
        <w:t>报告期内，智慧水利业务得以启动，公司针对水利信息化领域的行业需求，研发了“水资源税综合管</w:t>
      </w:r>
      <w:r>
        <w:rPr/>
        <w:t> </w:t>
      </w:r>
      <w:r>
        <w:rPr>
          <w:spacing w:val="-10"/>
        </w:rPr>
        <w:t>理平台”、“河长制信息化管理平台”、“农业水价综合改革信息化平台”“山洪灾害预警及防治系统”等软</w:t>
      </w:r>
      <w:r>
        <w:rPr>
          <w:spacing w:val="-84"/>
        </w:rPr>
        <w:t> </w:t>
      </w:r>
      <w:r>
        <w:rPr>
          <w:spacing w:val="-84"/>
        </w:rPr>
      </w:r>
      <w:r>
        <w:rPr/>
        <w:t>件平台系统。在智慧水利业务板块，河南省水资源税信息管理平台等数个项目落地成功。 </w:t>
      </w:r>
    </w:p>
    <w:p>
      <w:pPr>
        <w:spacing w:line="417" w:lineRule="auto" w:before="85"/>
        <w:ind w:left="574" w:right="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、持续产品和模式创新，强化研发能力</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报告期内，公司在关注前沿技术进展的同时，结合客户需求、公司的实际情况前瞻性地进行了研发项</w:t>
      </w:r>
    </w:p>
    <w:p>
      <w:pPr>
        <w:pStyle w:val="BodyText"/>
        <w:spacing w:line="410" w:lineRule="auto" w:before="38"/>
        <w:ind w:right="149"/>
        <w:jc w:val="both"/>
      </w:pPr>
      <w:r>
        <w:rPr>
          <w:spacing w:val="-1"/>
        </w:rPr>
        <w:t>目的规划，并通过与子公司研发能力进行深度整合，架构调整，实现了优势互补。报告期内，公司还在上</w:t>
      </w:r>
      <w:r>
        <w:rPr>
          <w:spacing w:val="-83"/>
        </w:rPr>
        <w:t> </w:t>
      </w:r>
      <w:r>
        <w:rPr>
          <w:spacing w:val="-83"/>
        </w:rPr>
      </w:r>
      <w:r>
        <w:rPr>
          <w:spacing w:val="-1"/>
        </w:rPr>
        <w:t>海设置了集团软件研究院、在北京设置了一卡通研发中心，利用北京上海的高端人才优势全面提升公司全</w:t>
      </w:r>
      <w:r>
        <w:rPr>
          <w:spacing w:val="-81"/>
        </w:rPr>
        <w:t> </w:t>
      </w:r>
      <w:r>
        <w:rPr>
          <w:spacing w:val="-81"/>
        </w:rPr>
      </w:r>
      <w:r>
        <w:rPr/>
        <w:t>系列产品的技术水平。</w:t>
      </w:r>
    </w:p>
    <w:p>
      <w:pPr>
        <w:spacing w:line="420" w:lineRule="auto" w:before="83"/>
        <w:ind w:left="574" w:right="13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、优化组织架构、流程及搭建企业大学</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报告期内，公司聘请专业的管理咨询机构优化了组织架构，流程，更加强调了协同和组织效率。公司</w:t>
      </w:r>
    </w:p>
    <w:p>
      <w:pPr>
        <w:pStyle w:val="BodyText"/>
        <w:spacing w:line="398" w:lineRule="auto" w:before="35"/>
        <w:ind w:right="149"/>
        <w:jc w:val="both"/>
      </w:pPr>
      <w:r>
        <w:rPr>
          <w:spacing w:val="-2"/>
        </w:rPr>
        <w:t>还成立了公司的企业大学</w:t>
      </w:r>
      <w:r>
        <w:rPr>
          <w:rFonts w:ascii="Times New Roman" w:hAnsi="Times New Roman" w:cs="Times New Roman" w:eastAsia="Times New Roman" w:hint="default"/>
          <w:spacing w:val="-2"/>
        </w:rPr>
        <w:t>-</w:t>
      </w:r>
      <w:r>
        <w:rPr>
          <w:spacing w:val="-2"/>
        </w:rPr>
        <w:t>新开普商学院，通过企业大学、培训体系的建设为优秀的员工搭建了更为全面的</w:t>
      </w:r>
      <w:r>
        <w:rPr/>
        <w:t> </w:t>
      </w:r>
      <w:r>
        <w:rPr>
          <w:spacing w:val="-1"/>
        </w:rPr>
        <w:t>成长平台，为其提供学习与成长机会、促进人员能力的不断提升、部门间沟通、交流的不断深入及学习型</w:t>
      </w:r>
      <w:r>
        <w:rPr>
          <w:spacing w:val="-82"/>
        </w:rPr>
        <w:t> </w:t>
      </w:r>
      <w:r>
        <w:rPr>
          <w:spacing w:val="-82"/>
        </w:rPr>
      </w:r>
      <w:r>
        <w:rPr/>
        <w:t>组织的建设。</w:t>
      </w:r>
    </w:p>
    <w:p>
      <w:pPr>
        <w:pStyle w:val="BodyText"/>
        <w:spacing w:line="386" w:lineRule="auto" w:before="93"/>
        <w:ind w:right="151" w:firstLine="420"/>
        <w:jc w:val="both"/>
      </w:pPr>
      <w:r>
        <w:rPr/>
        <w:t>回顾 </w:t>
      </w:r>
      <w:r>
        <w:rPr>
          <w:rFonts w:ascii="Times New Roman" w:hAnsi="Times New Roman" w:cs="Times New Roman" w:eastAsia="Times New Roman" w:hint="default"/>
        </w:rPr>
        <w:t>2017</w:t>
      </w:r>
      <w:r>
        <w:rPr>
          <w:rFonts w:ascii="Times New Roman" w:hAnsi="Times New Roman" w:cs="Times New Roman" w:eastAsia="Times New Roman" w:hint="default"/>
          <w:spacing w:val="-28"/>
        </w:rPr>
        <w:t> </w:t>
      </w:r>
      <w:r>
        <w:rPr>
          <w:spacing w:val="-4"/>
        </w:rPr>
        <w:t>年，公司在多个业务上取得了突破，获得了快速的增长同时也为未来开拓了诸多的增长点，</w:t>
      </w:r>
      <w:r>
        <w:rPr/>
        <w:t> 为公司持续健康快速增长奠定了良好的基础。</w:t>
      </w:r>
    </w:p>
    <w:p>
      <w:pPr>
        <w:spacing w:after="0" w:line="386" w:lineRule="auto"/>
        <w:jc w:val="both"/>
        <w:sectPr>
          <w:pgSz w:w="11910" w:h="16840"/>
          <w:pgMar w:header="747" w:footer="982" w:top="1060" w:bottom="1180" w:left="980" w:right="980"/>
        </w:sectPr>
      </w:pPr>
    </w:p>
    <w:p>
      <w:pPr>
        <w:spacing w:line="240" w:lineRule="auto" w:before="7"/>
        <w:rPr>
          <w:rFonts w:ascii="宋体" w:hAnsi="宋体" w:cs="宋体" w:eastAsia="宋体" w:hint="default"/>
          <w:sz w:val="29"/>
          <w:szCs w:val="29"/>
        </w:rPr>
      </w:pPr>
    </w:p>
    <w:p>
      <w:pPr>
        <w:pStyle w:val="Heading2"/>
        <w:spacing w:line="240" w:lineRule="auto" w:before="26"/>
        <w:ind w:right="133"/>
        <w:jc w:val="left"/>
        <w:rPr>
          <w:b w:val="0"/>
          <w:bCs w:val="0"/>
        </w:rPr>
      </w:pPr>
      <w:r>
        <w:rPr/>
        <w:t>二、主营业务分析</w:t>
      </w:r>
      <w:r>
        <w:rPr>
          <w:b w:val="0"/>
          <w:bCs w:val="0"/>
        </w:rPr>
      </w:r>
    </w:p>
    <w:p>
      <w:pPr>
        <w:spacing w:line="240" w:lineRule="auto" w:before="8"/>
        <w:rPr>
          <w:rFonts w:ascii="宋体" w:hAnsi="宋体" w:cs="宋体" w:eastAsia="宋体" w:hint="default"/>
          <w:b/>
          <w:bCs/>
          <w:sz w:val="30"/>
          <w:szCs w:val="30"/>
        </w:rPr>
      </w:pPr>
    </w:p>
    <w:p>
      <w:pPr>
        <w:pStyle w:val="Heading4"/>
        <w:spacing w:line="240" w:lineRule="auto"/>
        <w:ind w:right="13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7" w:right="133"/>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6"/>
        <w:rPr>
          <w:rFonts w:ascii="宋体" w:hAnsi="宋体" w:cs="宋体" w:eastAsia="宋体" w:hint="default"/>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5991"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38" w:lineRule="auto" w:before="26"/>
        <w:ind w:left="154" w:right="41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3"/>
        <w:ind w:left="154" w:right="59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40" w:lineRule="auto" w:before="42"/>
        <w:ind w:left="154" w:right="15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产业链相关业务》的披露要求： 否</w:t>
      </w:r>
    </w:p>
    <w:p>
      <w:pPr>
        <w:spacing w:line="338" w:lineRule="auto" w:before="40"/>
        <w:ind w:left="154" w:right="68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before="43"/>
        <w:ind w:left="154" w:right="133"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6"/>
        <w:ind w:left="0" w:right="1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769,619,720.03</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683,488,129.76</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12.60%</w:t>
            </w:r>
            <w:r>
              <w:rPr>
                <w:rFonts w:ascii="Times New Roman"/>
                <w:sz w:val="18"/>
              </w:rPr>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498,941,053.93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64.83%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377,727,523.64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55.26%</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32.09%</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企事业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135,984,180.21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17.67%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190,628,230.11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27.89%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-28.67%</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20,264,437.05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20,436,353.38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2.99%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-0.84%</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经销商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114,430,048.84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14.87%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94,696,022.63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13.85%</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20.84%</w:t>
            </w:r>
            <w:r>
              <w:rPr>
                <w:rFonts w:ascii="Times New Roman"/>
                <w:sz w:val="18"/>
              </w:rPr>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69,291,049.31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9.00%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49,836,784.80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7.29%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39.04%</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114,159,622.61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14.83%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81,563,732.84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39.96%</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资源管控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150,095,060.74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19.50%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193,982,485.87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28.38%</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-22.62%</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436,073,987.37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56.66%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358,105,126.25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52.39%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21.77%</w:t>
            </w:r>
            <w:r>
              <w:rPr>
                <w:rFonts w:ascii="Times New Roman"/>
                <w:sz w:val="18"/>
              </w:rPr>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213,430,050.68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27.73%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184,794,267.40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27.04%</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15.50%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179,890,597.79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23.37%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193,390,121.18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28.29%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142,381,017.11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110,778,374.07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16.21%</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28.53%</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70,250,787.39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50,434,348.70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7.38%</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39.29%</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58,809,252.58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44,220,217.64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6.47%</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32.99%</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73,804,162.21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58,387,658.32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8.54%</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26.40%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31,053,852.27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41,483,142.45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6.07%</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-25.14%</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34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215" w:space="5704"/>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498,941,053.93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227,694,043.83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54.36%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32.09%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32.92%</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-0.28%</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企事业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135,984,180.21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65,241,600.36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52.02%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-28.67%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-28.10%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-0.38%</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20,264,437.05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3,667,620.36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81.90%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-0.84%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-51.07%</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18.58%</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经销商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114,430,048.84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45,714,670.04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20.84%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19.94%</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0.30%</w:t>
            </w:r>
            <w:r>
              <w:rPr>
                <w:rFonts w:ascii="Times New Roman"/>
                <w:sz w:val="18"/>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69,291,049.31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21,324,731.82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69.22%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39.04%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28.02%</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2.65%</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114,159,622.61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42,210,183.73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63.03%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39.96%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43.08%</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-0.81%</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150,095,060.74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77,756,796.51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48.19%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-22.62%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-17.70%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-3.10%</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436,073,987.37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201,026,222.53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53.90%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21.77%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20.36%</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0.54%</w:t>
            </w:r>
            <w:r>
              <w:rPr>
                <w:rFonts w:ascii="Times New Roman"/>
                <w:sz w:val="18"/>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213,430,050.68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90,649,806.39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57.53%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15.50%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9.58%</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2.29%</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179,890,597.79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71,786,723.11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-10.73%</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1.67%</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142,381,017.11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64,357,655.46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54.80%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28.53%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33.62%</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-1.72%</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70,250,787.39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26,849,626.72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61.78%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39.29%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48.43%</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-2.35%</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58,809,252.58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29,011,088.39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50.67%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32.99%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42.75%</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-3.37%</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73,804,162.21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43,094,955.22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41.61%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26.40%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34.60%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-3.55%</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31,053,852.27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16,568,079.30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46.65%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-25.14%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-36.09%</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9.14%</w:t>
            </w:r>
            <w:r>
              <w:rPr>
                <w:rFonts w:ascii="Times New Roman"/>
                <w:sz w:val="18"/>
              </w:rPr>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智能一卡通行业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1,367,116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3,976,783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-65.62%</w:t>
            </w:r>
            <w:r>
              <w:rPr>
                <w:rFonts w:ascii="Times New Roman"/>
                <w:sz w:val="18"/>
              </w:rPr>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1,482,606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4,034,578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-63.25%</w:t>
            </w:r>
            <w:r>
              <w:rPr>
                <w:rFonts w:ascii="Times New Roman"/>
                <w:sz w:val="18"/>
              </w:rPr>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681,645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566,155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20.40%</w:t>
            </w:r>
            <w:r>
              <w:rPr>
                <w:rFonts w:ascii="Times New Roman"/>
                <w:sz w:val="18"/>
              </w:rPr>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left="153" w:right="133" w:firstLine="423"/>
        <w:jc w:val="left"/>
      </w:pPr>
      <w:r>
        <w:rPr>
          <w:rFonts w:ascii="Times New Roman" w:hAnsi="Times New Roman" w:cs="Times New Roman" w:eastAsia="Times New Roman" w:hint="default"/>
          <w:spacing w:val="-1"/>
        </w:rPr>
        <w:t>2017</w:t>
      </w:r>
      <w:r>
        <w:rPr>
          <w:spacing w:val="-1"/>
        </w:rPr>
        <w:t>年度，由于市场环境的变化，智能电力载波模块销售出现大幅度下降，公司相应的产品生产量和</w:t>
      </w:r>
      <w:r>
        <w:rPr/>
        <w:t> 销售量均出现大幅下降，另外公司智慧校园相关产品稳步提升。</w:t>
      </w:r>
    </w:p>
    <w:p>
      <w:pPr>
        <w:spacing w:line="240" w:lineRule="auto" w:before="0"/>
        <w:rPr>
          <w:rFonts w:ascii="宋体" w:hAnsi="宋体" w:cs="宋体" w:eastAsia="宋体" w:hint="default"/>
          <w:sz w:val="22"/>
          <w:szCs w:val="22"/>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154" w:right="133"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20,280,013.85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95.10%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15,183,634.51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93.61%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33.56%</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576,298.58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441,625.72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30.49%</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身份识别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468,419.39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594,070.15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-21.15%</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40,151,702.40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95.12%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27,722,009.44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94.63%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44.84%</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1,153,883.89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651,402.40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77.14%</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小额支付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904,597.43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921,911.10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-1.88%</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69,401,530.65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89.25%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80,297,942.17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85.15%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-13.57%</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5,422,563.38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2,794,715.21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94.03%</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2,932,702.47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11,209,750.28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-73.84%</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153"/>
        <w:ind w:left="577" w:right="133"/>
        <w:jc w:val="left"/>
      </w:pPr>
      <w:r>
        <w:rPr/>
        <w:t>本年度公司新设子公司郑州新开普科技有限公司，将其纳入报表合并范围内。</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37,969,583.74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4.93%</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河北大学</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8,361,349.61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辽宁师范大学</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7,615,635.04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北京化工大学</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7,539,881.35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中国农业银行股份有限公司岳阳分行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7,264,038.47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支付宝（中国）网络技术有限公司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7,188,679.27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37,969,583.74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4.93%</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31,458,609.35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北京宏通万达智能科技有限公司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10,232,717.91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杭州希贤科技有限公司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6,186,891.37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河南创力电子有限公司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5,856,009.50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沧州通达隆昌电子机箱有限公司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4,742,170.92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河南宏卓电子科技有限公司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4,440,819.65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31,458,609.35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179,838,096.56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158,297,377.65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13.61%</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主要原因系随公司业务增长而相应 </w:t>
            </w:r>
            <w:r>
              <w:rPr>
                <w:rFonts w:ascii="宋体" w:hAnsi="宋体" w:cs="宋体" w:eastAsia="宋体" w:hint="default"/>
                <w:spacing w:val="-2"/>
                <w:sz w:val="18"/>
                <w:szCs w:val="18"/>
              </w:rPr>
              <w:t>增加的职工薪酬、办公、交通及业务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招待等费用</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144,123,072.97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112,595,667.66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28.00%</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both"/>
              <w:rPr>
                <w:rFonts w:ascii="宋体" w:hAnsi="宋体" w:cs="宋体" w:eastAsia="宋体" w:hint="default"/>
                <w:sz w:val="18"/>
                <w:szCs w:val="18"/>
              </w:rPr>
            </w:pPr>
            <w:r>
              <w:rPr>
                <w:rFonts w:ascii="宋体" w:hAnsi="宋体" w:cs="宋体" w:eastAsia="宋体" w:hint="default"/>
                <w:sz w:val="18"/>
                <w:szCs w:val="18"/>
              </w:rPr>
              <w:t>主要原因系公司加大研发资源的投 入带来的研发费用增长及本年度公 司限制性股票费用增加</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5,509,721.97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8,367,967.67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-34.16%</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主要系报告期内利息收入较上年同 期增加所致</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sz w:val="2"/>
          <w:szCs w:val="2"/>
        </w:rPr>
      </w:pPr>
    </w:p>
    <w:p>
      <w:pPr>
        <w:spacing w:line="20" w:lineRule="exact"/>
        <w:ind w:left="5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539" w:right="561"/>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539" w:right="5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539" w:right="561" w:firstLine="420"/>
        <w:jc w:val="left"/>
      </w:pPr>
      <w:r>
        <w:rPr/>
        <w:t>公司是国家重点支持的高新技术企业、火炬计划重点高新技术企业，持续的研发与创新是公司保持核心竞争力的重要保证，长期以来公司一直非常 重视研发投入，报告期内，公司仍保持了较大的技术开发与研究投入力度，研发投入金额占营业收入比例为</w:t>
      </w:r>
      <w:r>
        <w:rPr>
          <w:rFonts w:ascii="Times New Roman" w:hAnsi="Times New Roman" w:cs="Times New Roman" w:eastAsia="Times New Roman" w:hint="default"/>
        </w:rPr>
        <w:t>13.65%</w:t>
      </w:r>
      <w:r>
        <w:rPr/>
        <w:t>。</w:t>
      </w:r>
    </w:p>
    <w:p>
      <w:pPr>
        <w:pStyle w:val="BodyText"/>
        <w:spacing w:line="240" w:lineRule="auto" w:before="14"/>
        <w:ind w:left="959" w:right="561"/>
        <w:jc w:val="left"/>
      </w:pPr>
      <w:r>
        <w:rPr/>
        <w:t>报告期内，公司进行的研发项目进展情况如下：</w:t>
      </w:r>
    </w:p>
    <w:p>
      <w:pPr>
        <w:spacing w:line="240" w:lineRule="auto" w:before="7"/>
        <w:rPr>
          <w:rFonts w:ascii="宋体" w:hAnsi="宋体" w:cs="宋体" w:eastAsia="宋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710"/>
        <w:gridCol w:w="1843"/>
        <w:gridCol w:w="1134"/>
        <w:gridCol w:w="1842"/>
        <w:gridCol w:w="1276"/>
        <w:gridCol w:w="7938"/>
      </w:tblGrid>
      <w:tr>
        <w:trPr>
          <w:trHeight w:val="654" w:hRule="exact"/>
        </w:trPr>
        <w:tc>
          <w:tcPr>
            <w:tcW w:w="71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b/>
                <w:bCs/>
                <w:sz w:val="18"/>
                <w:szCs w:val="18"/>
              </w:rPr>
              <w:t>对应功能</w:t>
            </w:r>
            <w:r>
              <w:rPr>
                <w:rFonts w:ascii="宋体" w:hAnsi="宋体" w:cs="宋体" w:eastAsia="宋体" w:hint="default"/>
                <w:sz w:val="18"/>
                <w:szCs w:val="18"/>
              </w:rPr>
            </w:r>
          </w:p>
        </w:tc>
        <w:tc>
          <w:tcPr>
            <w:tcW w:w="18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b/>
                <w:bCs/>
                <w:sz w:val="18"/>
                <w:szCs w:val="18"/>
              </w:rPr>
              <w:t>所处阶段</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（截止到</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计划起止时间</w:t>
            </w:r>
            <w:r>
              <w:rPr>
                <w:rFonts w:ascii="宋体" w:hAnsi="宋体" w:cs="宋体" w:eastAsia="宋体" w:hint="default"/>
                <w:sz w:val="18"/>
                <w:szCs w:val="18"/>
              </w:rPr>
            </w:r>
          </w:p>
        </w:tc>
        <w:tc>
          <w:tcPr>
            <w:tcW w:w="793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b/>
                <w:bCs/>
                <w:sz w:val="18"/>
                <w:szCs w:val="18"/>
              </w:rPr>
              <w:t>开发功能及技术创新</w:t>
            </w:r>
            <w:r>
              <w:rPr>
                <w:rFonts w:ascii="宋体" w:hAnsi="宋体" w:cs="宋体" w:eastAsia="宋体" w:hint="default"/>
                <w:sz w:val="18"/>
                <w:szCs w:val="18"/>
              </w:rPr>
            </w:r>
          </w:p>
        </w:tc>
      </w:tr>
      <w:tr>
        <w:trPr>
          <w:trHeight w:val="332" w:hRule="exact"/>
        </w:trPr>
        <w:tc>
          <w:tcPr>
            <w:tcW w:w="710"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842"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79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结合玩校平台，依托大数据和云计算在开放的互联网平台上形成的功能化金融业态及其服务体系，包括基于网络平台的</w:t>
            </w:r>
          </w:p>
        </w:tc>
      </w:tr>
      <w:tr>
        <w:trPr>
          <w:trHeight w:val="30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金融市场体系、金融服务体系、金融组织体系、金融产品体系以及互联网金融监管体系等；</w:t>
            </w:r>
          </w:p>
        </w:tc>
      </w:tr>
      <w:tr>
        <w:trPr>
          <w:trHeight w:val="31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行业唯一的面向大中专院校学生的互联网金融支付云平台，结合新开普账户体系和产品入口，提供便捷的签约银行支付</w:t>
            </w:r>
          </w:p>
        </w:tc>
      </w:tr>
      <w:tr>
        <w:trPr>
          <w:trHeight w:val="30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0"/>
              <w:jc w:val="center"/>
              <w:rPr>
                <w:rFonts w:ascii="宋体" w:hAnsi="宋体" w:cs="宋体" w:eastAsia="宋体" w:hint="default"/>
                <w:sz w:val="15"/>
                <w:szCs w:val="15"/>
              </w:rPr>
            </w:pPr>
            <w:r>
              <w:rPr>
                <w:rFonts w:ascii="宋体" w:hAnsi="宋体" w:cs="宋体" w:eastAsia="宋体" w:hint="default"/>
                <w:sz w:val="15"/>
                <w:szCs w:val="15"/>
              </w:rPr>
              <w:t>计划起止日期：</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通道、第三方支付、移动支付通道等多种支付方式，并提供开放接口，完善行业支付生态圈；</w:t>
            </w:r>
          </w:p>
        </w:tc>
      </w:tr>
      <w:tr>
        <w:trPr>
          <w:trHeight w:val="316"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right="1"/>
              <w:jc w:val="center"/>
              <w:rPr>
                <w:rFonts w:ascii="Times New Roman" w:hAnsi="Times New Roman" w:cs="Times New Roman" w:eastAsia="Times New Roman" w:hint="default"/>
                <w:sz w:val="15"/>
                <w:szCs w:val="15"/>
              </w:rPr>
            </w:pPr>
            <w:r>
              <w:rPr>
                <w:rFonts w:ascii="Times New Roman"/>
                <w:sz w:val="15"/>
              </w:rPr>
              <w:t>1</w:t>
            </w: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新开普互联网金融支付平台</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59" w:right="0"/>
              <w:jc w:val="left"/>
              <w:rPr>
                <w:rFonts w:ascii="宋体" w:hAnsi="宋体" w:cs="宋体" w:eastAsia="宋体" w:hint="default"/>
                <w:sz w:val="15"/>
                <w:szCs w:val="15"/>
              </w:rPr>
            </w:pPr>
            <w:r>
              <w:rPr>
                <w:rFonts w:ascii="宋体" w:hAnsi="宋体" w:cs="宋体" w:eastAsia="宋体" w:hint="default"/>
                <w:sz w:val="15"/>
                <w:szCs w:val="15"/>
              </w:rPr>
              <w:t>小额支付</w:t>
            </w:r>
          </w:p>
        </w:tc>
        <w:tc>
          <w:tcPr>
            <w:tcW w:w="1842"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hAnsi="宋体" w:cs="宋体" w:eastAsia="宋体" w:hint="default"/>
                <w:sz w:val="15"/>
                <w:szCs w:val="15"/>
              </w:rPr>
              <w:t>发布阶段</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68"/>
              <w:ind w:left="1" w:right="0"/>
              <w:jc w:val="center"/>
              <w:rPr>
                <w:rFonts w:ascii="Times New Roman" w:hAnsi="Times New Roman" w:cs="Times New Roman" w:eastAsia="Times New Roman" w:hint="default"/>
                <w:sz w:val="15"/>
                <w:szCs w:val="15"/>
              </w:rPr>
            </w:pPr>
            <w:r>
              <w:rPr>
                <w:rFonts w:ascii="Times New Roman"/>
                <w:sz w:val="15"/>
              </w:rPr>
              <w:t>2016/3/15</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1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采用互联网</w:t>
            </w:r>
            <w:r>
              <w:rPr>
                <w:rFonts w:ascii="Times New Roman" w:hAnsi="Times New Roman" w:cs="Times New Roman" w:eastAsia="Times New Roman" w:hint="default"/>
                <w:sz w:val="15"/>
                <w:szCs w:val="15"/>
              </w:rPr>
              <w:t>+</w:t>
            </w:r>
            <w:r>
              <w:rPr>
                <w:rFonts w:ascii="宋体" w:hAnsi="宋体" w:cs="宋体" w:eastAsia="宋体" w:hint="default"/>
                <w:sz w:val="15"/>
                <w:szCs w:val="15"/>
              </w:rPr>
              <w:t>的理念，构建线下行业系统</w:t>
            </w:r>
            <w:r>
              <w:rPr>
                <w:rFonts w:ascii="Times New Roman" w:hAnsi="Times New Roman" w:cs="Times New Roman" w:eastAsia="Times New Roman" w:hint="default"/>
                <w:sz w:val="15"/>
                <w:szCs w:val="15"/>
              </w:rPr>
              <w:t>+</w:t>
            </w:r>
            <w:r>
              <w:rPr>
                <w:rFonts w:ascii="宋体" w:hAnsi="宋体" w:cs="宋体" w:eastAsia="宋体" w:hint="default"/>
                <w:sz w:val="15"/>
                <w:szCs w:val="15"/>
              </w:rPr>
              <w:t>互联网金融支付平台的产品形态，提供线上加线下、有卡加无卡，覆盖校园、</w:t>
            </w:r>
          </w:p>
        </w:tc>
      </w:tr>
      <w:tr>
        <w:trPr>
          <w:trHeight w:val="311"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5"/>
                <w:szCs w:val="15"/>
              </w:rPr>
            </w:pPr>
            <w:r>
              <w:rPr>
                <w:rFonts w:ascii="Times New Roman"/>
                <w:sz w:val="15"/>
              </w:rPr>
              <w:t>2017/12/31</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企业、城市的行业支付解决方案；</w:t>
            </w:r>
          </w:p>
        </w:tc>
      </w:tr>
      <w:tr>
        <w:trPr>
          <w:trHeight w:val="313"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依托公司在校园、企业、城市的信息系统产品线，为新开普用户提供丰富的互联网金融增值服务，包括个人征信、在线</w:t>
            </w:r>
          </w:p>
        </w:tc>
      </w:tr>
      <w:tr>
        <w:trPr>
          <w:trHeight w:val="30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教育、消费信贷、金融理财等；</w:t>
            </w:r>
          </w:p>
        </w:tc>
      </w:tr>
      <w:tr>
        <w:trPr>
          <w:trHeight w:val="331" w:hRule="exact"/>
        </w:trPr>
        <w:tc>
          <w:tcPr>
            <w:tcW w:w="71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支持</w:t>
            </w:r>
            <w:r>
              <w:rPr>
                <w:rFonts w:ascii="Times New Roman" w:hAnsi="Times New Roman" w:cs="Times New Roman" w:eastAsia="Times New Roman" w:hint="default"/>
                <w:sz w:val="15"/>
                <w:szCs w:val="15"/>
              </w:rPr>
              <w:t>APPLE</w:t>
            </w:r>
            <w:r>
              <w:rPr>
                <w:rFonts w:ascii="Times New Roman" w:hAnsi="Times New Roman" w:cs="Times New Roman" w:eastAsia="Times New Roman" w:hint="default"/>
                <w:spacing w:val="-9"/>
                <w:sz w:val="15"/>
                <w:szCs w:val="15"/>
              </w:rPr>
              <w:t> </w:t>
            </w:r>
            <w:r>
              <w:rPr>
                <w:rFonts w:ascii="Times New Roman" w:hAnsi="Times New Roman" w:cs="Times New Roman" w:eastAsia="Times New Roman" w:hint="default"/>
                <w:sz w:val="15"/>
                <w:szCs w:val="15"/>
              </w:rPr>
              <w:t>PAY</w:t>
            </w:r>
            <w:r>
              <w:rPr>
                <w:rFonts w:ascii="宋体" w:hAnsi="宋体" w:cs="宋体" w:eastAsia="宋体" w:hint="default"/>
                <w:sz w:val="15"/>
                <w:szCs w:val="15"/>
              </w:rPr>
              <w:t>、</w:t>
            </w:r>
            <w:r>
              <w:rPr>
                <w:rFonts w:ascii="Times New Roman" w:hAnsi="Times New Roman" w:cs="Times New Roman" w:eastAsia="Times New Roman" w:hint="default"/>
                <w:sz w:val="15"/>
                <w:szCs w:val="15"/>
              </w:rPr>
              <w:t>HCE</w:t>
            </w:r>
            <w:r>
              <w:rPr>
                <w:rFonts w:ascii="宋体" w:hAnsi="宋体" w:cs="宋体" w:eastAsia="宋体" w:hint="default"/>
                <w:sz w:val="15"/>
                <w:szCs w:val="15"/>
              </w:rPr>
              <w:t>、银联闪付多种新标准。</w:t>
            </w:r>
          </w:p>
        </w:tc>
      </w:tr>
      <w:tr>
        <w:trPr>
          <w:trHeight w:val="333" w:hRule="exact"/>
        </w:trPr>
        <w:tc>
          <w:tcPr>
            <w:tcW w:w="710"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842"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79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国内首创同时支持银联标准联机业务和城市运营平台的金融</w:t>
            </w:r>
            <w:r>
              <w:rPr>
                <w:rFonts w:ascii="Times New Roman" w:hAnsi="Times New Roman" w:cs="Times New Roman" w:eastAsia="Times New Roman" w:hint="default"/>
                <w:sz w:val="15"/>
                <w:szCs w:val="15"/>
              </w:rPr>
              <w:t>POS</w:t>
            </w:r>
            <w:r>
              <w:rPr>
                <w:rFonts w:ascii="宋体" w:hAnsi="宋体" w:cs="宋体" w:eastAsia="宋体" w:hint="default"/>
                <w:sz w:val="15"/>
                <w:szCs w:val="15"/>
              </w:rPr>
              <w:t>终端，同时直连银联标准平台和运营管理平台；</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在现有的标准银联联机账户交易的基础上，首次采用前沿技术闪付联机小额快速支付（即小额免密免签）业务标准，满</w:t>
            </w:r>
          </w:p>
        </w:tc>
      </w:tr>
      <w:tr>
        <w:trPr>
          <w:trHeight w:val="230"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0"/>
              <w:jc w:val="center"/>
              <w:rPr>
                <w:rFonts w:ascii="宋体" w:hAnsi="宋体" w:cs="宋体" w:eastAsia="宋体" w:hint="default"/>
                <w:sz w:val="15"/>
                <w:szCs w:val="15"/>
              </w:rPr>
            </w:pPr>
            <w:r>
              <w:rPr>
                <w:rFonts w:ascii="宋体" w:hAnsi="宋体" w:cs="宋体" w:eastAsia="宋体" w:hint="default"/>
                <w:sz w:val="15"/>
                <w:szCs w:val="15"/>
              </w:rPr>
              <w:t>计划起止日期：</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足日益增长的小额交易的高速、便捷的银联联机账户交易的业务需求，提高闪付联机交易的持卡人用卡体验；</w:t>
            </w:r>
          </w:p>
        </w:tc>
      </w:tr>
      <w:tr>
        <w:trPr>
          <w:trHeight w:val="15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 w:right="0"/>
              <w:jc w:val="left"/>
              <w:rPr>
                <w:rFonts w:ascii="宋体" w:hAnsi="宋体" w:cs="宋体" w:eastAsia="宋体" w:hint="default"/>
                <w:sz w:val="15"/>
                <w:szCs w:val="15"/>
              </w:rPr>
            </w:pPr>
            <w:r>
              <w:rPr>
                <w:rFonts w:ascii="宋体" w:hAnsi="宋体" w:cs="宋体" w:eastAsia="宋体" w:hint="default"/>
                <w:sz w:val="15"/>
                <w:szCs w:val="15"/>
              </w:rPr>
              <w:t>基于新移动支付标准的城市</w:t>
            </w: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
        </w:tc>
      </w:tr>
      <w:tr>
        <w:trPr>
          <w:trHeight w:val="160"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163" w:lineRule="exact"/>
              <w:ind w:right="1"/>
              <w:jc w:val="center"/>
              <w:rPr>
                <w:rFonts w:ascii="Times New Roman" w:hAnsi="Times New Roman" w:cs="Times New Roman" w:eastAsia="Times New Roman" w:hint="default"/>
                <w:sz w:val="15"/>
                <w:szCs w:val="15"/>
              </w:rPr>
            </w:pPr>
            <w:r>
              <w:rPr>
                <w:rFonts w:ascii="Times New Roman"/>
                <w:sz w:val="15"/>
              </w:rPr>
              <w:t>2</w:t>
            </w: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59" w:right="0"/>
              <w:jc w:val="left"/>
              <w:rPr>
                <w:rFonts w:ascii="宋体" w:hAnsi="宋体" w:cs="宋体" w:eastAsia="宋体" w:hint="default"/>
                <w:sz w:val="15"/>
                <w:szCs w:val="15"/>
              </w:rPr>
            </w:pPr>
            <w:r>
              <w:rPr>
                <w:rFonts w:ascii="宋体" w:hAnsi="宋体" w:cs="宋体" w:eastAsia="宋体" w:hint="default"/>
                <w:sz w:val="15"/>
                <w:szCs w:val="15"/>
              </w:rPr>
              <w:t>小额支付</w:t>
            </w:r>
          </w:p>
        </w:tc>
        <w:tc>
          <w:tcPr>
            <w:tcW w:w="1842"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63" w:lineRule="exact"/>
              <w:ind w:left="1" w:right="0"/>
              <w:jc w:val="center"/>
              <w:rPr>
                <w:rFonts w:ascii="Times New Roman" w:hAnsi="Times New Roman" w:cs="Times New Roman" w:eastAsia="Times New Roman" w:hint="default"/>
                <w:sz w:val="15"/>
                <w:szCs w:val="15"/>
              </w:rPr>
            </w:pPr>
            <w:r>
              <w:rPr>
                <w:rFonts w:ascii="Times New Roman"/>
                <w:sz w:val="15"/>
              </w:rPr>
              <w:t>2016/3/20</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64" w:lineRule="exact"/>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行业内首次实现对银联联机业务终端运营、参数管理，联机交易账目、对账、报表、查询等业务处理；</w:t>
            </w:r>
          </w:p>
        </w:tc>
      </w:tr>
      <w:tr>
        <w:trPr>
          <w:trHeight w:val="15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通小额闪付系统</w:t>
            </w: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
        </w:tc>
      </w:tr>
      <w:tr>
        <w:trPr>
          <w:trHeight w:val="23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63" w:lineRule="exact"/>
              <w:ind w:left="1" w:right="0"/>
              <w:jc w:val="center"/>
              <w:rPr>
                <w:rFonts w:ascii="Times New Roman" w:hAnsi="Times New Roman" w:cs="Times New Roman" w:eastAsia="Times New Roman" w:hint="default"/>
                <w:sz w:val="15"/>
                <w:szCs w:val="15"/>
              </w:rPr>
            </w:pPr>
            <w:r>
              <w:rPr>
                <w:rFonts w:ascii="Times New Roman"/>
                <w:sz w:val="15"/>
              </w:rPr>
              <w:t>2017/3/31</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64" w:lineRule="exact"/>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为后续其他行业扩展，包括第三方缴费业务需要扣银联账户金额、小额消费需要扣银联账户金额等高速便捷的和银联账</w:t>
            </w:r>
          </w:p>
        </w:tc>
      </w:tr>
      <w:tr>
        <w:trPr>
          <w:trHeight w:val="30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户相关交易；</w:t>
            </w:r>
          </w:p>
        </w:tc>
      </w:tr>
      <w:tr>
        <w:trPr>
          <w:trHeight w:val="330" w:hRule="exact"/>
        </w:trPr>
        <w:tc>
          <w:tcPr>
            <w:tcW w:w="71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为其他需要支持闪付快速业务的终端打下基础，包括出租车、停车场等业务场景，加快标准银联支付领域的业务拓展。</w:t>
            </w:r>
          </w:p>
        </w:tc>
      </w:tr>
      <w:tr>
        <w:trPr>
          <w:trHeight w:val="25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842"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79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公交行业首个基于云平台和多客户的集约化公交一卡通</w:t>
            </w:r>
            <w:r>
              <w:rPr>
                <w:rFonts w:ascii="Times New Roman" w:hAnsi="Times New Roman" w:cs="Times New Roman" w:eastAsia="Times New Roman" w:hint="default"/>
                <w:sz w:val="15"/>
                <w:szCs w:val="15"/>
              </w:rPr>
              <w:t>SaaS</w:t>
            </w:r>
            <w:r>
              <w:rPr>
                <w:rFonts w:ascii="宋体" w:hAnsi="宋体" w:cs="宋体" w:eastAsia="宋体" w:hint="default"/>
                <w:sz w:val="15"/>
                <w:szCs w:val="15"/>
              </w:rPr>
              <w:t>云平台；</w:t>
            </w:r>
          </w:p>
        </w:tc>
      </w:tr>
      <w:tr>
        <w:trPr>
          <w:trHeight w:val="15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计划起止日期：</w:t>
            </w:r>
          </w:p>
        </w:tc>
        <w:tc>
          <w:tcPr>
            <w:tcW w:w="7938" w:type="dxa"/>
            <w:tcBorders>
              <w:top w:val="nil" w:sz="6" w:space="0" w:color="auto"/>
              <w:left w:val="single" w:sz="6" w:space="0" w:color="000000"/>
              <w:bottom w:val="nil" w:sz="6" w:space="0" w:color="auto"/>
              <w:right w:val="single" w:sz="6" w:space="0" w:color="000000"/>
            </w:tcBorders>
          </w:tcPr>
          <w:p>
            <w:pPr/>
          </w:p>
        </w:tc>
      </w:tr>
      <w:tr>
        <w:trPr>
          <w:trHeight w:val="160"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64" w:lineRule="exact"/>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采用三层技术架构，集成定位技术（</w:t>
            </w:r>
            <w:r>
              <w:rPr>
                <w:rFonts w:ascii="Times New Roman" w:hAnsi="Times New Roman" w:cs="Times New Roman" w:eastAsia="Times New Roman" w:hint="default"/>
                <w:sz w:val="15"/>
                <w:szCs w:val="15"/>
              </w:rPr>
              <w:t>GPS</w:t>
            </w:r>
            <w:r>
              <w:rPr>
                <w:rFonts w:ascii="宋体" w:hAnsi="宋体" w:cs="宋体" w:eastAsia="宋体" w:hint="default"/>
                <w:sz w:val="15"/>
                <w:szCs w:val="15"/>
              </w:rPr>
              <w:t>），地理信息技术</w:t>
            </w:r>
            <w:r>
              <w:rPr>
                <w:rFonts w:ascii="Times New Roman" w:hAnsi="Times New Roman" w:cs="Times New Roman" w:eastAsia="Times New Roman" w:hint="default"/>
                <w:sz w:val="15"/>
                <w:szCs w:val="15"/>
              </w:rPr>
              <w:t>(GIS</w:t>
            </w:r>
            <w:r>
              <w:rPr>
                <w:rFonts w:ascii="Times New Roman" w:hAnsi="Times New Roman" w:cs="Times New Roman" w:eastAsia="Times New Roman" w:hint="default"/>
                <w:spacing w:val="21"/>
                <w:sz w:val="15"/>
                <w:szCs w:val="15"/>
              </w:rPr>
              <w:t> </w:t>
            </w:r>
            <w:r>
              <w:rPr>
                <w:rFonts w:ascii="Times New Roman" w:hAnsi="Times New Roman" w:cs="Times New Roman" w:eastAsia="Times New Roman" w:hint="default"/>
                <w:sz w:val="15"/>
                <w:szCs w:val="15"/>
              </w:rPr>
              <w:t>),</w:t>
            </w:r>
            <w:r>
              <w:rPr>
                <w:rFonts w:ascii="宋体" w:hAnsi="宋体" w:cs="宋体" w:eastAsia="宋体" w:hint="default"/>
                <w:sz w:val="15"/>
                <w:szCs w:val="15"/>
              </w:rPr>
              <w:t>公共</w:t>
            </w:r>
            <w:r>
              <w:rPr>
                <w:rFonts w:ascii="Times New Roman" w:hAnsi="Times New Roman" w:cs="Times New Roman" w:eastAsia="Times New Roman" w:hint="default"/>
                <w:sz w:val="15"/>
                <w:szCs w:val="15"/>
              </w:rPr>
              <w:t>3G</w:t>
            </w:r>
            <w:r>
              <w:rPr>
                <w:rFonts w:ascii="宋体" w:hAnsi="宋体" w:cs="宋体" w:eastAsia="宋体" w:hint="default"/>
                <w:sz w:val="15"/>
                <w:szCs w:val="15"/>
              </w:rPr>
              <w:t>宽带无线通讯技术，方便用户公交路线轨迹查</w:t>
            </w:r>
          </w:p>
        </w:tc>
      </w:tr>
      <w:tr>
        <w:trPr>
          <w:trHeight w:val="155"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159" w:lineRule="exact"/>
              <w:ind w:right="1"/>
              <w:jc w:val="center"/>
              <w:rPr>
                <w:rFonts w:ascii="Times New Roman" w:hAnsi="Times New Roman" w:cs="Times New Roman" w:eastAsia="Times New Roman" w:hint="default"/>
                <w:sz w:val="15"/>
                <w:szCs w:val="15"/>
              </w:rPr>
            </w:pPr>
            <w:r>
              <w:rPr>
                <w:rFonts w:ascii="Times New Roman"/>
                <w:sz w:val="15"/>
              </w:rPr>
              <w:t>3</w:t>
            </w: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智能公交云服务平台</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183" w:right="0"/>
              <w:jc w:val="left"/>
              <w:rPr>
                <w:rFonts w:ascii="宋体" w:hAnsi="宋体" w:cs="宋体" w:eastAsia="宋体" w:hint="default"/>
                <w:sz w:val="15"/>
                <w:szCs w:val="15"/>
              </w:rPr>
            </w:pPr>
            <w:r>
              <w:rPr>
                <w:rFonts w:ascii="宋体" w:hAnsi="宋体" w:cs="宋体" w:eastAsia="宋体" w:hint="default"/>
                <w:sz w:val="15"/>
                <w:szCs w:val="15"/>
              </w:rPr>
              <w:t>城市一卡通</w:t>
            </w:r>
          </w:p>
        </w:tc>
        <w:tc>
          <w:tcPr>
            <w:tcW w:w="1842" w:type="dxa"/>
            <w:tcBorders>
              <w:top w:val="nil" w:sz="6" w:space="0" w:color="auto"/>
              <w:left w:val="single" w:sz="6" w:space="0" w:color="000000"/>
              <w:bottom w:val="nil" w:sz="6" w:space="0" w:color="auto"/>
              <w:right w:val="single" w:sz="6"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59" w:lineRule="exact"/>
              <w:ind w:right="0"/>
              <w:jc w:val="center"/>
              <w:rPr>
                <w:rFonts w:ascii="Times New Roman" w:hAnsi="Times New Roman" w:cs="Times New Roman" w:eastAsia="Times New Roman" w:hint="default"/>
                <w:sz w:val="15"/>
                <w:szCs w:val="15"/>
              </w:rPr>
            </w:pPr>
            <w:r>
              <w:rPr>
                <w:rFonts w:ascii="Times New Roman"/>
                <w:sz w:val="15"/>
              </w:rPr>
              <w:t>2016/3/5</w:t>
            </w:r>
          </w:p>
        </w:tc>
        <w:tc>
          <w:tcPr>
            <w:tcW w:w="7938" w:type="dxa"/>
            <w:tcBorders>
              <w:top w:val="nil" w:sz="6" w:space="0" w:color="auto"/>
              <w:left w:val="single" w:sz="6" w:space="0" w:color="000000"/>
              <w:bottom w:val="nil" w:sz="6" w:space="0" w:color="auto"/>
              <w:right w:val="single" w:sz="6" w:space="0" w:color="000000"/>
            </w:tcBorders>
          </w:tcPr>
          <w:p>
            <w:pPr/>
          </w:p>
        </w:tc>
      </w:tr>
      <w:tr>
        <w:trPr>
          <w:trHeight w:val="15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询，车辆定位以及数据交易实时上传；</w:t>
            </w:r>
          </w:p>
        </w:tc>
      </w:tr>
      <w:tr>
        <w:trPr>
          <w:trHeight w:val="15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1" w:right="0"/>
              <w:jc w:val="center"/>
              <w:rPr>
                <w:rFonts w:ascii="Times New Roman" w:hAnsi="Times New Roman" w:cs="Times New Roman" w:eastAsia="Times New Roman" w:hint="default"/>
                <w:sz w:val="15"/>
                <w:szCs w:val="15"/>
              </w:rPr>
            </w:pPr>
            <w:r>
              <w:rPr>
                <w:rFonts w:ascii="Times New Roman"/>
                <w:sz w:val="15"/>
              </w:rPr>
              <w:t>2017/3/31</w:t>
            </w:r>
          </w:p>
        </w:tc>
        <w:tc>
          <w:tcPr>
            <w:tcW w:w="7938" w:type="dxa"/>
            <w:tcBorders>
              <w:top w:val="nil" w:sz="6" w:space="0" w:color="auto"/>
              <w:left w:val="single" w:sz="6" w:space="0" w:color="000000"/>
              <w:bottom w:val="nil" w:sz="6" w:space="0" w:color="auto"/>
              <w:right w:val="single" w:sz="6" w:space="0" w:color="000000"/>
            </w:tcBorders>
          </w:tcPr>
          <w:p>
            <w:pPr/>
          </w:p>
        </w:tc>
      </w:tr>
      <w:tr>
        <w:trPr>
          <w:trHeight w:val="250" w:hRule="exact"/>
        </w:trPr>
        <w:tc>
          <w:tcPr>
            <w:tcW w:w="71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161" w:lineRule="exact"/>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行业率先建立公交</w:t>
            </w:r>
            <w:r>
              <w:rPr>
                <w:rFonts w:ascii="Times New Roman" w:hAnsi="Times New Roman" w:cs="Times New Roman" w:eastAsia="Times New Roman" w:hint="default"/>
                <w:sz w:val="15"/>
                <w:szCs w:val="15"/>
              </w:rPr>
              <w:t>SP</w:t>
            </w:r>
            <w:r>
              <w:rPr>
                <w:rFonts w:ascii="Times New Roman" w:hAnsi="Times New Roman" w:cs="Times New Roman" w:eastAsia="Times New Roman" w:hint="default"/>
                <w:spacing w:val="-8"/>
                <w:sz w:val="15"/>
                <w:szCs w:val="15"/>
              </w:rPr>
              <w:t> </w:t>
            </w:r>
            <w:r>
              <w:rPr>
                <w:rFonts w:ascii="Times New Roman" w:hAnsi="Times New Roman" w:cs="Times New Roman" w:eastAsia="Times New Roman" w:hint="default"/>
                <w:sz w:val="15"/>
                <w:szCs w:val="15"/>
              </w:rPr>
              <w:t>TSM</w:t>
            </w:r>
            <w:r>
              <w:rPr>
                <w:rFonts w:ascii="宋体" w:hAnsi="宋体" w:cs="宋体" w:eastAsia="宋体" w:hint="default"/>
                <w:sz w:val="15"/>
                <w:szCs w:val="15"/>
              </w:rPr>
              <w:t>平台，采用</w:t>
            </w:r>
            <w:r>
              <w:rPr>
                <w:rFonts w:ascii="Times New Roman" w:hAnsi="Times New Roman" w:cs="Times New Roman" w:eastAsia="Times New Roman" w:hint="default"/>
                <w:sz w:val="15"/>
                <w:szCs w:val="15"/>
              </w:rPr>
              <w:t>NFC</w:t>
            </w:r>
            <w:r>
              <w:rPr>
                <w:rFonts w:ascii="宋体" w:hAnsi="宋体" w:cs="宋体" w:eastAsia="宋体" w:hint="default"/>
                <w:sz w:val="15"/>
                <w:szCs w:val="15"/>
              </w:rPr>
              <w:t>技术实现空中洗卡，发卡，圈存等功能，提升用户体验；</w:t>
            </w:r>
          </w:p>
        </w:tc>
      </w:tr>
    </w:tbl>
    <w:p>
      <w:pPr>
        <w:spacing w:after="0" w:line="161" w:lineRule="exact"/>
        <w:jc w:val="left"/>
        <w:rPr>
          <w:rFonts w:ascii="宋体" w:hAnsi="宋体" w:cs="宋体" w:eastAsia="宋体" w:hint="default"/>
          <w:sz w:val="15"/>
          <w:szCs w:val="15"/>
        </w:rPr>
        <w:sectPr>
          <w:headerReference w:type="default" r:id="rId14"/>
          <w:footerReference w:type="default" r:id="rId15"/>
          <w:pgSz w:w="16840" w:h="11910" w:orient="landscape"/>
          <w:pgMar w:header="867" w:footer="978" w:top="1060" w:bottom="1160" w:left="900" w:right="960"/>
          <w:pgNumType w:start="27"/>
        </w:sectPr>
      </w:pPr>
    </w:p>
    <w:p>
      <w:pPr>
        <w:spacing w:line="240" w:lineRule="auto" w:before="0"/>
        <w:rPr>
          <w:rFonts w:ascii="宋体" w:hAnsi="宋体" w:cs="宋体" w:eastAsia="宋体" w:hint="default"/>
          <w:sz w:val="20"/>
          <w:szCs w:val="20"/>
        </w:rPr>
      </w:pPr>
      <w:r>
        <w:rPr/>
        <w:pict>
          <v:shape style="position:absolute;margin-left:50.331001pt;margin-top:55.259998pt;width:738.25pt;height:478.9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1843"/>
                    <w:gridCol w:w="1134"/>
                    <w:gridCol w:w="1842"/>
                    <w:gridCol w:w="1276"/>
                    <w:gridCol w:w="7938"/>
                  </w:tblGrid>
                  <w:tr>
                    <w:trPr>
                      <w:trHeight w:val="985" w:hRule="exact"/>
                    </w:trPr>
                    <w:tc>
                      <w:tcPr>
                        <w:tcW w:w="710" w:type="dxa"/>
                        <w:tcBorders>
                          <w:top w:val="single" w:sz="17" w:space="0" w:color="000000"/>
                          <w:left w:val="single" w:sz="6" w:space="0" w:color="000000"/>
                          <w:bottom w:val="single" w:sz="6" w:space="0" w:color="000000"/>
                          <w:right w:val="single" w:sz="6" w:space="0" w:color="000000"/>
                        </w:tcBorders>
                      </w:tcPr>
                      <w:p>
                        <w:pPr/>
                      </w:p>
                    </w:tc>
                    <w:tc>
                      <w:tcPr>
                        <w:tcW w:w="1843" w:type="dxa"/>
                        <w:tcBorders>
                          <w:top w:val="single" w:sz="17" w:space="0" w:color="000000"/>
                          <w:left w:val="single" w:sz="6" w:space="0" w:color="000000"/>
                          <w:bottom w:val="single" w:sz="6" w:space="0" w:color="000000"/>
                          <w:right w:val="single" w:sz="6" w:space="0" w:color="000000"/>
                        </w:tcBorders>
                      </w:tcPr>
                      <w:p>
                        <w:pPr/>
                      </w:p>
                    </w:tc>
                    <w:tc>
                      <w:tcPr>
                        <w:tcW w:w="1134" w:type="dxa"/>
                        <w:tcBorders>
                          <w:top w:val="single" w:sz="17" w:space="0" w:color="000000"/>
                          <w:left w:val="single" w:sz="6" w:space="0" w:color="000000"/>
                          <w:bottom w:val="single" w:sz="6" w:space="0" w:color="000000"/>
                          <w:right w:val="single" w:sz="6" w:space="0" w:color="000000"/>
                        </w:tcBorders>
                      </w:tcPr>
                      <w:p>
                        <w:pPr/>
                      </w:p>
                    </w:tc>
                    <w:tc>
                      <w:tcPr>
                        <w:tcW w:w="1842" w:type="dxa"/>
                        <w:tcBorders>
                          <w:top w:val="single" w:sz="17" w:space="0" w:color="000000"/>
                          <w:left w:val="single" w:sz="6" w:space="0" w:color="000000"/>
                          <w:bottom w:val="single" w:sz="6" w:space="0" w:color="000000"/>
                          <w:right w:val="single" w:sz="6" w:space="0" w:color="000000"/>
                        </w:tcBorders>
                      </w:tcPr>
                      <w:p>
                        <w:pPr/>
                      </w:p>
                    </w:tc>
                    <w:tc>
                      <w:tcPr>
                        <w:tcW w:w="1276" w:type="dxa"/>
                        <w:tcBorders>
                          <w:top w:val="single" w:sz="17" w:space="0" w:color="000000"/>
                          <w:left w:val="single" w:sz="6" w:space="0" w:color="000000"/>
                          <w:bottom w:val="single" w:sz="6" w:space="0" w:color="000000"/>
                          <w:right w:val="single" w:sz="6" w:space="0" w:color="000000"/>
                        </w:tcBorders>
                      </w:tcPr>
                      <w:p>
                        <w:pPr/>
                      </w:p>
                    </w:tc>
                    <w:tc>
                      <w:tcPr>
                        <w:tcW w:w="793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行业首创平台卡类型自定义和终端远程自动升级模式；</w:t>
                        </w:r>
                      </w:p>
                      <w:p>
                        <w:pPr>
                          <w:pStyle w:val="TableParagraph"/>
                          <w:spacing w:line="240" w:lineRule="auto" w:before="10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系统采用插件化、模块化设计，使用</w:t>
                        </w:r>
                        <w:r>
                          <w:rPr>
                            <w:rFonts w:ascii="Times New Roman" w:hAnsi="Times New Roman" w:cs="Times New Roman" w:eastAsia="Times New Roman" w:hint="default"/>
                            <w:sz w:val="15"/>
                            <w:szCs w:val="15"/>
                          </w:rPr>
                          <w:t>Dojo</w:t>
                        </w:r>
                        <w:r>
                          <w:rPr>
                            <w:rFonts w:ascii="宋体" w:hAnsi="宋体" w:cs="宋体" w:eastAsia="宋体" w:hint="default"/>
                            <w:sz w:val="15"/>
                            <w:szCs w:val="15"/>
                          </w:rPr>
                          <w:t>组件，为第三方提供统一开发接口规范，实现系统开放性；</w:t>
                        </w:r>
                      </w:p>
                      <w:p>
                        <w:pPr>
                          <w:pStyle w:val="TableParagraph"/>
                          <w:spacing w:line="240" w:lineRule="auto" w:before="10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支持</w:t>
                        </w:r>
                        <w:r>
                          <w:rPr>
                            <w:rFonts w:ascii="Times New Roman" w:hAnsi="Times New Roman" w:cs="Times New Roman" w:eastAsia="Times New Roman" w:hint="default"/>
                            <w:sz w:val="15"/>
                            <w:szCs w:val="15"/>
                          </w:rPr>
                          <w:t>REDIS</w:t>
                        </w:r>
                        <w:r>
                          <w:rPr>
                            <w:rFonts w:ascii="宋体" w:hAnsi="宋体" w:cs="宋体" w:eastAsia="宋体" w:hint="default"/>
                            <w:sz w:val="15"/>
                            <w:szCs w:val="15"/>
                          </w:rPr>
                          <w:t>和负载均衡软件架构，使系统具有高容错、高并发、大吞吐量性能，提高系统稳定性和可靠性。</w:t>
                        </w:r>
                      </w:p>
                    </w:tc>
                  </w:tr>
                  <w:tr>
                    <w:trPr>
                      <w:trHeight w:val="333" w:hRule="exact"/>
                    </w:trPr>
                    <w:tc>
                      <w:tcPr>
                        <w:tcW w:w="710"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842"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79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物联网燃气表不再采用传统</w:t>
                        </w:r>
                        <w:r>
                          <w:rPr>
                            <w:rFonts w:ascii="Times New Roman" w:hAnsi="Times New Roman" w:cs="Times New Roman" w:eastAsia="Times New Roman" w:hint="default"/>
                            <w:sz w:val="15"/>
                            <w:szCs w:val="15"/>
                          </w:rPr>
                          <w:t>“</w:t>
                        </w:r>
                        <w:r>
                          <w:rPr>
                            <w:rFonts w:ascii="宋体" w:hAnsi="宋体" w:cs="宋体" w:eastAsia="宋体" w:hint="default"/>
                            <w:sz w:val="15"/>
                            <w:szCs w:val="15"/>
                          </w:rPr>
                          <w:t>采集</w:t>
                        </w:r>
                        <w:r>
                          <w:rPr>
                            <w:rFonts w:ascii="Times New Roman" w:hAnsi="Times New Roman" w:cs="Times New Roman" w:eastAsia="Times New Roman" w:hint="default"/>
                            <w:sz w:val="15"/>
                            <w:szCs w:val="15"/>
                          </w:rPr>
                          <w:t>+</w:t>
                        </w:r>
                        <w:r>
                          <w:rPr>
                            <w:rFonts w:ascii="宋体" w:hAnsi="宋体" w:cs="宋体" w:eastAsia="宋体" w:hint="default"/>
                            <w:sz w:val="15"/>
                            <w:szCs w:val="15"/>
                          </w:rPr>
                          <w:t>集中</w:t>
                        </w:r>
                        <w:r>
                          <w:rPr>
                            <w:rFonts w:ascii="Times New Roman" w:hAnsi="Times New Roman" w:cs="Times New Roman" w:eastAsia="Times New Roman" w:hint="default"/>
                            <w:sz w:val="15"/>
                            <w:szCs w:val="15"/>
                          </w:rPr>
                          <w:t>”</w:t>
                        </w:r>
                        <w:r>
                          <w:rPr>
                            <w:rFonts w:ascii="宋体" w:hAnsi="宋体" w:cs="宋体" w:eastAsia="宋体" w:hint="default"/>
                            <w:sz w:val="15"/>
                            <w:szCs w:val="15"/>
                          </w:rPr>
                          <w:t>方案，首次运用互联网</w:t>
                        </w:r>
                        <w:r>
                          <w:rPr>
                            <w:rFonts w:ascii="Times New Roman" w:hAnsi="Times New Roman" w:cs="Times New Roman" w:eastAsia="Times New Roman" w:hint="default"/>
                            <w:sz w:val="15"/>
                            <w:szCs w:val="15"/>
                          </w:rPr>
                          <w:t>+</w:t>
                        </w:r>
                        <w:r>
                          <w:rPr>
                            <w:rFonts w:ascii="宋体" w:hAnsi="宋体" w:cs="宋体" w:eastAsia="宋体" w:hint="default"/>
                            <w:sz w:val="15"/>
                            <w:szCs w:val="15"/>
                          </w:rPr>
                          <w:t>思维，采用移动通信技术和专用物联网号段建立终端表</w:t>
                        </w:r>
                      </w:p>
                    </w:tc>
                  </w:tr>
                  <w:tr>
                    <w:trPr>
                      <w:trHeight w:val="230"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具与大数据云平台的直接连接，使数据传输更直接高效，设备安装和维护数量大大减少；</w:t>
                        </w:r>
                      </w:p>
                    </w:tc>
                  </w:tr>
                  <w:tr>
                    <w:trPr>
                      <w:trHeight w:val="15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计划起止日期：</w:t>
                        </w:r>
                      </w:p>
                    </w:tc>
                    <w:tc>
                      <w:tcPr>
                        <w:tcW w:w="7938" w:type="dxa"/>
                        <w:tcBorders>
                          <w:top w:val="nil" w:sz="6" w:space="0" w:color="auto"/>
                          <w:left w:val="single" w:sz="6" w:space="0" w:color="000000"/>
                          <w:bottom w:val="nil" w:sz="6" w:space="0" w:color="auto"/>
                          <w:right w:val="single" w:sz="6" w:space="0" w:color="000000"/>
                        </w:tcBorders>
                      </w:tcPr>
                      <w:p>
                        <w:pPr/>
                      </w:p>
                    </w:tc>
                  </w:tr>
                  <w:tr>
                    <w:trPr>
                      <w:trHeight w:val="160"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64" w:lineRule="exact"/>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首次采用</w:t>
                        </w:r>
                        <w:r>
                          <w:rPr>
                            <w:rFonts w:ascii="Times New Roman" w:hAnsi="Times New Roman" w:cs="Times New Roman" w:eastAsia="Times New Roman" w:hint="default"/>
                            <w:sz w:val="15"/>
                            <w:szCs w:val="15"/>
                          </w:rPr>
                          <w:t>“GPRS+Lora</w:t>
                        </w:r>
                        <w:r>
                          <w:rPr>
                            <w:rFonts w:ascii="宋体" w:hAnsi="宋体" w:cs="宋体" w:eastAsia="宋体" w:hint="default"/>
                            <w:sz w:val="15"/>
                            <w:szCs w:val="15"/>
                          </w:rPr>
                          <w:t>扩频</w:t>
                        </w:r>
                        <w:r>
                          <w:rPr>
                            <w:rFonts w:ascii="Times New Roman" w:hAnsi="Times New Roman" w:cs="Times New Roman" w:eastAsia="Times New Roman" w:hint="default"/>
                            <w:sz w:val="15"/>
                            <w:szCs w:val="15"/>
                          </w:rPr>
                          <w:t>”</w:t>
                        </w:r>
                        <w:r>
                          <w:rPr>
                            <w:rFonts w:ascii="宋体" w:hAnsi="宋体" w:cs="宋体" w:eastAsia="宋体" w:hint="default"/>
                            <w:sz w:val="15"/>
                            <w:szCs w:val="15"/>
                          </w:rPr>
                          <w:t>复合信道通信，网络更加健壮，并且同时支持公网设备和专网设备的互联互通；</w:t>
                        </w:r>
                      </w:p>
                    </w:tc>
                  </w:tr>
                  <w:tr>
                    <w:trPr>
                      <w:trHeight w:val="155"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159" w:lineRule="exact"/>
                          <w:ind w:right="1"/>
                          <w:jc w:val="center"/>
                          <w:rPr>
                            <w:rFonts w:ascii="Times New Roman" w:hAnsi="Times New Roman" w:cs="Times New Roman" w:eastAsia="Times New Roman" w:hint="default"/>
                            <w:sz w:val="15"/>
                            <w:szCs w:val="15"/>
                          </w:rPr>
                        </w:pPr>
                        <w:r>
                          <w:rPr>
                            <w:rFonts w:ascii="Times New Roman"/>
                            <w:sz w:val="15"/>
                          </w:rPr>
                          <w:t>4</w:t>
                        </w: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物联网智能燃气表</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59" w:right="0"/>
                          <w:jc w:val="left"/>
                          <w:rPr>
                            <w:rFonts w:ascii="宋体" w:hAnsi="宋体" w:cs="宋体" w:eastAsia="宋体" w:hint="default"/>
                            <w:sz w:val="15"/>
                            <w:szCs w:val="15"/>
                          </w:rPr>
                        </w:pPr>
                        <w:r>
                          <w:rPr>
                            <w:rFonts w:ascii="宋体" w:hAnsi="宋体" w:cs="宋体" w:eastAsia="宋体" w:hint="default"/>
                            <w:sz w:val="15"/>
                            <w:szCs w:val="15"/>
                          </w:rPr>
                          <w:t>燃气集成</w:t>
                        </w:r>
                      </w:p>
                    </w:tc>
                    <w:tc>
                      <w:tcPr>
                        <w:tcW w:w="1842" w:type="dxa"/>
                        <w:tcBorders>
                          <w:top w:val="nil" w:sz="6" w:space="0" w:color="auto"/>
                          <w:left w:val="single" w:sz="6" w:space="0" w:color="000000"/>
                          <w:bottom w:val="nil" w:sz="6" w:space="0" w:color="auto"/>
                          <w:right w:val="single" w:sz="6"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59" w:lineRule="exact"/>
                          <w:ind w:left="1" w:right="0"/>
                          <w:jc w:val="center"/>
                          <w:rPr>
                            <w:rFonts w:ascii="Times New Roman" w:hAnsi="Times New Roman" w:cs="Times New Roman" w:eastAsia="Times New Roman" w:hint="default"/>
                            <w:sz w:val="15"/>
                            <w:szCs w:val="15"/>
                          </w:rPr>
                        </w:pPr>
                        <w:r>
                          <w:rPr>
                            <w:rFonts w:ascii="Times New Roman"/>
                            <w:sz w:val="15"/>
                          </w:rPr>
                          <w:t>2016/1/25</w:t>
                        </w:r>
                      </w:p>
                    </w:tc>
                    <w:tc>
                      <w:tcPr>
                        <w:tcW w:w="7938" w:type="dxa"/>
                        <w:tcBorders>
                          <w:top w:val="nil" w:sz="6" w:space="0" w:color="auto"/>
                          <w:left w:val="single" w:sz="6" w:space="0" w:color="000000"/>
                          <w:bottom w:val="nil" w:sz="6" w:space="0" w:color="auto"/>
                          <w:right w:val="single" w:sz="6" w:space="0" w:color="000000"/>
                        </w:tcBorders>
                      </w:tcPr>
                      <w:p>
                        <w:pPr/>
                      </w:p>
                    </w:tc>
                  </w:tr>
                  <w:tr>
                    <w:trPr>
                      <w:trHeight w:val="160"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61" w:lineRule="exact"/>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行业内首次将陀螺仪技术原理运用到燃气终端表具，通过感知表具状态，判断是否发生拆表行为；</w:t>
                        </w:r>
                      </w:p>
                    </w:tc>
                  </w:tr>
                  <w:tr>
                    <w:trPr>
                      <w:trHeight w:val="15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56" w:lineRule="exact"/>
                          <w:ind w:left="1" w:right="0"/>
                          <w:jc w:val="center"/>
                          <w:rPr>
                            <w:rFonts w:ascii="Times New Roman" w:hAnsi="Times New Roman" w:cs="Times New Roman" w:eastAsia="Times New Roman" w:hint="default"/>
                            <w:sz w:val="15"/>
                            <w:szCs w:val="15"/>
                          </w:rPr>
                        </w:pPr>
                        <w:r>
                          <w:rPr>
                            <w:rFonts w:ascii="Times New Roman"/>
                            <w:sz w:val="15"/>
                          </w:rPr>
                          <w:t>2017/8/26</w:t>
                        </w:r>
                      </w:p>
                    </w:tc>
                    <w:tc>
                      <w:tcPr>
                        <w:tcW w:w="7938"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61" w:lineRule="exact"/>
                          <w:ind w:left="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2"/>
                            <w:sz w:val="15"/>
                            <w:szCs w:val="15"/>
                          </w:rPr>
                          <w:t>4.</w:t>
                        </w:r>
                        <w:r>
                          <w:rPr>
                            <w:rFonts w:ascii="宋体" w:hAnsi="宋体" w:cs="宋体" w:eastAsia="宋体" w:hint="default"/>
                            <w:spacing w:val="-2"/>
                            <w:sz w:val="15"/>
                            <w:szCs w:val="15"/>
                          </w:rPr>
                          <w:t>产品还支持数据采样、冻结、空中充值、实时调价、异常报警、阀门控制等，符合并高于</w:t>
                        </w:r>
                        <w:r>
                          <w:rPr>
                            <w:rFonts w:ascii="Times New Roman" w:hAnsi="Times New Roman" w:cs="Times New Roman" w:eastAsia="Times New Roman" w:hint="default"/>
                            <w:spacing w:val="-2"/>
                            <w:sz w:val="15"/>
                            <w:szCs w:val="15"/>
                          </w:rPr>
                          <w:t>GB/T</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6968-2011</w: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JJG</w:t>
                        </w:r>
                        <w:r>
                          <w:rPr>
                            <w:rFonts w:ascii="Times New Roman" w:hAnsi="Times New Roman" w:cs="Times New Roman" w:eastAsia="Times New Roman" w:hint="default"/>
                            <w:spacing w:val="33"/>
                            <w:sz w:val="15"/>
                            <w:szCs w:val="15"/>
                          </w:rPr>
                          <w:t> </w:t>
                        </w:r>
                        <w:r>
                          <w:rPr>
                            <w:rFonts w:ascii="Times New Roman" w:hAnsi="Times New Roman" w:cs="Times New Roman" w:eastAsia="Times New Roman" w:hint="default"/>
                            <w:spacing w:val="-1"/>
                            <w:sz w:val="15"/>
                            <w:szCs w:val="15"/>
                          </w:rPr>
                          <w:t>577-2012</w:t>
                        </w:r>
                      </w:p>
                    </w:tc>
                  </w:tr>
                  <w:tr>
                    <w:trPr>
                      <w:trHeight w:val="326" w:hRule="exact"/>
                    </w:trPr>
                    <w:tc>
                      <w:tcPr>
                        <w:tcW w:w="71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标准及发改委《关于建立健全居民生活用气阶梯价格制度的指导意见》。</w:t>
                        </w:r>
                      </w:p>
                    </w:tc>
                  </w:tr>
                  <w:tr>
                    <w:trPr>
                      <w:trHeight w:val="333" w:hRule="exact"/>
                    </w:trPr>
                    <w:tc>
                      <w:tcPr>
                        <w:tcW w:w="710"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842"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79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采用主流的</w:t>
                        </w:r>
                        <w:r>
                          <w:rPr>
                            <w:rFonts w:ascii="Times New Roman" w:hAnsi="Times New Roman" w:cs="Times New Roman" w:eastAsia="Times New Roman" w:hint="default"/>
                            <w:sz w:val="15"/>
                            <w:szCs w:val="15"/>
                          </w:rPr>
                          <w:t>OFDM</w:t>
                        </w:r>
                        <w:r>
                          <w:rPr>
                            <w:rFonts w:ascii="宋体" w:hAnsi="宋体" w:cs="宋体" w:eastAsia="宋体" w:hint="default"/>
                            <w:sz w:val="15"/>
                            <w:szCs w:val="15"/>
                          </w:rPr>
                          <w:t>调制手段，行业首家同时兼容高速与低速窄带两种载波抄表模式，满足客户更高需求，并保证现场新</w:t>
                        </w:r>
                      </w:p>
                    </w:tc>
                  </w:tr>
                  <w:tr>
                    <w:trPr>
                      <w:trHeight w:val="30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老产品良好的无差别匹配特性；</w:t>
                        </w:r>
                      </w:p>
                    </w:tc>
                  </w:tr>
                  <w:tr>
                    <w:trPr>
                      <w:trHeight w:val="31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计划起止日期：</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2.</w:t>
                        </w:r>
                        <w:r>
                          <w:rPr>
                            <w:rFonts w:ascii="宋体" w:hAnsi="宋体" w:cs="宋体" w:eastAsia="宋体" w:hint="default"/>
                            <w:spacing w:val="-1"/>
                            <w:sz w:val="15"/>
                            <w:szCs w:val="15"/>
                          </w:rPr>
                          <w:t>业内首家采用载波聚合</w:t>
                        </w:r>
                        <w:r>
                          <w:rPr>
                            <w:rFonts w:ascii="Times New Roman" w:hAnsi="Times New Roman" w:cs="Times New Roman" w:eastAsia="Times New Roman" w:hint="default"/>
                            <w:spacing w:val="-1"/>
                            <w:sz w:val="15"/>
                            <w:szCs w:val="15"/>
                          </w:rPr>
                          <w:t>(Carrier</w:t>
                        </w:r>
                        <w:r>
                          <w:rPr>
                            <w:rFonts w:ascii="Times New Roman" w:hAnsi="Times New Roman" w:cs="Times New Roman" w:eastAsia="Times New Roman" w:hint="default"/>
                            <w:spacing w:val="23"/>
                            <w:sz w:val="15"/>
                            <w:szCs w:val="15"/>
                          </w:rPr>
                          <w:t> </w:t>
                        </w:r>
                        <w:r>
                          <w:rPr>
                            <w:rFonts w:ascii="Times New Roman" w:hAnsi="Times New Roman" w:cs="Times New Roman" w:eastAsia="Times New Roman" w:hint="default"/>
                            <w:spacing w:val="-1"/>
                            <w:sz w:val="15"/>
                            <w:szCs w:val="15"/>
                          </w:rPr>
                          <w:t>Aggregation)</w:t>
                        </w:r>
                        <w:r>
                          <w:rPr>
                            <w:rFonts w:ascii="宋体" w:hAnsi="宋体" w:cs="宋体" w:eastAsia="宋体" w:hint="default"/>
                            <w:spacing w:val="-1"/>
                            <w:sz w:val="15"/>
                            <w:szCs w:val="15"/>
                          </w:rPr>
                          <w:t>技术，满足客户未来十年更高的通信速率要求。至少提高通信速度</w:t>
                        </w:r>
                        <w:r>
                          <w:rPr>
                            <w:rFonts w:ascii="Times New Roman" w:hAnsi="Times New Roman" w:cs="Times New Roman" w:eastAsia="Times New Roman" w:hint="default"/>
                            <w:spacing w:val="-1"/>
                            <w:sz w:val="15"/>
                            <w:szCs w:val="15"/>
                          </w:rPr>
                          <w:t>10</w:t>
                        </w:r>
                        <w:r>
                          <w:rPr>
                            <w:rFonts w:ascii="宋体" w:hAnsi="宋体" w:cs="宋体" w:eastAsia="宋体" w:hint="default"/>
                            <w:spacing w:val="-1"/>
                            <w:sz w:val="15"/>
                            <w:szCs w:val="15"/>
                          </w:rPr>
                          <w:t>倍以上</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5"/>
                            <w:szCs w:val="15"/>
                          </w:rPr>
                        </w:pPr>
                        <w:r>
                          <w:rPr>
                            <w:rFonts w:ascii="Times New Roman"/>
                            <w:sz w:val="15"/>
                          </w:rPr>
                          <w:t>5</w:t>
                        </w: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窄带高速单相载波模块</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59" w:right="0"/>
                          <w:jc w:val="left"/>
                          <w:rPr>
                            <w:rFonts w:ascii="宋体" w:hAnsi="宋体" w:cs="宋体" w:eastAsia="宋体" w:hint="default"/>
                            <w:sz w:val="15"/>
                            <w:szCs w:val="15"/>
                          </w:rPr>
                        </w:pPr>
                        <w:r>
                          <w:rPr>
                            <w:rFonts w:ascii="宋体" w:hAnsi="宋体" w:cs="宋体" w:eastAsia="宋体" w:hint="default"/>
                            <w:sz w:val="15"/>
                            <w:szCs w:val="15"/>
                          </w:rPr>
                          <w:t>电力集成</w:t>
                        </w:r>
                      </w:p>
                    </w:tc>
                    <w:tc>
                      <w:tcPr>
                        <w:tcW w:w="184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0"/>
                          <w:jc w:val="center"/>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5"/>
                            <w:szCs w:val="15"/>
                          </w:rPr>
                        </w:pPr>
                        <w:r>
                          <w:rPr>
                            <w:rFonts w:ascii="Times New Roman"/>
                            <w:sz w:val="15"/>
                          </w:rPr>
                          <w:t>2016/3/4</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至</w:t>
                        </w:r>
                        <w:r>
                          <w:rPr>
                            <w:rFonts w:ascii="Times New Roman" w:hAnsi="Times New Roman" w:cs="Times New Roman" w:eastAsia="Times New Roman" w:hint="default"/>
                            <w:sz w:val="15"/>
                            <w:szCs w:val="15"/>
                          </w:rPr>
                          <w:t>2k~6kbps</w:t>
                        </w:r>
                        <w:r>
                          <w:rPr>
                            <w:rFonts w:ascii="宋体" w:hAnsi="宋体" w:cs="宋体" w:eastAsia="宋体" w:hint="default"/>
                            <w:sz w:val="15"/>
                            <w:szCs w:val="15"/>
                          </w:rPr>
                          <w:t>以上；</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1" w:right="0"/>
                          <w:jc w:val="center"/>
                          <w:rPr>
                            <w:rFonts w:ascii="Times New Roman" w:hAnsi="Times New Roman" w:cs="Times New Roman" w:eastAsia="Times New Roman" w:hint="default"/>
                            <w:sz w:val="15"/>
                            <w:szCs w:val="15"/>
                          </w:rPr>
                        </w:pPr>
                        <w:r>
                          <w:rPr>
                            <w:rFonts w:ascii="Times New Roman"/>
                            <w:sz w:val="15"/>
                          </w:rPr>
                          <w:t>2017/7/31</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3.</w:t>
                        </w:r>
                        <w:r>
                          <w:rPr>
                            <w:rFonts w:ascii="宋体" w:hAnsi="宋体" w:cs="宋体" w:eastAsia="宋体" w:hint="default"/>
                            <w:spacing w:val="2"/>
                            <w:sz w:val="15"/>
                            <w:szCs w:val="15"/>
                          </w:rPr>
                          <w:t>独有的独立双频带通信方式（目前只有芯珑有载波双频，但物理上不独立），从物理上保证抗干扰性能提升</w:t>
                        </w:r>
                        <w:r>
                          <w:rPr>
                            <w:rFonts w:ascii="Times New Roman" w:hAnsi="Times New Roman" w:cs="Times New Roman" w:eastAsia="Times New Roman" w:hint="default"/>
                            <w:spacing w:val="2"/>
                            <w:sz w:val="15"/>
                            <w:szCs w:val="15"/>
                          </w:rPr>
                          <w:t>200% </w:t>
                        </w:r>
                        <w:r>
                          <w:rPr>
                            <w:rFonts w:ascii="Times New Roman" w:hAnsi="Times New Roman" w:cs="Times New Roman" w:eastAsia="Times New Roman" w:hint="default"/>
                            <w:spacing w:val="37"/>
                            <w:sz w:val="15"/>
                            <w:szCs w:val="15"/>
                          </w:rPr>
                          <w:t> </w:t>
                        </w:r>
                        <w:r>
                          <w:rPr>
                            <w:rFonts w:ascii="宋体" w:hAnsi="宋体" w:cs="宋体" w:eastAsia="宋体" w:hint="default"/>
                            <w:sz w:val="15"/>
                            <w:szCs w:val="15"/>
                          </w:rPr>
                          <w:t>；</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29"/>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首家实现载波远程升级功能</w:t>
                        </w:r>
                        <w:r>
                          <w:rPr>
                            <w:rFonts w:ascii="Times New Roman" w:hAnsi="Times New Roman" w:cs="Times New Roman" w:eastAsia="Times New Roman" w:hint="default"/>
                            <w:sz w:val="15"/>
                            <w:szCs w:val="15"/>
                          </w:rPr>
                          <w:t>,</w:t>
                        </w:r>
                        <w:r>
                          <w:rPr>
                            <w:rFonts w:ascii="宋体" w:hAnsi="宋体" w:cs="宋体" w:eastAsia="宋体" w:hint="default"/>
                            <w:sz w:val="15"/>
                            <w:szCs w:val="15"/>
                          </w:rPr>
                          <w:t>可远程通过互联网对现场载波程序更新，大幅降低售后成本，提高现场软件批量可维护性，</w:t>
                        </w:r>
                      </w:p>
                    </w:tc>
                  </w:tr>
                  <w:tr>
                    <w:trPr>
                      <w:trHeight w:val="326" w:hRule="exact"/>
                    </w:trPr>
                    <w:tc>
                      <w:tcPr>
                        <w:tcW w:w="71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更大限度满足国网及客户的新需求。</w:t>
                        </w:r>
                      </w:p>
                    </w:tc>
                  </w:tr>
                  <w:tr>
                    <w:trPr>
                      <w:trHeight w:val="333" w:hRule="exact"/>
                    </w:trPr>
                    <w:tc>
                      <w:tcPr>
                        <w:tcW w:w="710"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842"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79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行业内首个基于</w:t>
                        </w:r>
                        <w:r>
                          <w:rPr>
                            <w:rFonts w:ascii="Times New Roman" w:hAnsi="Times New Roman" w:cs="Times New Roman" w:eastAsia="Times New Roman" w:hint="default"/>
                            <w:sz w:val="15"/>
                            <w:szCs w:val="15"/>
                          </w:rPr>
                          <w:t>ITSS</w:t>
                        </w:r>
                        <w:r>
                          <w:rPr>
                            <w:rFonts w:ascii="宋体" w:hAnsi="宋体" w:cs="宋体" w:eastAsia="宋体" w:hint="default"/>
                            <w:sz w:val="15"/>
                            <w:szCs w:val="15"/>
                          </w:rPr>
                          <w:t>标准的一卡通运维管理平台，实现</w:t>
                        </w:r>
                        <w:r>
                          <w:rPr>
                            <w:rFonts w:ascii="Times New Roman" w:hAnsi="Times New Roman" w:cs="Times New Roman" w:eastAsia="Times New Roman" w:hint="default"/>
                            <w:sz w:val="15"/>
                            <w:szCs w:val="15"/>
                          </w:rPr>
                          <w:t>“</w:t>
                        </w:r>
                        <w:r>
                          <w:rPr>
                            <w:rFonts w:ascii="宋体" w:hAnsi="宋体" w:cs="宋体" w:eastAsia="宋体" w:hint="default"/>
                            <w:sz w:val="15"/>
                            <w:szCs w:val="15"/>
                          </w:rPr>
                          <w:t>集中监控、集中管理、集中运维</w:t>
                        </w:r>
                        <w:r>
                          <w:rPr>
                            <w:rFonts w:ascii="Times New Roman" w:hAnsi="Times New Roman" w:cs="Times New Roman" w:eastAsia="Times New Roman" w:hint="default"/>
                            <w:sz w:val="15"/>
                            <w:szCs w:val="15"/>
                          </w:rPr>
                          <w:t>”</w:t>
                        </w:r>
                        <w:r>
                          <w:rPr>
                            <w:rFonts w:ascii="宋体" w:hAnsi="宋体" w:cs="宋体" w:eastAsia="宋体" w:hint="default"/>
                            <w:sz w:val="15"/>
                            <w:szCs w:val="15"/>
                          </w:rPr>
                          <w:t>，业务全程自动化、智能化；</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与一卡通系统无缝集成，服务器、设备自动发现与部署，快速纳入管理；</w:t>
                        </w:r>
                      </w:p>
                    </w:tc>
                  </w:tr>
                  <w:tr>
                    <w:trPr>
                      <w:trHeight w:val="234"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0"/>
                          <w:jc w:val="center"/>
                          <w:rPr>
                            <w:rFonts w:ascii="宋体" w:hAnsi="宋体" w:cs="宋体" w:eastAsia="宋体" w:hint="default"/>
                            <w:sz w:val="15"/>
                            <w:szCs w:val="15"/>
                          </w:rPr>
                        </w:pPr>
                        <w:r>
                          <w:rPr>
                            <w:rFonts w:ascii="宋体" w:hAnsi="宋体" w:cs="宋体" w:eastAsia="宋体" w:hint="default"/>
                            <w:sz w:val="15"/>
                            <w:szCs w:val="15"/>
                          </w:rPr>
                          <w:t>计划起止日期：</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独有的</w:t>
                        </w:r>
                        <w:r>
                          <w:rPr>
                            <w:rFonts w:ascii="Times New Roman" w:hAnsi="Times New Roman" w:cs="Times New Roman" w:eastAsia="Times New Roman" w:hint="default"/>
                            <w:sz w:val="15"/>
                            <w:szCs w:val="15"/>
                          </w:rPr>
                          <w:t>“</w:t>
                        </w:r>
                        <w:r>
                          <w:rPr>
                            <w:rFonts w:ascii="宋体" w:hAnsi="宋体" w:cs="宋体" w:eastAsia="宋体" w:hint="default"/>
                            <w:sz w:val="15"/>
                            <w:szCs w:val="15"/>
                          </w:rPr>
                          <w:t>一键系统体检</w:t>
                        </w:r>
                        <w:r>
                          <w:rPr>
                            <w:rFonts w:ascii="Times New Roman" w:hAnsi="Times New Roman" w:cs="Times New Roman" w:eastAsia="Times New Roman" w:hint="default"/>
                            <w:sz w:val="15"/>
                            <w:szCs w:val="15"/>
                          </w:rPr>
                          <w:t>”</w:t>
                        </w:r>
                        <w:r>
                          <w:rPr>
                            <w:rFonts w:ascii="宋体" w:hAnsi="宋体" w:cs="宋体" w:eastAsia="宋体" w:hint="default"/>
                            <w:sz w:val="15"/>
                            <w:szCs w:val="15"/>
                          </w:rPr>
                          <w:t>设计，对一卡通系统整体状况进行体验，对设备、业务、安全、性能四个层面完成检查；</w:t>
                        </w:r>
                      </w:p>
                    </w:tc>
                  </w:tr>
                  <w:tr>
                    <w:trPr>
                      <w:trHeight w:val="15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2" w:right="0"/>
                          <w:jc w:val="left"/>
                          <w:rPr>
                            <w:rFonts w:ascii="宋体" w:hAnsi="宋体" w:cs="宋体" w:eastAsia="宋体" w:hint="default"/>
                            <w:sz w:val="15"/>
                            <w:szCs w:val="15"/>
                          </w:rPr>
                        </w:pPr>
                        <w:r>
                          <w:rPr>
                            <w:rFonts w:ascii="宋体" w:hAnsi="宋体" w:cs="宋体" w:eastAsia="宋体" w:hint="default"/>
                            <w:sz w:val="15"/>
                            <w:szCs w:val="15"/>
                          </w:rPr>
                          <w:t>基于</w:t>
                        </w:r>
                        <w:r>
                          <w:rPr>
                            <w:rFonts w:ascii="Times New Roman" w:hAnsi="Times New Roman" w:cs="Times New Roman" w:eastAsia="Times New Roman" w:hint="default"/>
                            <w:sz w:val="15"/>
                            <w:szCs w:val="15"/>
                          </w:rPr>
                          <w:t>ITSS</w:t>
                        </w:r>
                        <w:r>
                          <w:rPr>
                            <w:rFonts w:ascii="宋体" w:hAnsi="宋体" w:cs="宋体" w:eastAsia="宋体" w:hint="default"/>
                            <w:sz w:val="15"/>
                            <w:szCs w:val="15"/>
                          </w:rPr>
                          <w:t>标准的一卡通运维</w:t>
                        </w: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
                    </w:tc>
                  </w:tr>
                  <w:tr>
                    <w:trPr>
                      <w:trHeight w:val="156"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159" w:lineRule="exact"/>
                          <w:ind w:right="1"/>
                          <w:jc w:val="center"/>
                          <w:rPr>
                            <w:rFonts w:ascii="Times New Roman" w:hAnsi="Times New Roman" w:cs="Times New Roman" w:eastAsia="Times New Roman" w:hint="default"/>
                            <w:sz w:val="15"/>
                            <w:szCs w:val="15"/>
                          </w:rPr>
                        </w:pPr>
                        <w:r>
                          <w:rPr>
                            <w:rFonts w:ascii="Times New Roman"/>
                            <w:sz w:val="15"/>
                          </w:rPr>
                          <w:t>6</w:t>
                        </w: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59" w:right="0"/>
                          <w:jc w:val="left"/>
                          <w:rPr>
                            <w:rFonts w:ascii="宋体" w:hAnsi="宋体" w:cs="宋体" w:eastAsia="宋体" w:hint="default"/>
                            <w:sz w:val="15"/>
                            <w:szCs w:val="15"/>
                          </w:rPr>
                        </w:pPr>
                        <w:r>
                          <w:rPr>
                            <w:rFonts w:ascii="宋体" w:hAnsi="宋体" w:cs="宋体" w:eastAsia="宋体" w:hint="default"/>
                            <w:sz w:val="15"/>
                            <w:szCs w:val="15"/>
                          </w:rPr>
                          <w:t>智慧校园</w:t>
                        </w:r>
                      </w:p>
                    </w:tc>
                    <w:tc>
                      <w:tcPr>
                        <w:tcW w:w="1842" w:type="dxa"/>
                        <w:tcBorders>
                          <w:top w:val="nil" w:sz="6" w:space="0" w:color="auto"/>
                          <w:left w:val="single" w:sz="6" w:space="0" w:color="000000"/>
                          <w:bottom w:val="nil" w:sz="6" w:space="0" w:color="auto"/>
                          <w:right w:val="single" w:sz="6"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测试阶段</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59" w:lineRule="exact"/>
                          <w:ind w:right="0"/>
                          <w:jc w:val="center"/>
                          <w:rPr>
                            <w:rFonts w:ascii="Times New Roman" w:hAnsi="Times New Roman" w:cs="Times New Roman" w:eastAsia="Times New Roman" w:hint="default"/>
                            <w:sz w:val="15"/>
                            <w:szCs w:val="15"/>
                          </w:rPr>
                        </w:pPr>
                        <w:r>
                          <w:rPr>
                            <w:rFonts w:ascii="Times New Roman"/>
                            <w:sz w:val="15"/>
                          </w:rPr>
                          <w:t>2016/7/1</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采用灵活的图形化的工作流程定制工具，可视化的拖拽操作，可根据用户需求灵活自定义和调整，支持多种统计报表量</w:t>
                        </w:r>
                      </w:p>
                    </w:tc>
                  </w:tr>
                  <w:tr>
                    <w:trPr>
                      <w:trHeight w:val="15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管理平台</w:t>
                        </w: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
                    </w:tc>
                  </w:tr>
                  <w:tr>
                    <w:trPr>
                      <w:trHeight w:val="23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63" w:lineRule="exact"/>
                          <w:ind w:left="1" w:right="0"/>
                          <w:jc w:val="center"/>
                          <w:rPr>
                            <w:rFonts w:ascii="Times New Roman" w:hAnsi="Times New Roman" w:cs="Times New Roman" w:eastAsia="Times New Roman" w:hint="default"/>
                            <w:sz w:val="15"/>
                            <w:szCs w:val="15"/>
                          </w:rPr>
                        </w:pPr>
                        <w:r>
                          <w:rPr>
                            <w:rFonts w:ascii="Times New Roman"/>
                            <w:sz w:val="15"/>
                          </w:rPr>
                          <w:t>2018/5/31</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 w:right="0"/>
                          <w:jc w:val="left"/>
                          <w:rPr>
                            <w:rFonts w:ascii="宋体" w:hAnsi="宋体" w:cs="宋体" w:eastAsia="宋体" w:hint="default"/>
                            <w:sz w:val="15"/>
                            <w:szCs w:val="15"/>
                          </w:rPr>
                        </w:pPr>
                        <w:r>
                          <w:rPr>
                            <w:rFonts w:ascii="宋体" w:hAnsi="宋体" w:cs="宋体" w:eastAsia="宋体" w:hint="default"/>
                            <w:sz w:val="15"/>
                            <w:szCs w:val="15"/>
                          </w:rPr>
                          <w:t>化考核指标，实现运行工作数据为决策提供依据；</w:t>
                        </w:r>
                      </w:p>
                    </w:tc>
                  </w:tr>
                  <w:tr>
                    <w:trPr>
                      <w:trHeight w:val="313"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采用</w:t>
                        </w:r>
                        <w:r>
                          <w:rPr>
                            <w:rFonts w:ascii="Times New Roman" w:hAnsi="Times New Roman" w:cs="Times New Roman" w:eastAsia="Times New Roman" w:hint="default"/>
                            <w:sz w:val="15"/>
                            <w:szCs w:val="15"/>
                          </w:rPr>
                          <w:t>AOP</w:t>
                        </w:r>
                        <w:r>
                          <w:rPr>
                            <w:rFonts w:ascii="宋体" w:hAnsi="宋体" w:cs="宋体" w:eastAsia="宋体" w:hint="default"/>
                            <w:sz w:val="15"/>
                            <w:szCs w:val="15"/>
                          </w:rPr>
                          <w:t>、</w:t>
                        </w:r>
                        <w:r>
                          <w:rPr>
                            <w:rFonts w:ascii="Times New Roman" w:hAnsi="Times New Roman" w:cs="Times New Roman" w:eastAsia="Times New Roman" w:hint="default"/>
                            <w:sz w:val="15"/>
                            <w:szCs w:val="15"/>
                          </w:rPr>
                          <w:t>EF</w:t>
                        </w:r>
                        <w:r>
                          <w:rPr>
                            <w:rFonts w:ascii="宋体" w:hAnsi="宋体" w:cs="宋体" w:eastAsia="宋体" w:hint="default"/>
                            <w:sz w:val="15"/>
                            <w:szCs w:val="15"/>
                          </w:rPr>
                          <w:t>、</w:t>
                        </w:r>
                        <w:r>
                          <w:rPr>
                            <w:rFonts w:ascii="Times New Roman" w:hAnsi="Times New Roman" w:cs="Times New Roman" w:eastAsia="Times New Roman" w:hint="default"/>
                            <w:sz w:val="15"/>
                            <w:szCs w:val="15"/>
                          </w:rPr>
                          <w:t>SOA</w:t>
                        </w:r>
                        <w:r>
                          <w:rPr>
                            <w:rFonts w:ascii="宋体" w:hAnsi="宋体" w:cs="宋体" w:eastAsia="宋体" w:hint="default"/>
                            <w:sz w:val="15"/>
                            <w:szCs w:val="15"/>
                          </w:rPr>
                          <w:t>、</w:t>
                        </w:r>
                        <w:r>
                          <w:rPr>
                            <w:rFonts w:ascii="Times New Roman" w:hAnsi="Times New Roman" w:cs="Times New Roman" w:eastAsia="Times New Roman" w:hint="default"/>
                            <w:sz w:val="15"/>
                            <w:szCs w:val="15"/>
                          </w:rPr>
                          <w:t>MVC</w:t>
                        </w:r>
                        <w:r>
                          <w:rPr>
                            <w:rFonts w:ascii="宋体" w:hAnsi="宋体" w:cs="宋体" w:eastAsia="宋体" w:hint="default"/>
                            <w:sz w:val="15"/>
                            <w:szCs w:val="15"/>
                          </w:rPr>
                          <w:t>开放技术架构，提升系统的易用性、扩展性、开放性；</w:t>
                        </w:r>
                      </w:p>
                    </w:tc>
                  </w:tr>
                  <w:tr>
                    <w:trPr>
                      <w:trHeight w:val="327" w:hRule="exact"/>
                    </w:trPr>
                    <w:tc>
                      <w:tcPr>
                        <w:tcW w:w="71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提供电子邮件、短信、手机</w:t>
                        </w:r>
                        <w:r>
                          <w:rPr>
                            <w:rFonts w:ascii="Times New Roman" w:hAnsi="Times New Roman" w:cs="Times New Roman" w:eastAsia="Times New Roman" w:hint="default"/>
                            <w:sz w:val="15"/>
                            <w:szCs w:val="15"/>
                          </w:rPr>
                          <w:t>APP</w:t>
                        </w:r>
                        <w:r>
                          <w:rPr>
                            <w:rFonts w:ascii="宋体" w:hAnsi="宋体" w:cs="宋体" w:eastAsia="宋体" w:hint="default"/>
                            <w:sz w:val="15"/>
                            <w:szCs w:val="15"/>
                          </w:rPr>
                          <w:t>集成功能，让信息部门的</w:t>
                        </w:r>
                        <w:r>
                          <w:rPr>
                            <w:rFonts w:ascii="Times New Roman" w:hAnsi="Times New Roman" w:cs="Times New Roman" w:eastAsia="Times New Roman" w:hint="default"/>
                            <w:sz w:val="15"/>
                            <w:szCs w:val="15"/>
                          </w:rPr>
                          <w:t>IT</w:t>
                        </w:r>
                        <w:r>
                          <w:rPr>
                            <w:rFonts w:ascii="宋体" w:hAnsi="宋体" w:cs="宋体" w:eastAsia="宋体" w:hint="default"/>
                            <w:sz w:val="15"/>
                            <w:szCs w:val="15"/>
                          </w:rPr>
                          <w:t>服务管理更加主动、严谨、高效。</w:t>
                        </w:r>
                      </w:p>
                    </w:tc>
                  </w:tr>
                  <w:tr>
                    <w:trPr>
                      <w:trHeight w:val="332" w:hRule="exact"/>
                    </w:trPr>
                    <w:tc>
                      <w:tcPr>
                        <w:tcW w:w="710"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842"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79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、深度定制智能</w:t>
                        </w:r>
                        <w:r>
                          <w:rPr>
                            <w:rFonts w:ascii="Times New Roman" w:hAnsi="Times New Roman" w:cs="Times New Roman" w:eastAsia="Times New Roman" w:hint="default"/>
                            <w:sz w:val="15"/>
                            <w:szCs w:val="15"/>
                          </w:rPr>
                          <w:t>POS</w:t>
                        </w:r>
                        <w:r>
                          <w:rPr>
                            <w:rFonts w:ascii="宋体" w:hAnsi="宋体" w:cs="宋体" w:eastAsia="宋体" w:hint="default"/>
                            <w:sz w:val="15"/>
                            <w:szCs w:val="15"/>
                          </w:rPr>
                          <w:t>操作系统，实现对接触卡和非接触卡的完美支持，满足</w:t>
                        </w:r>
                        <w:r>
                          <w:rPr>
                            <w:rFonts w:ascii="Times New Roman" w:hAnsi="Times New Roman" w:cs="Times New Roman" w:eastAsia="Times New Roman" w:hint="default"/>
                            <w:sz w:val="15"/>
                            <w:szCs w:val="15"/>
                          </w:rPr>
                          <w:t>ISO14443</w:t>
                        </w:r>
                        <w:r>
                          <w:rPr>
                            <w:rFonts w:ascii="宋体" w:hAnsi="宋体" w:cs="宋体" w:eastAsia="宋体" w:hint="default"/>
                            <w:sz w:val="15"/>
                            <w:szCs w:val="15"/>
                          </w:rPr>
                          <w:t>和</w:t>
                        </w:r>
                        <w:r>
                          <w:rPr>
                            <w:rFonts w:ascii="Times New Roman" w:hAnsi="Times New Roman" w:cs="Times New Roman" w:eastAsia="Times New Roman" w:hint="default"/>
                            <w:sz w:val="15"/>
                            <w:szCs w:val="15"/>
                          </w:rPr>
                          <w:t>ISO7816</w:t>
                        </w:r>
                        <w:r>
                          <w:rPr>
                            <w:rFonts w:ascii="宋体" w:hAnsi="宋体" w:cs="宋体" w:eastAsia="宋体" w:hint="default"/>
                            <w:sz w:val="15"/>
                            <w:szCs w:val="15"/>
                          </w:rPr>
                          <w:t>的金融级标准的要求；</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、首次采用行业领先的逐级签名验证和拆机自毁机制，防止非法软件的运行，确保系统支付安全；</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0"/>
                          <w:jc w:val="center"/>
                          <w:rPr>
                            <w:rFonts w:ascii="宋体" w:hAnsi="宋体" w:cs="宋体" w:eastAsia="宋体" w:hint="default"/>
                            <w:sz w:val="15"/>
                            <w:szCs w:val="15"/>
                          </w:rPr>
                        </w:pPr>
                        <w:r>
                          <w:rPr>
                            <w:rFonts w:ascii="宋体" w:hAnsi="宋体" w:cs="宋体" w:eastAsia="宋体" w:hint="default"/>
                            <w:sz w:val="15"/>
                            <w:szCs w:val="15"/>
                          </w:rPr>
                          <w:t>计划起止日期：</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、独创行业领先具有核心知识产权的条码扫描和识别算法，扫描效率较竞品提高一倍以上，改善用户体验；</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5"/>
                            <w:szCs w:val="15"/>
                          </w:rPr>
                        </w:pPr>
                        <w:r>
                          <w:rPr>
                            <w:rFonts w:ascii="Times New Roman"/>
                            <w:sz w:val="15"/>
                          </w:rPr>
                          <w:t>7</w:t>
                        </w: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智能云支付</w:t>
                        </w:r>
                        <w:r>
                          <w:rPr>
                            <w:rFonts w:ascii="Times New Roman" w:hAnsi="Times New Roman" w:cs="Times New Roman" w:eastAsia="Times New Roman" w:hint="default"/>
                            <w:sz w:val="15"/>
                            <w:szCs w:val="15"/>
                          </w:rPr>
                          <w:t>POS</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59" w:right="0"/>
                          <w:jc w:val="left"/>
                          <w:rPr>
                            <w:rFonts w:ascii="宋体" w:hAnsi="宋体" w:cs="宋体" w:eastAsia="宋体" w:hint="default"/>
                            <w:sz w:val="15"/>
                            <w:szCs w:val="15"/>
                          </w:rPr>
                        </w:pPr>
                        <w:r>
                          <w:rPr>
                            <w:rFonts w:ascii="宋体" w:hAnsi="宋体" w:cs="宋体" w:eastAsia="宋体" w:hint="default"/>
                            <w:sz w:val="15"/>
                            <w:szCs w:val="15"/>
                          </w:rPr>
                          <w:t>小额支付</w:t>
                        </w:r>
                      </w:p>
                    </w:tc>
                    <w:tc>
                      <w:tcPr>
                        <w:tcW w:w="184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0"/>
                          <w:jc w:val="center"/>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5"/>
                            <w:szCs w:val="15"/>
                          </w:rPr>
                        </w:pPr>
                        <w:r>
                          <w:rPr>
                            <w:rFonts w:ascii="Times New Roman"/>
                            <w:sz w:val="15"/>
                          </w:rPr>
                          <w:t>2016/7/4</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、行业内首次采用智能</w:t>
                        </w:r>
                        <w:r>
                          <w:rPr>
                            <w:rFonts w:ascii="Times New Roman" w:hAnsi="Times New Roman" w:cs="Times New Roman" w:eastAsia="Times New Roman" w:hint="default"/>
                            <w:sz w:val="15"/>
                            <w:szCs w:val="15"/>
                          </w:rPr>
                          <w:t>POS</w:t>
                        </w:r>
                        <w:r>
                          <w:rPr>
                            <w:rFonts w:ascii="宋体" w:hAnsi="宋体" w:cs="宋体" w:eastAsia="宋体" w:hint="default"/>
                            <w:sz w:val="15"/>
                            <w:szCs w:val="15"/>
                          </w:rPr>
                          <w:t>双屏异显机制，方便用户查看和操作；</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5"/>
                            <w:szCs w:val="15"/>
                          </w:rPr>
                        </w:pPr>
                        <w:r>
                          <w:rPr>
                            <w:rFonts w:ascii="Times New Roman"/>
                            <w:sz w:val="15"/>
                          </w:rPr>
                          <w:t>2017/5/5</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3"/>
                            <w:sz w:val="15"/>
                            <w:szCs w:val="15"/>
                          </w:rPr>
                          <w:t>5</w:t>
                        </w:r>
                        <w:r>
                          <w:rPr>
                            <w:rFonts w:ascii="宋体" w:hAnsi="宋体" w:cs="宋体" w:eastAsia="宋体" w:hint="default"/>
                            <w:spacing w:val="-3"/>
                            <w:sz w:val="15"/>
                            <w:szCs w:val="15"/>
                          </w:rPr>
                          <w:t>、采用行业领先的射频卡技术，解决了</w:t>
                        </w:r>
                        <w:r>
                          <w:rPr>
                            <w:rFonts w:ascii="Times New Roman" w:hAnsi="Times New Roman" w:cs="Times New Roman" w:eastAsia="Times New Roman" w:hint="default"/>
                            <w:spacing w:val="-3"/>
                            <w:sz w:val="15"/>
                            <w:szCs w:val="15"/>
                          </w:rPr>
                          <w:t>HCE</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NFC</w:t>
                        </w:r>
                        <w:r>
                          <w:rPr>
                            <w:rFonts w:ascii="宋体" w:hAnsi="宋体" w:cs="宋体" w:eastAsia="宋体" w:hint="default"/>
                            <w:spacing w:val="-3"/>
                            <w:sz w:val="15"/>
                            <w:szCs w:val="15"/>
                          </w:rPr>
                          <w:t>等读卡技术，不仅支持传统支付方式，更支持</w:t>
                        </w:r>
                        <w:r>
                          <w:rPr>
                            <w:rFonts w:ascii="Times New Roman" w:hAnsi="Times New Roman" w:cs="Times New Roman" w:eastAsia="Times New Roman" w:hint="default"/>
                            <w:spacing w:val="-3"/>
                            <w:sz w:val="15"/>
                            <w:szCs w:val="15"/>
                          </w:rPr>
                          <w:t>Apple PAY</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huawei</w:t>
                        </w:r>
                        <w:r>
                          <w:rPr>
                            <w:rFonts w:ascii="Times New Roman" w:hAnsi="Times New Roman" w:cs="Times New Roman" w:eastAsia="Times New Roman" w:hint="default"/>
                            <w:spacing w:val="19"/>
                            <w:sz w:val="15"/>
                            <w:szCs w:val="15"/>
                          </w:rPr>
                          <w:t> </w:t>
                        </w:r>
                        <w:r>
                          <w:rPr>
                            <w:rFonts w:ascii="Times New Roman" w:hAnsi="Times New Roman" w:cs="Times New Roman" w:eastAsia="Times New Roman" w:hint="default"/>
                            <w:sz w:val="15"/>
                            <w:szCs w:val="15"/>
                          </w:rPr>
                          <w:t>PAY</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SAMSUNG</w:t>
                        </w:r>
                        <w:r>
                          <w:rPr>
                            <w:rFonts w:ascii="Times New Roman" w:hAnsi="Times New Roman" w:cs="Times New Roman" w:eastAsia="Times New Roman" w:hint="default"/>
                            <w:spacing w:val="-7"/>
                            <w:sz w:val="15"/>
                            <w:szCs w:val="15"/>
                          </w:rPr>
                          <w:t> </w:t>
                        </w:r>
                        <w:r>
                          <w:rPr>
                            <w:rFonts w:ascii="Times New Roman" w:hAnsi="Times New Roman" w:cs="Times New Roman" w:eastAsia="Times New Roman" w:hint="default"/>
                            <w:sz w:val="15"/>
                            <w:szCs w:val="15"/>
                          </w:rPr>
                          <w:t>PAY</w:t>
                        </w:r>
                        <w:r>
                          <w:rPr>
                            <w:rFonts w:ascii="宋体" w:hAnsi="宋体" w:cs="宋体" w:eastAsia="宋体" w:hint="default"/>
                            <w:sz w:val="15"/>
                            <w:szCs w:val="15"/>
                          </w:rPr>
                          <w:t>等新兴支付方式；</w:t>
                        </w:r>
                      </w:p>
                    </w:tc>
                  </w:tr>
                  <w:tr>
                    <w:trPr>
                      <w:trHeight w:val="327" w:hRule="exact"/>
                    </w:trPr>
                    <w:tc>
                      <w:tcPr>
                        <w:tcW w:w="71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、采用行业标准开放式开发平台，为提供</w:t>
                        </w:r>
                        <w:r>
                          <w:rPr>
                            <w:rFonts w:ascii="Times New Roman" w:hAnsi="Times New Roman" w:cs="Times New Roman" w:eastAsia="Times New Roman" w:hint="default"/>
                            <w:sz w:val="15"/>
                            <w:szCs w:val="15"/>
                          </w:rPr>
                          <w:t>SDK</w:t>
                        </w:r>
                        <w:r>
                          <w:rPr>
                            <w:rFonts w:ascii="宋体" w:hAnsi="宋体" w:cs="宋体" w:eastAsia="宋体" w:hint="default"/>
                            <w:sz w:val="15"/>
                            <w:szCs w:val="15"/>
                          </w:rPr>
                          <w:t>包和统一的</w:t>
                        </w:r>
                        <w:r>
                          <w:rPr>
                            <w:rFonts w:ascii="Times New Roman" w:hAnsi="Times New Roman" w:cs="Times New Roman" w:eastAsia="Times New Roman" w:hint="default"/>
                            <w:sz w:val="15"/>
                            <w:szCs w:val="15"/>
                          </w:rPr>
                          <w:t>API</w:t>
                        </w:r>
                        <w:r>
                          <w:rPr>
                            <w:rFonts w:ascii="宋体" w:hAnsi="宋体" w:cs="宋体" w:eastAsia="宋体" w:hint="default"/>
                            <w:sz w:val="15"/>
                            <w:szCs w:val="15"/>
                          </w:rPr>
                          <w:t>供第三方集成开发使用，解决用户开发的技术难题。</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0"/>
        <w:ind w:left="0" w:right="116" w:firstLine="0"/>
        <w:jc w:val="right"/>
        <w:rPr>
          <w:rFonts w:ascii="宋体" w:hAnsi="宋体" w:cs="宋体" w:eastAsia="宋体" w:hint="default"/>
          <w:sz w:val="15"/>
          <w:szCs w:val="15"/>
        </w:rPr>
      </w:pPr>
      <w:r>
        <w:rPr>
          <w:rFonts w:ascii="宋体" w:hAnsi="宋体" w:cs="宋体" w:eastAsia="宋体" w:hint="default"/>
          <w:sz w:val="15"/>
          <w:szCs w:val="15"/>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before="53"/>
        <w:ind w:left="0" w:right="117" w:firstLine="0"/>
        <w:jc w:val="right"/>
        <w:rPr>
          <w:rFonts w:ascii="宋体" w:hAnsi="宋体" w:cs="宋体" w:eastAsia="宋体" w:hint="default"/>
          <w:sz w:val="15"/>
          <w:szCs w:val="15"/>
        </w:rPr>
      </w:pPr>
      <w:r>
        <w:rPr>
          <w:rFonts w:ascii="宋体" w:hAnsi="宋体" w:cs="宋体" w:eastAsia="宋体" w:hint="default"/>
          <w:sz w:val="15"/>
          <w:szCs w:val="15"/>
        </w:rPr>
        <w:t>、</w:t>
      </w:r>
    </w:p>
    <w:p>
      <w:pPr>
        <w:spacing w:after="0"/>
        <w:jc w:val="right"/>
        <w:rPr>
          <w:rFonts w:ascii="宋体" w:hAnsi="宋体" w:cs="宋体" w:eastAsia="宋体" w:hint="default"/>
          <w:sz w:val="15"/>
          <w:szCs w:val="15"/>
        </w:rPr>
        <w:sectPr>
          <w:pgSz w:w="16840" w:h="11910" w:orient="landscape"/>
          <w:pgMar w:header="867" w:footer="978" w:top="1060" w:bottom="1160" w:left="900" w:right="900"/>
        </w:sectPr>
      </w:pPr>
    </w:p>
    <w:p>
      <w:pPr>
        <w:spacing w:line="240" w:lineRule="auto" w:before="0"/>
        <w:rPr>
          <w:rFonts w:ascii="宋体" w:hAnsi="宋体" w:cs="宋体" w:eastAsia="宋体" w:hint="default"/>
          <w:sz w:val="20"/>
          <w:szCs w:val="20"/>
        </w:rPr>
      </w:pPr>
      <w:r>
        <w:rPr/>
        <w:pict>
          <v:shape style="position:absolute;margin-left:50.331001pt;margin-top:55.259998pt;width:738.25pt;height:475.4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1843"/>
                    <w:gridCol w:w="1134"/>
                    <w:gridCol w:w="1842"/>
                    <w:gridCol w:w="1276"/>
                    <w:gridCol w:w="7938"/>
                  </w:tblGrid>
                  <w:tr>
                    <w:trPr>
                      <w:trHeight w:val="343" w:hRule="exact"/>
                    </w:trPr>
                    <w:tc>
                      <w:tcPr>
                        <w:tcW w:w="710" w:type="dxa"/>
                        <w:tcBorders>
                          <w:top w:val="single" w:sz="17" w:space="0" w:color="000000"/>
                          <w:left w:val="single" w:sz="6" w:space="0" w:color="000000"/>
                          <w:bottom w:val="nil" w:sz="6" w:space="0" w:color="auto"/>
                          <w:right w:val="single" w:sz="6" w:space="0" w:color="000000"/>
                        </w:tcBorders>
                      </w:tcPr>
                      <w:p>
                        <w:pPr/>
                      </w:p>
                    </w:tc>
                    <w:tc>
                      <w:tcPr>
                        <w:tcW w:w="1843" w:type="dxa"/>
                        <w:tcBorders>
                          <w:top w:val="single" w:sz="17" w:space="0" w:color="000000"/>
                          <w:left w:val="single" w:sz="6" w:space="0" w:color="000000"/>
                          <w:bottom w:val="nil" w:sz="6" w:space="0" w:color="auto"/>
                          <w:right w:val="single" w:sz="6" w:space="0" w:color="000000"/>
                        </w:tcBorders>
                      </w:tcPr>
                      <w:p>
                        <w:pPr/>
                      </w:p>
                    </w:tc>
                    <w:tc>
                      <w:tcPr>
                        <w:tcW w:w="1134" w:type="dxa"/>
                        <w:tcBorders>
                          <w:top w:val="single" w:sz="17" w:space="0" w:color="000000"/>
                          <w:left w:val="single" w:sz="6" w:space="0" w:color="000000"/>
                          <w:bottom w:val="nil" w:sz="6" w:space="0" w:color="auto"/>
                          <w:right w:val="single" w:sz="6" w:space="0" w:color="000000"/>
                        </w:tcBorders>
                      </w:tcPr>
                      <w:p>
                        <w:pPr/>
                      </w:p>
                    </w:tc>
                    <w:tc>
                      <w:tcPr>
                        <w:tcW w:w="1842" w:type="dxa"/>
                        <w:tcBorders>
                          <w:top w:val="single" w:sz="17" w:space="0" w:color="000000"/>
                          <w:left w:val="single" w:sz="6" w:space="0" w:color="000000"/>
                          <w:bottom w:val="nil" w:sz="6" w:space="0" w:color="auto"/>
                          <w:right w:val="single" w:sz="6" w:space="0" w:color="000000"/>
                        </w:tcBorders>
                      </w:tcPr>
                      <w:p>
                        <w:pPr/>
                      </w:p>
                    </w:tc>
                    <w:tc>
                      <w:tcPr>
                        <w:tcW w:w="1276" w:type="dxa"/>
                        <w:tcBorders>
                          <w:top w:val="single" w:sz="17" w:space="0" w:color="000000"/>
                          <w:left w:val="single" w:sz="6" w:space="0" w:color="000000"/>
                          <w:bottom w:val="nil" w:sz="6" w:space="0" w:color="auto"/>
                          <w:right w:val="single" w:sz="6" w:space="0" w:color="000000"/>
                        </w:tcBorders>
                      </w:tcPr>
                      <w:p>
                        <w:pPr/>
                      </w:p>
                    </w:tc>
                    <w:tc>
                      <w:tcPr>
                        <w:tcW w:w="7938" w:type="dxa"/>
                        <w:tcBorders>
                          <w:top w:val="single" w:sz="17" w:space="0" w:color="000000"/>
                          <w:left w:val="single" w:sz="6" w:space="0" w:color="000000"/>
                          <w:bottom w:val="nil" w:sz="6" w:space="0" w:color="auto"/>
                          <w:right w:val="single" w:sz="6" w:space="0" w:color="000000"/>
                        </w:tcBorders>
                      </w:tcPr>
                      <w:p>
                        <w:pPr>
                          <w:pStyle w:val="TableParagraph"/>
                          <w:spacing w:line="240" w:lineRule="auto" w:before="44"/>
                          <w:ind w:right="0"/>
                          <w:jc w:val="right"/>
                          <w:rPr>
                            <w:rFonts w:ascii="宋体" w:hAnsi="宋体" w:cs="宋体" w:eastAsia="宋体" w:hint="default"/>
                            <w:sz w:val="15"/>
                            <w:szCs w:val="15"/>
                          </w:rPr>
                        </w:pPr>
                        <w:r>
                          <w:rPr>
                            <w:rFonts w:ascii="宋体" w:hAnsi="宋体" w:cs="宋体" w:eastAsia="宋体" w:hint="default"/>
                            <w:spacing w:val="-1"/>
                            <w:sz w:val="15"/>
                            <w:szCs w:val="15"/>
                          </w:rPr>
                          <w:t>智慧校园是一个校园服务平台，包括校园卡、移动支付、学习、生活服务和人才成长体系几大方面，致力于把学校变</w:t>
                        </w:r>
                      </w:p>
                    </w:tc>
                  </w:tr>
                  <w:tr>
                    <w:trPr>
                      <w:trHeight w:val="31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pacing w:val="-1"/>
                            <w:sz w:val="15"/>
                            <w:szCs w:val="15"/>
                          </w:rPr>
                          <w:t>成一个完美校园，为学生提供一个</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轻松生活，快乐成长</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的校园环境。为了给用户提供更优质的服务和更好用的应用，提</w:t>
                        </w:r>
                      </w:p>
                    </w:tc>
                  </w:tr>
                  <w:tr>
                    <w:trPr>
                      <w:trHeight w:val="30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29"/>
                          <w:jc w:val="left"/>
                          <w:rPr>
                            <w:rFonts w:ascii="宋体" w:hAnsi="宋体" w:cs="宋体" w:eastAsia="宋体" w:hint="default"/>
                            <w:sz w:val="15"/>
                            <w:szCs w:val="15"/>
                          </w:rPr>
                        </w:pPr>
                        <w:r>
                          <w:rPr>
                            <w:rFonts w:ascii="宋体" w:hAnsi="宋体" w:cs="宋体" w:eastAsia="宋体" w:hint="default"/>
                            <w:sz w:val="15"/>
                            <w:szCs w:val="15"/>
                          </w:rPr>
                          <w:t>升用户活跃。平台需要了解每个用户的行为、爱好、兴趣，同时也需要了解每个应用用户的喜欢程度。但由于用户众多，</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pacing w:val="-1"/>
                            <w:sz w:val="15"/>
                            <w:szCs w:val="15"/>
                          </w:rPr>
                          <w:t>产生的行为数据、日志数据、社交数据比较多，需要利用大数据技术及支持大数据采集计算的环境才能达到目标。项目主</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要包括：</w:t>
                        </w:r>
                      </w:p>
                    </w:tc>
                  </w:tr>
                  <w:tr>
                    <w:trPr>
                      <w:trHeight w:val="31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、数据采集。从完美校园平台、围绕完美校园平台的应用、互联网等不同渠道采集用户行为数据和日志数据；</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、数据管理及计算。把收集到的数据采用分布式存储并计算，实现离线计算和实时计算；</w:t>
                        </w:r>
                      </w:p>
                    </w:tc>
                  </w:tr>
                  <w:tr>
                    <w:trPr>
                      <w:trHeight w:val="234"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基于智慧校园的大数据分析</w:t>
                        </w: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0"/>
                          <w:jc w:val="center"/>
                          <w:rPr>
                            <w:rFonts w:ascii="宋体" w:hAnsi="宋体" w:cs="宋体" w:eastAsia="宋体" w:hint="default"/>
                            <w:sz w:val="15"/>
                            <w:szCs w:val="15"/>
                          </w:rPr>
                        </w:pPr>
                        <w:r>
                          <w:rPr>
                            <w:rFonts w:ascii="宋体" w:hAnsi="宋体" w:cs="宋体" w:eastAsia="宋体" w:hint="default"/>
                            <w:sz w:val="15"/>
                            <w:szCs w:val="15"/>
                          </w:rPr>
                          <w:t>计划起止日期：</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、完美校园运营平台。从客户接入、用户上线、用户活跃、功能使用、价值鉴别、运营推广等几个访问多维护进行分析</w:t>
                        </w:r>
                      </w:p>
                    </w:tc>
                  </w:tr>
                  <w:tr>
                    <w:trPr>
                      <w:trHeight w:val="155"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159" w:lineRule="exact"/>
                          <w:ind w:left="309" w:right="0"/>
                          <w:jc w:val="left"/>
                          <w:rPr>
                            <w:rFonts w:ascii="Times New Roman" w:hAnsi="Times New Roman" w:cs="Times New Roman" w:eastAsia="Times New Roman" w:hint="default"/>
                            <w:sz w:val="15"/>
                            <w:szCs w:val="15"/>
                          </w:rPr>
                        </w:pPr>
                        <w:r>
                          <w:rPr>
                            <w:rFonts w:ascii="Times New Roman"/>
                            <w:sz w:val="15"/>
                          </w:rPr>
                          <w:t>8</w:t>
                        </w: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智慧校园</w:t>
                        </w:r>
                      </w:p>
                    </w:tc>
                    <w:tc>
                      <w:tcPr>
                        <w:tcW w:w="1842" w:type="dxa"/>
                        <w:tcBorders>
                          <w:top w:val="nil" w:sz="6" w:space="0" w:color="auto"/>
                          <w:left w:val="single" w:sz="6" w:space="0" w:color="000000"/>
                          <w:bottom w:val="nil" w:sz="6" w:space="0" w:color="auto"/>
                          <w:right w:val="single" w:sz="6"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测试阶段</w:t>
                        </w: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
                    </w:tc>
                  </w:tr>
                  <w:tr>
                    <w:trPr>
                      <w:trHeight w:val="234"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与决策平台</w:t>
                        </w: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60" w:lineRule="exact"/>
                          <w:ind w:right="0"/>
                          <w:jc w:val="center"/>
                          <w:rPr>
                            <w:rFonts w:ascii="Times New Roman" w:hAnsi="Times New Roman" w:cs="Times New Roman" w:eastAsia="Times New Roman" w:hint="default"/>
                            <w:sz w:val="15"/>
                            <w:szCs w:val="15"/>
                          </w:rPr>
                        </w:pPr>
                        <w:r>
                          <w:rPr>
                            <w:rFonts w:ascii="Times New Roman"/>
                            <w:sz w:val="15"/>
                          </w:rPr>
                          <w:t>2017/3/1  </w:t>
                        </w:r>
                        <w:r>
                          <w:rPr>
                            <w:rFonts w:ascii="Times New Roman"/>
                            <w:spacing w:val="25"/>
                            <w:sz w:val="15"/>
                          </w:rPr>
                          <w:t> </w:t>
                        </w:r>
                        <w:r>
                          <w:rPr>
                            <w:rFonts w:ascii="Times New Roman"/>
                            <w:sz w:val="15"/>
                          </w:rPr>
                          <w:t>2018/3/1</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并对每个维护分析可进行下钻了解更深入的行为；</w:t>
                        </w:r>
                      </w:p>
                    </w:tc>
                  </w:tr>
                  <w:tr>
                    <w:trPr>
                      <w:trHeight w:val="313"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实时监控平台。每天</w:t>
                        </w:r>
                        <w:r>
                          <w:rPr>
                            <w:rFonts w:ascii="Times New Roman" w:hAnsi="Times New Roman" w:cs="Times New Roman" w:eastAsia="Times New Roman" w:hint="default"/>
                            <w:sz w:val="15"/>
                            <w:szCs w:val="15"/>
                          </w:rPr>
                          <w:t>24</w:t>
                        </w:r>
                        <w:r>
                          <w:rPr>
                            <w:rFonts w:ascii="宋体" w:hAnsi="宋体" w:cs="宋体" w:eastAsia="宋体" w:hint="default"/>
                            <w:sz w:val="15"/>
                            <w:szCs w:val="15"/>
                          </w:rPr>
                          <w:t>小时可实时条件用户活跃、移动支付、办事处活跃排行、省份活跃排行、功能活跃排行、学校活</w:t>
                        </w:r>
                      </w:p>
                    </w:tc>
                  </w:tr>
                  <w:tr>
                    <w:trPr>
                      <w:trHeight w:val="30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跃排行等等功能；</w:t>
                        </w:r>
                      </w:p>
                    </w:tc>
                  </w:tr>
                  <w:tr>
                    <w:trPr>
                      <w:trHeight w:val="31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、大数据推送系统。可针对不同角色推送不同的数据，方便领导决策，运营人员推广、开发人员开发价值更高的应用、</w:t>
                        </w:r>
                      </w:p>
                    </w:tc>
                  </w:tr>
                  <w:tr>
                    <w:trPr>
                      <w:trHeight w:val="30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办事处人员接入及推广等等；</w:t>
                        </w:r>
                      </w:p>
                    </w:tc>
                  </w:tr>
                  <w:tr>
                    <w:trPr>
                      <w:trHeight w:val="31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、用户推荐系统。根据用户之间的关联关系，为用户推荐兴趣相投的同学，让他们在完美校园中轻松生活，快乐成长；</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7</w:t>
                        </w:r>
                        <w:r>
                          <w:rPr>
                            <w:rFonts w:ascii="宋体" w:hAnsi="宋体" w:cs="宋体" w:eastAsia="宋体" w:hint="default"/>
                            <w:sz w:val="15"/>
                            <w:szCs w:val="15"/>
                          </w:rPr>
                          <w:t>、用户画像。根据用户行为数据、用户属性、互联网数据等等，为用户打标签。用户画像是针对产品</w:t>
                        </w:r>
                        <w:r>
                          <w:rPr>
                            <w:rFonts w:ascii="Times New Roman" w:hAnsi="Times New Roman" w:cs="Times New Roman" w:eastAsia="Times New Roman" w:hint="default"/>
                            <w:sz w:val="15"/>
                            <w:szCs w:val="15"/>
                          </w:rPr>
                          <w:t>/</w:t>
                        </w:r>
                        <w:r>
                          <w:rPr>
                            <w:rFonts w:ascii="宋体" w:hAnsi="宋体" w:cs="宋体" w:eastAsia="宋体" w:hint="default"/>
                            <w:sz w:val="15"/>
                            <w:szCs w:val="15"/>
                          </w:rPr>
                          <w:t>服务目标群体真实</w:t>
                        </w:r>
                      </w:p>
                    </w:tc>
                  </w:tr>
                  <w:tr>
                    <w:trPr>
                      <w:trHeight w:val="326" w:hRule="exact"/>
                    </w:trPr>
                    <w:tc>
                      <w:tcPr>
                        <w:tcW w:w="71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特征的勾勒，是真实客户的综合原型，是一种勾画目标客户、联系客户诉求与设计产品</w:t>
                        </w:r>
                        <w:r>
                          <w:rPr>
                            <w:rFonts w:ascii="Times New Roman" w:hAnsi="Times New Roman" w:cs="Times New Roman" w:eastAsia="Times New Roman" w:hint="default"/>
                            <w:sz w:val="15"/>
                            <w:szCs w:val="15"/>
                          </w:rPr>
                          <w:t>/</w:t>
                        </w:r>
                        <w:r>
                          <w:rPr>
                            <w:rFonts w:ascii="宋体" w:hAnsi="宋体" w:cs="宋体" w:eastAsia="宋体" w:hint="default"/>
                            <w:sz w:val="15"/>
                            <w:szCs w:val="15"/>
                          </w:rPr>
                          <w:t>服务方向的有效工具。</w:t>
                        </w:r>
                      </w:p>
                    </w:tc>
                  </w:tr>
                  <w:tr>
                    <w:trPr>
                      <w:trHeight w:val="329" w:hRule="exact"/>
                    </w:trPr>
                    <w:tc>
                      <w:tcPr>
                        <w:tcW w:w="710"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842"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79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right="-29"/>
                          <w:jc w:val="right"/>
                          <w:rPr>
                            <w:rFonts w:ascii="宋体" w:hAnsi="宋体" w:cs="宋体" w:eastAsia="宋体" w:hint="default"/>
                            <w:sz w:val="15"/>
                            <w:szCs w:val="15"/>
                          </w:rPr>
                        </w:pPr>
                        <w:r>
                          <w:rPr>
                            <w:rFonts w:ascii="宋体" w:hAnsi="宋体" w:cs="宋体" w:eastAsia="宋体" w:hint="default"/>
                            <w:sz w:val="15"/>
                            <w:szCs w:val="15"/>
                          </w:rPr>
                          <w:t>该系统的主要目标是实现学校餐厅点菜工作的信息化，高效的为顾客提供服务，解决现在存在高校餐厅的由于拥挤、</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嘈杂等原因带来的问题。包含以下功能：</w:t>
                        </w:r>
                      </w:p>
                    </w:tc>
                  </w:tr>
                  <w:tr>
                    <w:trPr>
                      <w:trHeight w:val="31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信息化管理菜品：专业维护食材的采购、库存等信息，维护菜单信息；收集菜品的销售、以及师生评价情况；</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0"/>
                          <w:jc w:val="center"/>
                          <w:rPr>
                            <w:rFonts w:ascii="宋体" w:hAnsi="宋体" w:cs="宋体" w:eastAsia="宋体" w:hint="default"/>
                            <w:sz w:val="15"/>
                            <w:szCs w:val="15"/>
                          </w:rPr>
                        </w:pPr>
                        <w:r>
                          <w:rPr>
                            <w:rFonts w:ascii="宋体" w:hAnsi="宋体" w:cs="宋体" w:eastAsia="宋体" w:hint="default"/>
                            <w:sz w:val="15"/>
                            <w:szCs w:val="15"/>
                          </w:rPr>
                          <w:t>计划起止日期：</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餐饮种类可控：根据后台菜单信息，管理人员可以控制餐厅所销售的菜品，杜绝校园内出现</w:t>
                        </w:r>
                        <w:r>
                          <w:rPr>
                            <w:rFonts w:ascii="Times New Roman" w:hAnsi="Times New Roman" w:cs="Times New Roman" w:eastAsia="Times New Roman" w:hint="default"/>
                            <w:sz w:val="15"/>
                            <w:szCs w:val="15"/>
                          </w:rPr>
                          <w:t>“</w:t>
                        </w:r>
                        <w:r>
                          <w:rPr>
                            <w:rFonts w:ascii="宋体" w:hAnsi="宋体" w:cs="宋体" w:eastAsia="宋体" w:hint="default"/>
                            <w:sz w:val="15"/>
                            <w:szCs w:val="15"/>
                          </w:rPr>
                          <w:t>黑暗料理</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309" w:right="0"/>
                          <w:jc w:val="left"/>
                          <w:rPr>
                            <w:rFonts w:ascii="Times New Roman" w:hAnsi="Times New Roman" w:cs="Times New Roman" w:eastAsia="Times New Roman" w:hint="default"/>
                            <w:sz w:val="15"/>
                            <w:szCs w:val="15"/>
                          </w:rPr>
                        </w:pPr>
                        <w:r>
                          <w:rPr>
                            <w:rFonts w:ascii="Times New Roman"/>
                            <w:sz w:val="15"/>
                          </w:rPr>
                          <w:t>9</w:t>
                        </w: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智慧餐饮管理系统</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宋体" w:hAnsi="宋体" w:cs="宋体" w:eastAsia="宋体" w:hint="default"/>
                            <w:sz w:val="15"/>
                            <w:szCs w:val="15"/>
                          </w:rPr>
                        </w:pPr>
                        <w:r>
                          <w:rPr>
                            <w:rFonts w:ascii="宋体" w:hAnsi="宋体" w:cs="宋体" w:eastAsia="宋体" w:hint="default"/>
                            <w:sz w:val="15"/>
                            <w:szCs w:val="15"/>
                          </w:rPr>
                          <w:t>智慧校园</w:t>
                        </w:r>
                      </w:p>
                    </w:tc>
                    <w:tc>
                      <w:tcPr>
                        <w:tcW w:w="184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1"/>
                          <w:jc w:val="center"/>
                          <w:rPr>
                            <w:rFonts w:ascii="宋体" w:hAnsi="宋体" w:cs="宋体" w:eastAsia="宋体" w:hint="default"/>
                            <w:sz w:val="15"/>
                            <w:szCs w:val="15"/>
                          </w:rPr>
                        </w:pPr>
                        <w:r>
                          <w:rPr>
                            <w:rFonts w:ascii="宋体" w:hAnsi="宋体" w:cs="宋体" w:eastAsia="宋体" w:hint="default"/>
                            <w:sz w:val="15"/>
                            <w:szCs w:val="15"/>
                          </w:rPr>
                          <w:t>开发阶段</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1" w:right="0"/>
                          <w:jc w:val="center"/>
                          <w:rPr>
                            <w:rFonts w:ascii="Times New Roman" w:hAnsi="Times New Roman" w:cs="Times New Roman" w:eastAsia="Times New Roman" w:hint="default"/>
                            <w:sz w:val="15"/>
                            <w:szCs w:val="15"/>
                          </w:rPr>
                        </w:pPr>
                        <w:r>
                          <w:rPr>
                            <w:rFonts w:ascii="Times New Roman"/>
                            <w:sz w:val="15"/>
                          </w:rPr>
                          <w:t>2017/2/21</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饮食安全监督：根据师生的就餐数据，可以追溯到出问题的菜品，便于管理人员进行问题调查；</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1" w:right="0"/>
                          <w:jc w:val="center"/>
                          <w:rPr>
                            <w:rFonts w:ascii="Times New Roman" w:hAnsi="Times New Roman" w:cs="Times New Roman" w:eastAsia="Times New Roman" w:hint="default"/>
                            <w:sz w:val="15"/>
                            <w:szCs w:val="15"/>
                          </w:rPr>
                        </w:pPr>
                        <w:r>
                          <w:rPr>
                            <w:rFonts w:ascii="Times New Roman"/>
                            <w:sz w:val="15"/>
                          </w:rPr>
                          <w:t>2018/6/15</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提升服务质量：为师生提供便捷、友好的点餐工具；提供师生反馈窗口，可供师生对服务人员、菜品口味等方面进行评</w:t>
                        </w:r>
                      </w:p>
                    </w:tc>
                  </w:tr>
                  <w:tr>
                    <w:trPr>
                      <w:trHeight w:val="30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价，提升服务质量；</w:t>
                        </w:r>
                      </w:p>
                    </w:tc>
                  </w:tr>
                  <w:tr>
                    <w:trPr>
                      <w:trHeight w:val="31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营养分析：分析师生的用餐信息，以及所点菜品的营养价值，可以为师生提供合理化的用餐习惯；</w:t>
                        </w:r>
                      </w:p>
                    </w:tc>
                  </w:tr>
                  <w:tr>
                    <w:trPr>
                      <w:trHeight w:val="326" w:hRule="exact"/>
                    </w:trPr>
                    <w:tc>
                      <w:tcPr>
                        <w:tcW w:w="71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手机预约点餐：为师生提供手机线上点餐服务，通过手机线上点餐，避免排队拥挤。</w:t>
                        </w:r>
                      </w:p>
                    </w:tc>
                  </w:tr>
                  <w:tr>
                    <w:trPr>
                      <w:trHeight w:val="333" w:hRule="exact"/>
                    </w:trPr>
                    <w:tc>
                      <w:tcPr>
                        <w:tcW w:w="710"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842"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79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right="2"/>
                          <w:jc w:val="right"/>
                          <w:rPr>
                            <w:rFonts w:ascii="宋体" w:hAnsi="宋体" w:cs="宋体" w:eastAsia="宋体" w:hint="default"/>
                            <w:sz w:val="15"/>
                            <w:szCs w:val="15"/>
                          </w:rPr>
                        </w:pPr>
                        <w:r>
                          <w:rPr>
                            <w:rFonts w:ascii="Times New Roman" w:hAnsi="Times New Roman" w:cs="Times New Roman" w:eastAsia="Times New Roman" w:hint="default"/>
                            <w:spacing w:val="-1"/>
                            <w:sz w:val="15"/>
                            <w:szCs w:val="15"/>
                          </w:rPr>
                          <w:t>2016</w:t>
                        </w:r>
                        <w:r>
                          <w:rPr>
                            <w:rFonts w:ascii="宋体" w:hAnsi="宋体" w:cs="宋体" w:eastAsia="宋体" w:hint="default"/>
                            <w:spacing w:val="-1"/>
                            <w:sz w:val="15"/>
                            <w:szCs w:val="15"/>
                          </w:rPr>
                          <w:t>年底住建部年会，提出了智慧住区的概念，将其作为智慧城市建设的核心指标之一。住区即社区，社区一卡通成</w:t>
                        </w:r>
                      </w:p>
                    </w:tc>
                  </w:tr>
                  <w:tr>
                    <w:trPr>
                      <w:trHeight w:val="230"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0"/>
                          <w:jc w:val="center"/>
                          <w:rPr>
                            <w:rFonts w:ascii="宋体" w:hAnsi="宋体" w:cs="宋体" w:eastAsia="宋体" w:hint="default"/>
                            <w:sz w:val="15"/>
                            <w:szCs w:val="15"/>
                          </w:rPr>
                        </w:pPr>
                        <w:r>
                          <w:rPr>
                            <w:rFonts w:ascii="宋体" w:hAnsi="宋体" w:cs="宋体" w:eastAsia="宋体" w:hint="default"/>
                            <w:sz w:val="15"/>
                            <w:szCs w:val="15"/>
                          </w:rPr>
                          <w:t>计划起止日期：</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为住建部即交通一卡通全国互联互通之后，又一项全国性的互联互通推广项目。</w:t>
                        </w:r>
                      </w:p>
                    </w:tc>
                  </w:tr>
                  <w:tr>
                    <w:trPr>
                      <w:trHeight w:val="160"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64" w:lineRule="exact"/>
                          <w:ind w:left="2" w:right="0"/>
                          <w:jc w:val="left"/>
                          <w:rPr>
                            <w:rFonts w:ascii="宋体" w:hAnsi="宋体" w:cs="宋体" w:eastAsia="宋体" w:hint="default"/>
                            <w:sz w:val="15"/>
                            <w:szCs w:val="15"/>
                          </w:rPr>
                        </w:pPr>
                        <w:r>
                          <w:rPr>
                            <w:rFonts w:ascii="宋体" w:hAnsi="宋体" w:cs="宋体" w:eastAsia="宋体" w:hint="default"/>
                            <w:sz w:val="15"/>
                            <w:szCs w:val="15"/>
                          </w:rPr>
                          <w:t>基于云计算与</w:t>
                        </w:r>
                        <w:r>
                          <w:rPr>
                            <w:rFonts w:ascii="Times New Roman" w:hAnsi="Times New Roman" w:cs="Times New Roman" w:eastAsia="Times New Roman" w:hint="default"/>
                            <w:sz w:val="15"/>
                            <w:szCs w:val="15"/>
                          </w:rPr>
                          <w:t>SaaS</w:t>
                        </w:r>
                        <w:r>
                          <w:rPr>
                            <w:rFonts w:ascii="宋体" w:hAnsi="宋体" w:cs="宋体" w:eastAsia="宋体" w:hint="default"/>
                            <w:sz w:val="15"/>
                            <w:szCs w:val="15"/>
                          </w:rPr>
                          <w:t>服务的智</w:t>
                        </w: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
                    </w:tc>
                  </w:tr>
                  <w:tr>
                    <w:trPr>
                      <w:trHeight w:val="156"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159" w:lineRule="exact"/>
                          <w:ind w:left="272" w:right="0"/>
                          <w:jc w:val="left"/>
                          <w:rPr>
                            <w:rFonts w:ascii="Times New Roman" w:hAnsi="Times New Roman" w:cs="Times New Roman" w:eastAsia="Times New Roman" w:hint="default"/>
                            <w:sz w:val="15"/>
                            <w:szCs w:val="15"/>
                          </w:rPr>
                        </w:pPr>
                        <w:r>
                          <w:rPr>
                            <w:rFonts w:ascii="Times New Roman"/>
                            <w:sz w:val="15"/>
                          </w:rPr>
                          <w:t>10</w:t>
                        </w: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城市一卡通</w:t>
                        </w:r>
                      </w:p>
                    </w:tc>
                    <w:tc>
                      <w:tcPr>
                        <w:tcW w:w="1842" w:type="dxa"/>
                        <w:tcBorders>
                          <w:top w:val="nil" w:sz="6" w:space="0" w:color="auto"/>
                          <w:left w:val="single" w:sz="6" w:space="0" w:color="000000"/>
                          <w:bottom w:val="nil" w:sz="6" w:space="0" w:color="auto"/>
                          <w:right w:val="single" w:sz="6"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59" w:lineRule="exact"/>
                          <w:ind w:right="0"/>
                          <w:jc w:val="center"/>
                          <w:rPr>
                            <w:rFonts w:ascii="Times New Roman" w:hAnsi="Times New Roman" w:cs="Times New Roman" w:eastAsia="Times New Roman" w:hint="default"/>
                            <w:sz w:val="15"/>
                            <w:szCs w:val="15"/>
                          </w:rPr>
                        </w:pPr>
                        <w:r>
                          <w:rPr>
                            <w:rFonts w:ascii="Times New Roman"/>
                            <w:sz w:val="15"/>
                          </w:rPr>
                          <w:t>2017/3/3</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60" w:lineRule="exact"/>
                          <w:ind w:right="1"/>
                          <w:jc w:val="right"/>
                          <w:rPr>
                            <w:rFonts w:ascii="宋体" w:hAnsi="宋体" w:cs="宋体" w:eastAsia="宋体" w:hint="default"/>
                            <w:sz w:val="15"/>
                            <w:szCs w:val="15"/>
                          </w:rPr>
                        </w:pPr>
                        <w:r>
                          <w:rPr>
                            <w:rFonts w:ascii="宋体" w:hAnsi="宋体" w:cs="宋体" w:eastAsia="宋体" w:hint="default"/>
                            <w:spacing w:val="-1"/>
                            <w:sz w:val="15"/>
                            <w:szCs w:val="15"/>
                          </w:rPr>
                          <w:t>房地产行业是当前阶段我们国家</w:t>
                        </w:r>
                        <w:r>
                          <w:rPr>
                            <w:rFonts w:ascii="Times New Roman" w:hAnsi="Times New Roman" w:cs="Times New Roman" w:eastAsia="Times New Roman" w:hint="default"/>
                            <w:spacing w:val="-1"/>
                            <w:sz w:val="15"/>
                            <w:szCs w:val="15"/>
                          </w:rPr>
                          <w:t>GDP</w:t>
                        </w:r>
                        <w:r>
                          <w:rPr>
                            <w:rFonts w:ascii="宋体" w:hAnsi="宋体" w:cs="宋体" w:eastAsia="宋体" w:hint="default"/>
                            <w:spacing w:val="-1"/>
                            <w:sz w:val="15"/>
                            <w:szCs w:val="15"/>
                          </w:rPr>
                          <w:t>增长的支柱性行业，市场前景广。同时经过长久的发展，伴随着居民生活水平的</w:t>
                        </w:r>
                      </w:p>
                    </w:tc>
                  </w:tr>
                  <w:tr>
                    <w:trPr>
                      <w:trHeight w:val="15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慧社区综合业务服务平台</w:t>
                        </w: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
                    </w:tc>
                  </w:tr>
                  <w:tr>
                    <w:trPr>
                      <w:trHeight w:val="23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63" w:lineRule="exact"/>
                          <w:ind w:left="1" w:right="0"/>
                          <w:jc w:val="center"/>
                          <w:rPr>
                            <w:rFonts w:ascii="Times New Roman" w:hAnsi="Times New Roman" w:cs="Times New Roman" w:eastAsia="Times New Roman" w:hint="default"/>
                            <w:sz w:val="15"/>
                            <w:szCs w:val="15"/>
                          </w:rPr>
                        </w:pPr>
                        <w:r>
                          <w:rPr>
                            <w:rFonts w:ascii="Times New Roman"/>
                            <w:sz w:val="15"/>
                          </w:rPr>
                          <w:t>2017/9/30</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 w:right="0"/>
                          <w:jc w:val="left"/>
                          <w:rPr>
                            <w:rFonts w:ascii="宋体" w:hAnsi="宋体" w:cs="宋体" w:eastAsia="宋体" w:hint="default"/>
                            <w:sz w:val="15"/>
                            <w:szCs w:val="15"/>
                          </w:rPr>
                        </w:pPr>
                        <w:r>
                          <w:rPr>
                            <w:rFonts w:ascii="宋体" w:hAnsi="宋体" w:cs="宋体" w:eastAsia="宋体" w:hint="default"/>
                            <w:spacing w:val="-1"/>
                            <w:sz w:val="15"/>
                            <w:szCs w:val="15"/>
                          </w:rPr>
                          <w:t>提高，房地产开发商在追求差异化、高端化的优质地产项目开发是，逐步将目光聚集到房产信息化水平上，致力于提高更</w:t>
                        </w:r>
                      </w:p>
                    </w:tc>
                  </w:tr>
                  <w:tr>
                    <w:trPr>
                      <w:trHeight w:val="328" w:hRule="exact"/>
                    </w:trPr>
                    <w:tc>
                      <w:tcPr>
                        <w:tcW w:w="71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1"/>
                          <w:ind w:left="2" w:right="0"/>
                          <w:jc w:val="left"/>
                          <w:rPr>
                            <w:rFonts w:ascii="宋体" w:hAnsi="宋体" w:cs="宋体" w:eastAsia="宋体" w:hint="default"/>
                            <w:sz w:val="15"/>
                            <w:szCs w:val="15"/>
                          </w:rPr>
                        </w:pPr>
                        <w:r>
                          <w:rPr>
                            <w:rFonts w:ascii="宋体" w:hAnsi="宋体" w:cs="宋体" w:eastAsia="宋体" w:hint="default"/>
                            <w:spacing w:val="-3"/>
                            <w:sz w:val="15"/>
                            <w:szCs w:val="15"/>
                          </w:rPr>
                          <w:t>优质的服务体验来吸引购房者。部分地产开发商甚至将信息化建设作为区别于基础建设的独立科目设置，建设信息化团队</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0" w:right="117" w:firstLine="0"/>
        <w:jc w:val="right"/>
        <w:rPr>
          <w:rFonts w:ascii="宋体" w:hAnsi="宋体" w:cs="宋体" w:eastAsia="宋体" w:hint="default"/>
          <w:sz w:val="15"/>
          <w:szCs w:val="15"/>
        </w:rPr>
      </w:pPr>
      <w:r>
        <w:rPr>
          <w:rFonts w:ascii="宋体" w:hAnsi="宋体" w:cs="宋体" w:eastAsia="宋体" w:hint="default"/>
          <w:sz w:val="15"/>
          <w:szCs w:val="15"/>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0" w:right="117" w:firstLine="0"/>
        <w:jc w:val="right"/>
        <w:rPr>
          <w:rFonts w:ascii="宋体" w:hAnsi="宋体" w:cs="宋体" w:eastAsia="宋体" w:hint="default"/>
          <w:sz w:val="15"/>
          <w:szCs w:val="15"/>
        </w:rPr>
      </w:pPr>
      <w:r>
        <w:rPr>
          <w:rFonts w:ascii="宋体" w:hAnsi="宋体" w:cs="宋体" w:eastAsia="宋体" w:hint="default"/>
          <w:sz w:val="15"/>
          <w:szCs w:val="15"/>
        </w:rPr>
        <w:t>，</w:t>
      </w:r>
    </w:p>
    <w:p>
      <w:pPr>
        <w:spacing w:after="0"/>
        <w:jc w:val="right"/>
        <w:rPr>
          <w:rFonts w:ascii="宋体" w:hAnsi="宋体" w:cs="宋体" w:eastAsia="宋体" w:hint="default"/>
          <w:sz w:val="15"/>
          <w:szCs w:val="15"/>
        </w:rPr>
        <w:sectPr>
          <w:pgSz w:w="16840" w:h="11910" w:orient="landscape"/>
          <w:pgMar w:header="867" w:footer="978" w:top="1060" w:bottom="1160" w:left="900" w:right="90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710"/>
        <w:gridCol w:w="1843"/>
        <w:gridCol w:w="1134"/>
        <w:gridCol w:w="1842"/>
        <w:gridCol w:w="1276"/>
        <w:gridCol w:w="7938"/>
      </w:tblGrid>
      <w:tr>
        <w:trPr>
          <w:trHeight w:val="343" w:hRule="exact"/>
        </w:trPr>
        <w:tc>
          <w:tcPr>
            <w:tcW w:w="710" w:type="dxa"/>
            <w:vMerge w:val="restart"/>
            <w:tcBorders>
              <w:top w:val="single" w:sz="17" w:space="0" w:color="000000"/>
              <w:left w:val="single" w:sz="6" w:space="0" w:color="000000"/>
              <w:right w:val="single" w:sz="6" w:space="0" w:color="000000"/>
            </w:tcBorders>
          </w:tcPr>
          <w:p>
            <w:pPr/>
          </w:p>
        </w:tc>
        <w:tc>
          <w:tcPr>
            <w:tcW w:w="1843" w:type="dxa"/>
            <w:vMerge w:val="restart"/>
            <w:tcBorders>
              <w:top w:val="single" w:sz="17" w:space="0" w:color="000000"/>
              <w:left w:val="single" w:sz="6" w:space="0" w:color="000000"/>
              <w:right w:val="single" w:sz="6" w:space="0" w:color="000000"/>
            </w:tcBorders>
          </w:tcPr>
          <w:p>
            <w:pPr/>
          </w:p>
        </w:tc>
        <w:tc>
          <w:tcPr>
            <w:tcW w:w="1134" w:type="dxa"/>
            <w:vMerge w:val="restart"/>
            <w:tcBorders>
              <w:top w:val="single" w:sz="17" w:space="0" w:color="000000"/>
              <w:left w:val="single" w:sz="6" w:space="0" w:color="000000"/>
              <w:right w:val="single" w:sz="6" w:space="0" w:color="000000"/>
            </w:tcBorders>
          </w:tcPr>
          <w:p>
            <w:pPr/>
          </w:p>
        </w:tc>
        <w:tc>
          <w:tcPr>
            <w:tcW w:w="1842" w:type="dxa"/>
            <w:vMerge w:val="restart"/>
            <w:tcBorders>
              <w:top w:val="single" w:sz="17" w:space="0" w:color="000000"/>
              <w:left w:val="single" w:sz="6" w:space="0" w:color="000000"/>
              <w:right w:val="single" w:sz="6" w:space="0" w:color="000000"/>
            </w:tcBorders>
          </w:tcPr>
          <w:p>
            <w:pPr/>
          </w:p>
        </w:tc>
        <w:tc>
          <w:tcPr>
            <w:tcW w:w="1276" w:type="dxa"/>
            <w:vMerge w:val="restart"/>
            <w:tcBorders>
              <w:top w:val="single" w:sz="17" w:space="0" w:color="000000"/>
              <w:left w:val="single" w:sz="6" w:space="0" w:color="000000"/>
              <w:right w:val="single" w:sz="6" w:space="0" w:color="000000"/>
            </w:tcBorders>
          </w:tcPr>
          <w:p>
            <w:pPr/>
          </w:p>
        </w:tc>
        <w:tc>
          <w:tcPr>
            <w:tcW w:w="7938" w:type="dxa"/>
            <w:tcBorders>
              <w:top w:val="single" w:sz="17"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拨付专项信息化资金支持社区一卡通建设。</w:t>
            </w:r>
          </w:p>
        </w:tc>
      </w:tr>
      <w:tr>
        <w:trPr>
          <w:trHeight w:val="312" w:hRule="exact"/>
        </w:trPr>
        <w:tc>
          <w:tcPr>
            <w:tcW w:w="710" w:type="dxa"/>
            <w:vMerge/>
            <w:tcBorders>
              <w:left w:val="single" w:sz="6" w:space="0" w:color="000000"/>
              <w:right w:val="single" w:sz="6" w:space="0" w:color="000000"/>
            </w:tcBorders>
          </w:tcPr>
          <w:p>
            <w:pPr/>
          </w:p>
        </w:tc>
        <w:tc>
          <w:tcPr>
            <w:tcW w:w="1843" w:type="dxa"/>
            <w:vMerge/>
            <w:tcBorders>
              <w:left w:val="single" w:sz="6" w:space="0" w:color="000000"/>
              <w:right w:val="single" w:sz="6" w:space="0" w:color="000000"/>
            </w:tcBorders>
          </w:tcPr>
          <w:p>
            <w:pPr/>
          </w:p>
        </w:tc>
        <w:tc>
          <w:tcPr>
            <w:tcW w:w="1134"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0"/>
              <w:jc w:val="right"/>
              <w:rPr>
                <w:rFonts w:ascii="宋体" w:hAnsi="宋体" w:cs="宋体" w:eastAsia="宋体" w:hint="default"/>
                <w:sz w:val="15"/>
                <w:szCs w:val="15"/>
              </w:rPr>
            </w:pPr>
            <w:r>
              <w:rPr>
                <w:rFonts w:ascii="宋体" w:hAnsi="宋体" w:cs="宋体" w:eastAsia="宋体" w:hint="default"/>
                <w:spacing w:val="-1"/>
                <w:sz w:val="15"/>
                <w:szCs w:val="15"/>
              </w:rPr>
              <w:t>截止目前事业部的没有结合社区环境进行过针对性研发投入，结合政策引导及市场发展情况，事业部进行针对住区应</w:t>
            </w:r>
          </w:p>
        </w:tc>
      </w:tr>
      <w:tr>
        <w:trPr>
          <w:trHeight w:val="312" w:hRule="exact"/>
        </w:trPr>
        <w:tc>
          <w:tcPr>
            <w:tcW w:w="710" w:type="dxa"/>
            <w:vMerge/>
            <w:tcBorders>
              <w:left w:val="single" w:sz="6" w:space="0" w:color="000000"/>
              <w:right w:val="single" w:sz="6" w:space="0" w:color="000000"/>
            </w:tcBorders>
          </w:tcPr>
          <w:p>
            <w:pPr/>
          </w:p>
        </w:tc>
        <w:tc>
          <w:tcPr>
            <w:tcW w:w="1843" w:type="dxa"/>
            <w:vMerge/>
            <w:tcBorders>
              <w:left w:val="single" w:sz="6" w:space="0" w:color="000000"/>
              <w:right w:val="single" w:sz="6" w:space="0" w:color="000000"/>
            </w:tcBorders>
          </w:tcPr>
          <w:p>
            <w:pPr/>
          </w:p>
        </w:tc>
        <w:tc>
          <w:tcPr>
            <w:tcW w:w="1134"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pacing w:val="-1"/>
                <w:sz w:val="15"/>
                <w:szCs w:val="15"/>
              </w:rPr>
              <w:t>用环境的产品研发，智慧住区综合业务服务平台是社区应用的基础服务系统。我们优先选择直接结合房地产开发商进行对</w:t>
            </w:r>
          </w:p>
        </w:tc>
      </w:tr>
      <w:tr>
        <w:trPr>
          <w:trHeight w:val="312" w:hRule="exact"/>
        </w:trPr>
        <w:tc>
          <w:tcPr>
            <w:tcW w:w="710" w:type="dxa"/>
            <w:vMerge/>
            <w:tcBorders>
              <w:left w:val="single" w:sz="6" w:space="0" w:color="000000"/>
              <w:right w:val="single" w:sz="6" w:space="0" w:color="000000"/>
            </w:tcBorders>
          </w:tcPr>
          <w:p>
            <w:pPr/>
          </w:p>
        </w:tc>
        <w:tc>
          <w:tcPr>
            <w:tcW w:w="1843" w:type="dxa"/>
            <w:vMerge/>
            <w:tcBorders>
              <w:left w:val="single" w:sz="6" w:space="0" w:color="000000"/>
              <w:right w:val="single" w:sz="6" w:space="0" w:color="000000"/>
            </w:tcBorders>
          </w:tcPr>
          <w:p>
            <w:pPr/>
          </w:p>
        </w:tc>
        <w:tc>
          <w:tcPr>
            <w:tcW w:w="1134"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pacing w:val="-1"/>
                <w:sz w:val="15"/>
                <w:szCs w:val="15"/>
              </w:rPr>
              <w:t>接，将房地产商分为大、中、小型进行产品与服务的区别对待，服务好一个房地产商，进行紧密绑定，即能拿下其承建项</w:t>
            </w:r>
          </w:p>
        </w:tc>
      </w:tr>
      <w:tr>
        <w:trPr>
          <w:trHeight w:val="312" w:hRule="exact"/>
        </w:trPr>
        <w:tc>
          <w:tcPr>
            <w:tcW w:w="710" w:type="dxa"/>
            <w:vMerge/>
            <w:tcBorders>
              <w:left w:val="single" w:sz="6" w:space="0" w:color="000000"/>
              <w:right w:val="single" w:sz="6" w:space="0" w:color="000000"/>
            </w:tcBorders>
          </w:tcPr>
          <w:p>
            <w:pPr/>
          </w:p>
        </w:tc>
        <w:tc>
          <w:tcPr>
            <w:tcW w:w="1843" w:type="dxa"/>
            <w:vMerge/>
            <w:tcBorders>
              <w:left w:val="single" w:sz="6" w:space="0" w:color="000000"/>
              <w:right w:val="single" w:sz="6" w:space="0" w:color="000000"/>
            </w:tcBorders>
          </w:tcPr>
          <w:p>
            <w:pPr/>
          </w:p>
        </w:tc>
        <w:tc>
          <w:tcPr>
            <w:tcW w:w="1134"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1276" w:type="dxa"/>
            <w:vMerge/>
            <w:tcBorders>
              <w:left w:val="single" w:sz="6" w:space="0" w:color="000000"/>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pacing w:val="-1"/>
                <w:sz w:val="15"/>
                <w:szCs w:val="15"/>
              </w:rPr>
              <w:t>目下的诸多硬件与软件供应权，以门锁、门禁、停车场、持卡消费、物业费代缴为场景进行的服务，应该能够获取一定的</w:t>
            </w:r>
          </w:p>
        </w:tc>
      </w:tr>
      <w:tr>
        <w:trPr>
          <w:trHeight w:val="330" w:hRule="exact"/>
        </w:trPr>
        <w:tc>
          <w:tcPr>
            <w:tcW w:w="710"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c>
          <w:tcPr>
            <w:tcW w:w="1134" w:type="dxa"/>
            <w:vMerge/>
            <w:tcBorders>
              <w:left w:val="single" w:sz="6" w:space="0" w:color="000000"/>
              <w:bottom w:val="single" w:sz="6" w:space="0" w:color="000000"/>
              <w:right w:val="single" w:sz="6" w:space="0" w:color="000000"/>
            </w:tcBorders>
          </w:tcPr>
          <w:p>
            <w:pPr/>
          </w:p>
        </w:tc>
        <w:tc>
          <w:tcPr>
            <w:tcW w:w="1842"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有效收益。随着楼盘扩建，进行长期获益。</w:t>
            </w:r>
          </w:p>
        </w:tc>
      </w:tr>
      <w:tr>
        <w:trPr>
          <w:trHeight w:val="333" w:hRule="exact"/>
        </w:trPr>
        <w:tc>
          <w:tcPr>
            <w:tcW w:w="710"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842"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79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此产品定位于中高端消费</w:t>
            </w:r>
            <w:r>
              <w:rPr>
                <w:rFonts w:ascii="Times New Roman" w:hAnsi="Times New Roman" w:cs="Times New Roman" w:eastAsia="Times New Roman" w:hint="default"/>
                <w:sz w:val="15"/>
                <w:szCs w:val="15"/>
              </w:rPr>
              <w:t>POS</w:t>
            </w:r>
            <w:r>
              <w:rPr>
                <w:rFonts w:ascii="宋体" w:hAnsi="宋体" w:cs="宋体" w:eastAsia="宋体" w:hint="default"/>
                <w:sz w:val="15"/>
                <w:szCs w:val="15"/>
              </w:rPr>
              <w:t>，其核心应用是刷卡支付，可扩展到订餐、二维码支付领域。是对现有</w:t>
            </w:r>
            <w:r>
              <w:rPr>
                <w:rFonts w:ascii="Times New Roman" w:hAnsi="Times New Roman" w:cs="Times New Roman" w:eastAsia="Times New Roman" w:hint="default"/>
                <w:sz w:val="15"/>
                <w:szCs w:val="15"/>
              </w:rPr>
              <w:t>A701/A801</w:t>
            </w:r>
            <w:r>
              <w:rPr>
                <w:rFonts w:ascii="宋体" w:hAnsi="宋体" w:cs="宋体" w:eastAsia="宋体" w:hint="default"/>
                <w:sz w:val="15"/>
                <w:szCs w:val="15"/>
              </w:rPr>
              <w:t>消费</w:t>
            </w:r>
            <w:r>
              <w:rPr>
                <w:rFonts w:ascii="Times New Roman" w:hAnsi="Times New Roman" w:cs="Times New Roman" w:eastAsia="Times New Roman" w:hint="default"/>
                <w:sz w:val="15"/>
                <w:szCs w:val="15"/>
              </w:rPr>
              <w:t>POS</w:t>
            </w:r>
          </w:p>
        </w:tc>
      </w:tr>
      <w:tr>
        <w:trPr>
          <w:trHeight w:val="30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在外观、性能、应用场景扩展的升级。</w:t>
            </w:r>
          </w:p>
        </w:tc>
      </w:tr>
      <w:tr>
        <w:trPr>
          <w:trHeight w:val="31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一</w:t>
            </w:r>
            <w:r>
              <w:rPr>
                <w:rFonts w:ascii="Times New Roman" w:hAnsi="Times New Roman" w:cs="Times New Roman" w:eastAsia="Times New Roman" w:hint="default"/>
                <w:sz w:val="15"/>
                <w:szCs w:val="15"/>
              </w:rPr>
              <w:t>.</w:t>
            </w:r>
            <w:r>
              <w:rPr>
                <w:rFonts w:ascii="宋体" w:hAnsi="宋体" w:cs="宋体" w:eastAsia="宋体" w:hint="default"/>
                <w:sz w:val="15"/>
                <w:szCs w:val="15"/>
              </w:rPr>
              <w:t>提升产品硬件竞争力：</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互联网时代，现有的</w:t>
            </w:r>
            <w:r>
              <w:rPr>
                <w:rFonts w:ascii="Times New Roman" w:hAnsi="Times New Roman" w:cs="Times New Roman" w:eastAsia="Times New Roman" w:hint="default"/>
                <w:sz w:val="15"/>
                <w:szCs w:val="15"/>
              </w:rPr>
              <w:t>A701/A801</w:t>
            </w:r>
            <w:r>
              <w:rPr>
                <w:rFonts w:ascii="宋体" w:hAnsi="宋体" w:cs="宋体" w:eastAsia="宋体" w:hint="default"/>
                <w:sz w:val="15"/>
                <w:szCs w:val="15"/>
              </w:rPr>
              <w:t>硬件配置在一些新型创新场景应用时无法满足方案需求，如在线支付、二维码解码与显</w:t>
            </w:r>
          </w:p>
        </w:tc>
      </w:tr>
      <w:tr>
        <w:trPr>
          <w:trHeight w:val="30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示、通讯速度等；</w:t>
            </w:r>
          </w:p>
        </w:tc>
      </w:tr>
      <w:tr>
        <w:trPr>
          <w:trHeight w:val="23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2.MCU</w:t>
            </w:r>
            <w:r>
              <w:rPr>
                <w:rFonts w:ascii="宋体" w:hAnsi="宋体" w:cs="宋体" w:eastAsia="宋体" w:hint="default"/>
                <w:spacing w:val="-1"/>
                <w:sz w:val="15"/>
                <w:szCs w:val="15"/>
              </w:rPr>
              <w:t>片内程序存储空间有限，限制了部分客户定制需求，不得不为满足不同客户需求维护了多套程序，不利于程序版本</w:t>
            </w:r>
          </w:p>
        </w:tc>
      </w:tr>
      <w:tr>
        <w:trPr>
          <w:trHeight w:val="15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计划起止日期：</w:t>
            </w:r>
          </w:p>
        </w:tc>
        <w:tc>
          <w:tcPr>
            <w:tcW w:w="7938" w:type="dxa"/>
            <w:tcBorders>
              <w:top w:val="nil" w:sz="6" w:space="0" w:color="auto"/>
              <w:left w:val="single" w:sz="6" w:space="0" w:color="000000"/>
              <w:bottom w:val="nil" w:sz="6" w:space="0" w:color="auto"/>
              <w:right w:val="single" w:sz="6" w:space="0" w:color="000000"/>
            </w:tcBorders>
          </w:tcPr>
          <w:p>
            <w:pPr/>
          </w:p>
        </w:tc>
      </w:tr>
      <w:tr>
        <w:trPr>
          <w:trHeight w:val="15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 w:right="0"/>
              <w:jc w:val="left"/>
              <w:rPr>
                <w:rFonts w:ascii="宋体" w:hAnsi="宋体" w:cs="宋体" w:eastAsia="宋体" w:hint="default"/>
                <w:sz w:val="15"/>
                <w:szCs w:val="15"/>
              </w:rPr>
            </w:pPr>
            <w:r>
              <w:rPr>
                <w:rFonts w:ascii="宋体" w:hAnsi="宋体" w:cs="宋体" w:eastAsia="宋体" w:hint="default"/>
                <w:sz w:val="15"/>
                <w:szCs w:val="15"/>
              </w:rPr>
              <w:t>基于智能操作系统的智能卡</w:t>
            </w: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 w:right="0"/>
              <w:jc w:val="left"/>
              <w:rPr>
                <w:rFonts w:ascii="宋体" w:hAnsi="宋体" w:cs="宋体" w:eastAsia="宋体" w:hint="default"/>
                <w:sz w:val="15"/>
                <w:szCs w:val="15"/>
              </w:rPr>
            </w:pPr>
            <w:r>
              <w:rPr>
                <w:rFonts w:ascii="宋体" w:hAnsi="宋体" w:cs="宋体" w:eastAsia="宋体" w:hint="default"/>
                <w:sz w:val="15"/>
                <w:szCs w:val="15"/>
              </w:rPr>
              <w:t>控制与维护。</w:t>
            </w:r>
          </w:p>
        </w:tc>
      </w:tr>
      <w:tr>
        <w:trPr>
          <w:trHeight w:val="160"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163" w:lineRule="exact"/>
              <w:ind w:left="272" w:right="0"/>
              <w:jc w:val="left"/>
              <w:rPr>
                <w:rFonts w:ascii="Times New Roman" w:hAnsi="Times New Roman" w:cs="Times New Roman" w:eastAsia="Times New Roman" w:hint="default"/>
                <w:sz w:val="15"/>
                <w:szCs w:val="15"/>
              </w:rPr>
            </w:pPr>
            <w:r>
              <w:rPr>
                <w:rFonts w:ascii="Times New Roman"/>
                <w:sz w:val="15"/>
              </w:rPr>
              <w:t>11</w:t>
            </w: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59" w:right="0"/>
              <w:jc w:val="left"/>
              <w:rPr>
                <w:rFonts w:ascii="宋体" w:hAnsi="宋体" w:cs="宋体" w:eastAsia="宋体" w:hint="default"/>
                <w:sz w:val="15"/>
                <w:szCs w:val="15"/>
              </w:rPr>
            </w:pPr>
            <w:r>
              <w:rPr>
                <w:rFonts w:ascii="宋体" w:hAnsi="宋体" w:cs="宋体" w:eastAsia="宋体" w:hint="default"/>
                <w:sz w:val="15"/>
                <w:szCs w:val="15"/>
              </w:rPr>
              <w:t>小额支付</w:t>
            </w:r>
          </w:p>
        </w:tc>
        <w:tc>
          <w:tcPr>
            <w:tcW w:w="1842"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结项，已经开始销售</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63" w:lineRule="exact"/>
              <w:ind w:left="1" w:right="0"/>
              <w:jc w:val="center"/>
              <w:rPr>
                <w:rFonts w:ascii="Times New Roman" w:hAnsi="Times New Roman" w:cs="Times New Roman" w:eastAsia="Times New Roman" w:hint="default"/>
                <w:sz w:val="15"/>
                <w:szCs w:val="15"/>
              </w:rPr>
            </w:pPr>
            <w:r>
              <w:rPr>
                <w:rFonts w:ascii="Times New Roman"/>
                <w:sz w:val="15"/>
              </w:rPr>
              <w:t>2017/2/20</w:t>
            </w:r>
          </w:p>
        </w:tc>
        <w:tc>
          <w:tcPr>
            <w:tcW w:w="7938" w:type="dxa"/>
            <w:tcBorders>
              <w:top w:val="nil" w:sz="6" w:space="0" w:color="auto"/>
              <w:left w:val="single" w:sz="6" w:space="0" w:color="000000"/>
              <w:bottom w:val="nil" w:sz="6" w:space="0" w:color="auto"/>
              <w:right w:val="single" w:sz="6" w:space="0" w:color="000000"/>
            </w:tcBorders>
          </w:tcPr>
          <w:p>
            <w:pPr/>
          </w:p>
        </w:tc>
      </w:tr>
      <w:tr>
        <w:trPr>
          <w:trHeight w:val="160"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支付终端研发</w:t>
            </w: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61" w:lineRule="exact"/>
              <w:ind w:left="2" w:right="0"/>
              <w:jc w:val="left"/>
              <w:rPr>
                <w:rFonts w:ascii="宋体" w:hAnsi="宋体" w:cs="宋体" w:eastAsia="宋体" w:hint="default"/>
                <w:sz w:val="15"/>
                <w:szCs w:val="15"/>
              </w:rPr>
            </w:pPr>
            <w:r>
              <w:rPr>
                <w:rFonts w:ascii="宋体" w:hAnsi="宋体" w:cs="宋体" w:eastAsia="宋体" w:hint="default"/>
                <w:sz w:val="15"/>
                <w:szCs w:val="15"/>
              </w:rPr>
              <w:t>二</w:t>
            </w:r>
            <w:r>
              <w:rPr>
                <w:rFonts w:ascii="Times New Roman" w:hAnsi="Times New Roman" w:cs="Times New Roman" w:eastAsia="Times New Roman" w:hint="default"/>
                <w:sz w:val="15"/>
                <w:szCs w:val="15"/>
              </w:rPr>
              <w:t>.</w:t>
            </w:r>
            <w:r>
              <w:rPr>
                <w:rFonts w:ascii="宋体" w:hAnsi="宋体" w:cs="宋体" w:eastAsia="宋体" w:hint="default"/>
                <w:sz w:val="15"/>
                <w:szCs w:val="15"/>
              </w:rPr>
              <w:t>提升产品开发效率及施工安全</w:t>
            </w:r>
          </w:p>
        </w:tc>
      </w:tr>
      <w:tr>
        <w:trPr>
          <w:trHeight w:val="15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56" w:lineRule="exact"/>
              <w:ind w:right="0"/>
              <w:jc w:val="center"/>
              <w:rPr>
                <w:rFonts w:ascii="Times New Roman" w:hAnsi="Times New Roman" w:cs="Times New Roman" w:eastAsia="Times New Roman" w:hint="default"/>
                <w:sz w:val="15"/>
                <w:szCs w:val="15"/>
              </w:rPr>
            </w:pPr>
            <w:r>
              <w:rPr>
                <w:rFonts w:ascii="Times New Roman"/>
                <w:sz w:val="15"/>
              </w:rPr>
              <w:t>2017/11/30</w:t>
            </w:r>
          </w:p>
        </w:tc>
        <w:tc>
          <w:tcPr>
            <w:tcW w:w="7938"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61" w:lineRule="exact"/>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现有产品采用</w:t>
            </w:r>
            <w:r>
              <w:rPr>
                <w:rFonts w:ascii="Times New Roman" w:hAnsi="Times New Roman" w:cs="Times New Roman" w:eastAsia="Times New Roman" w:hint="default"/>
                <w:sz w:val="15"/>
                <w:szCs w:val="15"/>
              </w:rPr>
              <w:t>AC220</w:t>
            </w:r>
            <w:r>
              <w:rPr>
                <w:rFonts w:ascii="宋体" w:hAnsi="宋体" w:cs="宋体" w:eastAsia="宋体" w:hint="default"/>
                <w:sz w:val="15"/>
                <w:szCs w:val="15"/>
              </w:rPr>
              <w:t>供电，施工难度大、工程耗资高、安全规范等级高。改进后采用</w:t>
            </w:r>
            <w:r>
              <w:rPr>
                <w:rFonts w:ascii="Times New Roman" w:hAnsi="Times New Roman" w:cs="Times New Roman" w:eastAsia="Times New Roman" w:hint="default"/>
                <w:sz w:val="15"/>
                <w:szCs w:val="15"/>
              </w:rPr>
              <w:t>DC12V</w:t>
            </w:r>
            <w:r>
              <w:rPr>
                <w:rFonts w:ascii="宋体" w:hAnsi="宋体" w:cs="宋体" w:eastAsia="宋体" w:hint="default"/>
                <w:sz w:val="15"/>
                <w:szCs w:val="15"/>
              </w:rPr>
              <w:t>供电，现场可自主选择采用</w:t>
            </w:r>
          </w:p>
        </w:tc>
      </w:tr>
      <w:tr>
        <w:trPr>
          <w:trHeight w:val="30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适配器供电或者集中供电等方式，降低现场安全事故，减少施工成本；</w:t>
            </w:r>
          </w:p>
        </w:tc>
      </w:tr>
      <w:tr>
        <w:trPr>
          <w:trHeight w:val="31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统一到安卓平台后，真正的做到系统和应用分离。减少应用程序的开发成本，快速满足老客户加机需求。（减少因硬件</w:t>
            </w:r>
          </w:p>
        </w:tc>
      </w:tr>
      <w:tr>
        <w:trPr>
          <w:trHeight w:val="30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z w:val="15"/>
                <w:szCs w:val="15"/>
              </w:rPr>
              <w:t>升级造成的程序不配套问题）。</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三、持续领导行业</w:t>
            </w:r>
          </w:p>
        </w:tc>
      </w:tr>
      <w:tr>
        <w:trPr>
          <w:trHeight w:val="330" w:hRule="exact"/>
        </w:trPr>
        <w:tc>
          <w:tcPr>
            <w:tcW w:w="71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302" w:right="0"/>
              <w:jc w:val="left"/>
              <w:rPr>
                <w:rFonts w:ascii="宋体" w:hAnsi="宋体" w:cs="宋体" w:eastAsia="宋体" w:hint="default"/>
                <w:sz w:val="15"/>
                <w:szCs w:val="15"/>
              </w:rPr>
            </w:pPr>
            <w:r>
              <w:rPr>
                <w:rFonts w:ascii="宋体" w:hAnsi="宋体" w:cs="宋体" w:eastAsia="宋体" w:hint="default"/>
                <w:sz w:val="15"/>
                <w:szCs w:val="15"/>
              </w:rPr>
              <w:t>同行产品对比中，此款</w:t>
            </w:r>
            <w:r>
              <w:rPr>
                <w:rFonts w:ascii="Times New Roman" w:hAnsi="Times New Roman" w:cs="Times New Roman" w:eastAsia="Times New Roman" w:hint="default"/>
                <w:sz w:val="15"/>
                <w:szCs w:val="15"/>
              </w:rPr>
              <w:t>POS</w:t>
            </w:r>
            <w:r>
              <w:rPr>
                <w:rFonts w:ascii="宋体" w:hAnsi="宋体" w:cs="宋体" w:eastAsia="宋体" w:hint="default"/>
                <w:sz w:val="15"/>
                <w:szCs w:val="15"/>
              </w:rPr>
              <w:t>暂时领先行业。电子部门要加快产品研发进度，推出有竞争力的产品。</w:t>
            </w:r>
          </w:p>
        </w:tc>
      </w:tr>
      <w:tr>
        <w:trPr>
          <w:trHeight w:val="329" w:hRule="exact"/>
        </w:trPr>
        <w:tc>
          <w:tcPr>
            <w:tcW w:w="710"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842"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79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right="-29"/>
              <w:jc w:val="right"/>
              <w:rPr>
                <w:rFonts w:ascii="宋体" w:hAnsi="宋体" w:cs="宋体" w:eastAsia="宋体" w:hint="default"/>
                <w:sz w:val="15"/>
                <w:szCs w:val="15"/>
              </w:rPr>
            </w:pPr>
            <w:r>
              <w:rPr>
                <w:rFonts w:ascii="宋体" w:hAnsi="宋体" w:cs="宋体" w:eastAsia="宋体" w:hint="default"/>
                <w:sz w:val="15"/>
                <w:szCs w:val="15"/>
              </w:rPr>
              <w:t>通过对大中型企事业单位考勤业务进行需求调研发现随着时代的发展，企业管理理念、管理规则在不断的发生变化，</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29"/>
              <w:jc w:val="left"/>
              <w:rPr>
                <w:rFonts w:ascii="宋体" w:hAnsi="宋体" w:cs="宋体" w:eastAsia="宋体" w:hint="default"/>
                <w:sz w:val="15"/>
                <w:szCs w:val="15"/>
              </w:rPr>
            </w:pPr>
            <w:r>
              <w:rPr>
                <w:rFonts w:ascii="宋体" w:hAnsi="宋体" w:cs="宋体" w:eastAsia="宋体" w:hint="default"/>
                <w:sz w:val="15"/>
                <w:szCs w:val="15"/>
              </w:rPr>
              <w:t>客户对考勤系统提出了更高的要求。企业希望能够对员工进行更精细化的管理，同时又想让员工有比较良好的用户体验，</w:t>
            </w:r>
          </w:p>
        </w:tc>
      </w:tr>
      <w:tr>
        <w:trPr>
          <w:trHeight w:val="31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pacing w:val="-1"/>
                <w:sz w:val="15"/>
                <w:szCs w:val="15"/>
              </w:rPr>
              <w:t>身份验证手段要求更加多样化、精准化，除了传统的刷卡、指纹验证方式，还提出人脸、指静脉等验证需求，我们迫切需</w:t>
            </w:r>
          </w:p>
        </w:tc>
      </w:tr>
      <w:tr>
        <w:trPr>
          <w:trHeight w:val="234"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计划起止日期：</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要研发新一代的考勤系统！</w:t>
            </w:r>
          </w:p>
        </w:tc>
      </w:tr>
      <w:tr>
        <w:trPr>
          <w:trHeight w:val="15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 w:right="0"/>
              <w:jc w:val="left"/>
              <w:rPr>
                <w:rFonts w:ascii="宋体" w:hAnsi="宋体" w:cs="宋体" w:eastAsia="宋体" w:hint="default"/>
                <w:sz w:val="15"/>
                <w:szCs w:val="15"/>
              </w:rPr>
            </w:pPr>
            <w:r>
              <w:rPr>
                <w:rFonts w:ascii="宋体" w:hAnsi="宋体" w:cs="宋体" w:eastAsia="宋体" w:hint="default"/>
                <w:sz w:val="15"/>
                <w:szCs w:val="15"/>
              </w:rPr>
              <w:t>基于多种生物识别技术的智</w:t>
            </w: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
        </w:tc>
      </w:tr>
      <w:tr>
        <w:trPr>
          <w:trHeight w:val="160"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163" w:lineRule="exact"/>
              <w:ind w:left="272" w:right="0"/>
              <w:jc w:val="left"/>
              <w:rPr>
                <w:rFonts w:ascii="Times New Roman" w:hAnsi="Times New Roman" w:cs="Times New Roman" w:eastAsia="Times New Roman" w:hint="default"/>
                <w:sz w:val="15"/>
                <w:szCs w:val="15"/>
              </w:rPr>
            </w:pPr>
            <w:r>
              <w:rPr>
                <w:rFonts w:ascii="Times New Roman"/>
                <w:sz w:val="15"/>
              </w:rPr>
              <w:t>12</w:t>
            </w: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59" w:right="0"/>
              <w:jc w:val="left"/>
              <w:rPr>
                <w:rFonts w:ascii="宋体" w:hAnsi="宋体" w:cs="宋体" w:eastAsia="宋体" w:hint="default"/>
                <w:sz w:val="15"/>
                <w:szCs w:val="15"/>
              </w:rPr>
            </w:pPr>
            <w:r>
              <w:rPr>
                <w:rFonts w:ascii="宋体" w:hAnsi="宋体" w:cs="宋体" w:eastAsia="宋体" w:hint="default"/>
                <w:sz w:val="15"/>
                <w:szCs w:val="15"/>
              </w:rPr>
              <w:t>身份识别</w:t>
            </w:r>
          </w:p>
        </w:tc>
        <w:tc>
          <w:tcPr>
            <w:tcW w:w="1842"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开发阶段</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63" w:lineRule="exact"/>
              <w:ind w:left="1" w:right="0"/>
              <w:jc w:val="center"/>
              <w:rPr>
                <w:rFonts w:ascii="Times New Roman" w:hAnsi="Times New Roman" w:cs="Times New Roman" w:eastAsia="Times New Roman" w:hint="default"/>
                <w:sz w:val="15"/>
                <w:szCs w:val="15"/>
              </w:rPr>
            </w:pPr>
            <w:r>
              <w:rPr>
                <w:rFonts w:ascii="Times New Roman"/>
                <w:sz w:val="15"/>
              </w:rPr>
              <w:t>2017/2/20</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64" w:lineRule="exact"/>
              <w:ind w:right="0"/>
              <w:jc w:val="right"/>
              <w:rPr>
                <w:rFonts w:ascii="宋体" w:hAnsi="宋体" w:cs="宋体" w:eastAsia="宋体" w:hint="default"/>
                <w:sz w:val="15"/>
                <w:szCs w:val="15"/>
              </w:rPr>
            </w:pPr>
            <w:r>
              <w:rPr>
                <w:rFonts w:ascii="宋体" w:hAnsi="宋体" w:cs="宋体" w:eastAsia="宋体" w:hint="default"/>
                <w:spacing w:val="-1"/>
                <w:w w:val="95"/>
                <w:sz w:val="15"/>
                <w:szCs w:val="15"/>
              </w:rPr>
              <w:t>本项目计划采用</w:t>
            </w:r>
            <w:r>
              <w:rPr>
                <w:rFonts w:ascii="Times New Roman" w:hAnsi="Times New Roman" w:cs="Times New Roman" w:eastAsia="Times New Roman" w:hint="default"/>
                <w:spacing w:val="-1"/>
                <w:w w:val="95"/>
                <w:sz w:val="15"/>
                <w:szCs w:val="15"/>
              </w:rPr>
              <w:t>Java</w:t>
            </w:r>
            <w:r>
              <w:rPr>
                <w:rFonts w:ascii="宋体" w:hAnsi="宋体" w:cs="宋体" w:eastAsia="宋体" w:hint="default"/>
                <w:spacing w:val="-1"/>
                <w:w w:val="95"/>
                <w:sz w:val="15"/>
                <w:szCs w:val="15"/>
              </w:rPr>
              <w:t>语言、</w:t>
            </w:r>
            <w:r>
              <w:rPr>
                <w:rFonts w:ascii="Times New Roman" w:hAnsi="Times New Roman" w:cs="Times New Roman" w:eastAsia="Times New Roman" w:hint="default"/>
                <w:spacing w:val="-1"/>
                <w:w w:val="95"/>
                <w:sz w:val="15"/>
                <w:szCs w:val="15"/>
              </w:rPr>
              <w:t>MVC</w:t>
            </w:r>
            <w:r>
              <w:rPr>
                <w:rFonts w:ascii="宋体" w:hAnsi="宋体" w:cs="宋体" w:eastAsia="宋体" w:hint="default"/>
                <w:spacing w:val="-1"/>
                <w:w w:val="95"/>
                <w:sz w:val="15"/>
                <w:szCs w:val="15"/>
              </w:rPr>
              <w:t>框架以及扁平化</w:t>
            </w:r>
            <w:r>
              <w:rPr>
                <w:rFonts w:ascii="Times New Roman" w:hAnsi="Times New Roman" w:cs="Times New Roman" w:eastAsia="Times New Roman" w:hint="default"/>
                <w:spacing w:val="-1"/>
                <w:w w:val="95"/>
                <w:sz w:val="15"/>
                <w:szCs w:val="15"/>
              </w:rPr>
              <w:t>UI</w:t>
            </w:r>
            <w:r>
              <w:rPr>
                <w:rFonts w:ascii="宋体" w:hAnsi="宋体" w:cs="宋体" w:eastAsia="宋体" w:hint="default"/>
                <w:spacing w:val="-1"/>
                <w:w w:val="95"/>
                <w:sz w:val="15"/>
                <w:szCs w:val="15"/>
              </w:rPr>
              <w:t>风格，支持指纹、人脸、指静脉等多种生物识别方式，同时该系统</w:t>
            </w:r>
          </w:p>
        </w:tc>
      </w:tr>
      <w:tr>
        <w:trPr>
          <w:trHeight w:val="15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能考勤管理系统</w:t>
            </w: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
        </w:tc>
      </w:tr>
      <w:tr>
        <w:trPr>
          <w:trHeight w:val="23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63" w:lineRule="exact"/>
              <w:ind w:left="1" w:right="0"/>
              <w:jc w:val="center"/>
              <w:rPr>
                <w:rFonts w:ascii="Times New Roman" w:hAnsi="Times New Roman" w:cs="Times New Roman" w:eastAsia="Times New Roman" w:hint="default"/>
                <w:sz w:val="15"/>
                <w:szCs w:val="15"/>
              </w:rPr>
            </w:pPr>
            <w:r>
              <w:rPr>
                <w:rFonts w:ascii="Times New Roman"/>
                <w:sz w:val="15"/>
              </w:rPr>
              <w:t>2018/5/25</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 w:right="0"/>
              <w:jc w:val="left"/>
              <w:rPr>
                <w:rFonts w:ascii="宋体" w:hAnsi="宋体" w:cs="宋体" w:eastAsia="宋体" w:hint="default"/>
                <w:sz w:val="15"/>
                <w:szCs w:val="15"/>
              </w:rPr>
            </w:pPr>
            <w:r>
              <w:rPr>
                <w:rFonts w:ascii="宋体" w:hAnsi="宋体" w:cs="宋体" w:eastAsia="宋体" w:hint="default"/>
                <w:spacing w:val="-1"/>
                <w:sz w:val="15"/>
                <w:szCs w:val="15"/>
              </w:rPr>
              <w:t>具备排班方式多样、月结封存及时、加班时长自动统计、考勤汇总高效、手工干预简单等特点。采用大量图形化报表，给</w:t>
            </w:r>
          </w:p>
        </w:tc>
      </w:tr>
      <w:tr>
        <w:trPr>
          <w:trHeight w:val="308"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left="2" w:right="0"/>
              <w:jc w:val="left"/>
              <w:rPr>
                <w:rFonts w:ascii="宋体" w:hAnsi="宋体" w:cs="宋体" w:eastAsia="宋体" w:hint="default"/>
                <w:sz w:val="15"/>
                <w:szCs w:val="15"/>
              </w:rPr>
            </w:pPr>
            <w:r>
              <w:rPr>
                <w:rFonts w:ascii="宋体" w:hAnsi="宋体" w:cs="宋体" w:eastAsia="宋体" w:hint="default"/>
                <w:sz w:val="15"/>
                <w:szCs w:val="15"/>
              </w:rPr>
              <w:t>客户展示的数据更加直观、形象。</w:t>
            </w:r>
          </w:p>
        </w:tc>
      </w:tr>
      <w:tr>
        <w:trPr>
          <w:trHeight w:val="31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02" w:right="0"/>
              <w:jc w:val="left"/>
              <w:rPr>
                <w:rFonts w:ascii="宋体" w:hAnsi="宋体" w:cs="宋体" w:eastAsia="宋体" w:hint="default"/>
                <w:sz w:val="15"/>
                <w:szCs w:val="15"/>
              </w:rPr>
            </w:pPr>
            <w:r>
              <w:rPr>
                <w:rFonts w:ascii="宋体" w:hAnsi="宋体" w:cs="宋体" w:eastAsia="宋体" w:hint="default"/>
                <w:sz w:val="15"/>
                <w:szCs w:val="15"/>
              </w:rPr>
              <w:t>为了方便用户使用，本项目同时提供的有配套的</w:t>
            </w:r>
            <w:r>
              <w:rPr>
                <w:rFonts w:ascii="Times New Roman" w:hAnsi="Times New Roman" w:cs="Times New Roman" w:eastAsia="Times New Roman" w:hint="default"/>
                <w:sz w:val="15"/>
                <w:szCs w:val="15"/>
              </w:rPr>
              <w:t>APP</w:t>
            </w:r>
            <w:r>
              <w:rPr>
                <w:rFonts w:ascii="宋体" w:hAnsi="宋体" w:cs="宋体" w:eastAsia="宋体" w:hint="default"/>
                <w:sz w:val="15"/>
                <w:szCs w:val="15"/>
              </w:rPr>
              <w:t>和微信公众号，实现系统移动化。</w:t>
            </w:r>
          </w:p>
        </w:tc>
      </w:tr>
      <w:tr>
        <w:trPr>
          <w:trHeight w:val="326" w:hRule="exact"/>
        </w:trPr>
        <w:tc>
          <w:tcPr>
            <w:tcW w:w="71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302" w:right="0"/>
              <w:jc w:val="left"/>
              <w:rPr>
                <w:rFonts w:ascii="宋体" w:hAnsi="宋体" w:cs="宋体" w:eastAsia="宋体" w:hint="default"/>
                <w:sz w:val="15"/>
                <w:szCs w:val="15"/>
              </w:rPr>
            </w:pPr>
            <w:r>
              <w:rPr>
                <w:rFonts w:ascii="宋体" w:hAnsi="宋体" w:cs="宋体" w:eastAsia="宋体" w:hint="default"/>
                <w:sz w:val="15"/>
                <w:szCs w:val="15"/>
              </w:rPr>
              <w:t>本产品的设计理念是：将考勤员解放出来，让时间管理更简单！</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272" w:right="0"/>
              <w:jc w:val="left"/>
              <w:rPr>
                <w:rFonts w:ascii="Times New Roman" w:hAnsi="Times New Roman" w:cs="Times New Roman" w:eastAsia="Times New Roman" w:hint="default"/>
                <w:sz w:val="15"/>
                <w:szCs w:val="15"/>
              </w:rPr>
            </w:pPr>
            <w:r>
              <w:rPr>
                <w:rFonts w:ascii="Times New Roman"/>
                <w:sz w:val="15"/>
              </w:rPr>
              <w:t>13</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农业水价综合改革云服务系</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59" w:right="0"/>
              <w:jc w:val="left"/>
              <w:rPr>
                <w:rFonts w:ascii="宋体" w:hAnsi="宋体" w:cs="宋体" w:eastAsia="宋体" w:hint="default"/>
                <w:sz w:val="15"/>
                <w:szCs w:val="15"/>
              </w:rPr>
            </w:pPr>
            <w:r>
              <w:rPr>
                <w:rFonts w:ascii="宋体" w:hAnsi="宋体" w:cs="宋体" w:eastAsia="宋体" w:hint="default"/>
                <w:sz w:val="15"/>
                <w:szCs w:val="15"/>
              </w:rPr>
              <w:t>能源管控</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发布阶段</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计划起止日期：</w:t>
            </w:r>
          </w:p>
        </w:tc>
        <w:tc>
          <w:tcPr>
            <w:tcW w:w="7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宋体" w:hAnsi="宋体" w:cs="宋体" w:eastAsia="宋体" w:hint="default"/>
                <w:sz w:val="15"/>
                <w:szCs w:val="15"/>
              </w:rPr>
            </w:pPr>
            <w:r>
              <w:rPr>
                <w:rFonts w:ascii="宋体" w:hAnsi="宋体" w:cs="宋体" w:eastAsia="宋体" w:hint="default"/>
                <w:spacing w:val="-1"/>
                <w:sz w:val="15"/>
                <w:szCs w:val="15"/>
              </w:rPr>
              <w:t>农业水价综合改革云服务系统由取水计量监控系统、计费管理系统、水权交易系统、</w:t>
            </w:r>
            <w:r>
              <w:rPr>
                <w:rFonts w:ascii="Times New Roman" w:hAnsi="Times New Roman" w:cs="Times New Roman" w:eastAsia="Times New Roman" w:hint="default"/>
                <w:spacing w:val="-1"/>
                <w:sz w:val="15"/>
                <w:szCs w:val="15"/>
              </w:rPr>
              <w:t>IC</w:t>
            </w:r>
            <w:r>
              <w:rPr>
                <w:rFonts w:ascii="宋体" w:hAnsi="宋体" w:cs="宋体" w:eastAsia="宋体" w:hint="default"/>
                <w:spacing w:val="-1"/>
                <w:sz w:val="15"/>
                <w:szCs w:val="15"/>
              </w:rPr>
              <w:t>卡取水控制终端、自助交易终</w:t>
            </w:r>
          </w:p>
        </w:tc>
      </w:tr>
    </w:tbl>
    <w:p>
      <w:pPr>
        <w:spacing w:after="0" w:line="240" w:lineRule="auto"/>
        <w:jc w:val="right"/>
        <w:rPr>
          <w:rFonts w:ascii="宋体" w:hAnsi="宋体" w:cs="宋体" w:eastAsia="宋体" w:hint="default"/>
          <w:sz w:val="15"/>
          <w:szCs w:val="15"/>
        </w:rPr>
        <w:sectPr>
          <w:pgSz w:w="16840" w:h="11910" w:orient="landscape"/>
          <w:pgMar w:header="867" w:footer="978" w:top="1060" w:bottom="1160" w:left="900" w:right="9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spacing w:before="53"/>
        <w:ind w:left="0" w:right="98" w:firstLine="0"/>
        <w:jc w:val="right"/>
        <w:rPr>
          <w:rFonts w:ascii="宋体" w:hAnsi="宋体" w:cs="宋体" w:eastAsia="宋体" w:hint="default"/>
          <w:sz w:val="15"/>
          <w:szCs w:val="15"/>
        </w:rPr>
      </w:pPr>
      <w:r>
        <w:rPr/>
        <w:pict>
          <v:shape style="position:absolute;margin-left:50.331001pt;margin-top:-79.730225pt;width:738.25pt;height:303.8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1843"/>
                    <w:gridCol w:w="1134"/>
                    <w:gridCol w:w="1842"/>
                    <w:gridCol w:w="1276"/>
                    <w:gridCol w:w="7938"/>
                  </w:tblGrid>
                  <w:tr>
                    <w:trPr>
                      <w:trHeight w:val="347" w:hRule="exact"/>
                    </w:trPr>
                    <w:tc>
                      <w:tcPr>
                        <w:tcW w:w="710" w:type="dxa"/>
                        <w:vMerge w:val="restart"/>
                        <w:tcBorders>
                          <w:top w:val="single" w:sz="17" w:space="0" w:color="000000"/>
                          <w:left w:val="single" w:sz="6" w:space="0" w:color="000000"/>
                          <w:right w:val="single" w:sz="6" w:space="0" w:color="000000"/>
                        </w:tcBorders>
                      </w:tcPr>
                      <w:p>
                        <w:pPr/>
                      </w:p>
                    </w:tc>
                    <w:tc>
                      <w:tcPr>
                        <w:tcW w:w="1843" w:type="dxa"/>
                        <w:tcBorders>
                          <w:top w:val="single" w:sz="17"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统</w:t>
                        </w:r>
                      </w:p>
                    </w:tc>
                    <w:tc>
                      <w:tcPr>
                        <w:tcW w:w="1134" w:type="dxa"/>
                        <w:vMerge w:val="restart"/>
                        <w:tcBorders>
                          <w:top w:val="single" w:sz="17" w:space="0" w:color="000000"/>
                          <w:left w:val="single" w:sz="6" w:space="0" w:color="000000"/>
                          <w:right w:val="single" w:sz="6" w:space="0" w:color="000000"/>
                        </w:tcBorders>
                      </w:tcPr>
                      <w:p>
                        <w:pPr/>
                      </w:p>
                    </w:tc>
                    <w:tc>
                      <w:tcPr>
                        <w:tcW w:w="1842" w:type="dxa"/>
                        <w:vMerge w:val="restart"/>
                        <w:tcBorders>
                          <w:top w:val="single" w:sz="17" w:space="0" w:color="000000"/>
                          <w:left w:val="single" w:sz="6" w:space="0" w:color="000000"/>
                          <w:right w:val="single" w:sz="6" w:space="0" w:color="000000"/>
                        </w:tcBorders>
                      </w:tcPr>
                      <w:p>
                        <w:pPr/>
                      </w:p>
                    </w:tc>
                    <w:tc>
                      <w:tcPr>
                        <w:tcW w:w="1276" w:type="dxa"/>
                        <w:tcBorders>
                          <w:top w:val="single" w:sz="17" w:space="0" w:color="000000"/>
                          <w:left w:val="single" w:sz="6" w:space="0" w:color="000000"/>
                          <w:bottom w:val="nil" w:sz="6" w:space="0" w:color="auto"/>
                          <w:right w:val="single" w:sz="6" w:space="0" w:color="000000"/>
                        </w:tcBorders>
                      </w:tcPr>
                      <w:p>
                        <w:pPr>
                          <w:pStyle w:val="TableParagraph"/>
                          <w:spacing w:line="240" w:lineRule="auto" w:before="78"/>
                          <w:ind w:left="1" w:right="0"/>
                          <w:jc w:val="center"/>
                          <w:rPr>
                            <w:rFonts w:ascii="Times New Roman" w:hAnsi="Times New Roman" w:cs="Times New Roman" w:eastAsia="Times New Roman" w:hint="default"/>
                            <w:sz w:val="15"/>
                            <w:szCs w:val="15"/>
                          </w:rPr>
                        </w:pPr>
                        <w:r>
                          <w:rPr>
                            <w:rFonts w:ascii="Times New Roman"/>
                            <w:sz w:val="15"/>
                          </w:rPr>
                          <w:t>2017/1/12</w:t>
                        </w:r>
                      </w:p>
                    </w:tc>
                    <w:tc>
                      <w:tcPr>
                        <w:tcW w:w="7938" w:type="dxa"/>
                        <w:tcBorders>
                          <w:top w:val="single" w:sz="17" w:space="0" w:color="000000"/>
                          <w:left w:val="single" w:sz="6" w:space="0" w:color="000000"/>
                          <w:bottom w:val="nil" w:sz="6" w:space="0" w:color="auto"/>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端、手机</w:t>
                        </w:r>
                        <w:r>
                          <w:rPr>
                            <w:rFonts w:ascii="Times New Roman" w:hAnsi="Times New Roman" w:cs="Times New Roman" w:eastAsia="Times New Roman" w:hint="default"/>
                            <w:sz w:val="15"/>
                            <w:szCs w:val="15"/>
                          </w:rPr>
                          <w:t>APP</w:t>
                        </w:r>
                        <w:r>
                          <w:rPr>
                            <w:rFonts w:ascii="宋体" w:hAnsi="宋体" w:cs="宋体" w:eastAsia="宋体" w:hint="default"/>
                            <w:sz w:val="15"/>
                            <w:szCs w:val="15"/>
                          </w:rPr>
                          <w:t>、无线传输网络等组成。</w:t>
                        </w:r>
                        <w:r>
                          <w:rPr>
                            <w:rFonts w:ascii="Times New Roman" w:hAnsi="Times New Roman" w:cs="Times New Roman" w:eastAsia="Times New Roman" w:hint="default"/>
                            <w:sz w:val="15"/>
                            <w:szCs w:val="15"/>
                          </w:rPr>
                          <w:t>IC</w:t>
                        </w:r>
                        <w:r>
                          <w:rPr>
                            <w:rFonts w:ascii="宋体" w:hAnsi="宋体" w:cs="宋体" w:eastAsia="宋体" w:hint="default"/>
                            <w:sz w:val="15"/>
                            <w:szCs w:val="15"/>
                          </w:rPr>
                          <w:t>卡取水控制终端通过对农田灌溉中用水、用电数据的采集，并通过无线网络定时</w:t>
                        </w:r>
                      </w:p>
                    </w:tc>
                  </w:tr>
                  <w:tr>
                    <w:trPr>
                      <w:trHeight w:val="311" w:hRule="exact"/>
                    </w:trPr>
                    <w:tc>
                      <w:tcPr>
                        <w:tcW w:w="710" w:type="dxa"/>
                        <w:vMerge/>
                        <w:tcBorders>
                          <w:left w:val="single" w:sz="6" w:space="0" w:color="000000"/>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5"/>
                            <w:szCs w:val="15"/>
                          </w:rPr>
                        </w:pPr>
                        <w:r>
                          <w:rPr>
                            <w:rFonts w:ascii="Times New Roman"/>
                            <w:sz w:val="15"/>
                          </w:rPr>
                          <w:t>2017/12/20</w:t>
                        </w: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pacing w:val="-1"/>
                            <w:sz w:val="15"/>
                            <w:szCs w:val="15"/>
                          </w:rPr>
                          <w:t>把相关数据，包括机井的总用电量、总取水量、年取水量、箱门开关状态、供电状态、用户余额状态、遥控状态、电表工</w:t>
                        </w:r>
                      </w:p>
                    </w:tc>
                  </w:tr>
                  <w:tr>
                    <w:trPr>
                      <w:trHeight w:val="308" w:hRule="exact"/>
                    </w:trPr>
                    <w:tc>
                      <w:tcPr>
                        <w:tcW w:w="710" w:type="dxa"/>
                        <w:vMerge/>
                        <w:tcBorders>
                          <w:left w:val="single" w:sz="6" w:space="0" w:color="000000"/>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left="2" w:right="0"/>
                          <w:jc w:val="left"/>
                          <w:rPr>
                            <w:rFonts w:ascii="宋体" w:hAnsi="宋体" w:cs="宋体" w:eastAsia="宋体" w:hint="default"/>
                            <w:sz w:val="15"/>
                            <w:szCs w:val="15"/>
                          </w:rPr>
                        </w:pPr>
                        <w:r>
                          <w:rPr>
                            <w:rFonts w:ascii="宋体" w:hAnsi="宋体" w:cs="宋体" w:eastAsia="宋体" w:hint="default"/>
                            <w:spacing w:val="-1"/>
                            <w:sz w:val="15"/>
                            <w:szCs w:val="15"/>
                          </w:rPr>
                          <w:t>作状态等上报到监控管理系统数据中心。通过对系统运行中基础数据的收集，运用水权交易的管理手段，最终实现农业用</w:t>
                        </w:r>
                      </w:p>
                    </w:tc>
                  </w:tr>
                  <w:tr>
                    <w:trPr>
                      <w:trHeight w:val="312" w:hRule="exact"/>
                    </w:trPr>
                    <w:tc>
                      <w:tcPr>
                        <w:tcW w:w="710" w:type="dxa"/>
                        <w:vMerge/>
                        <w:tcBorders>
                          <w:left w:val="single" w:sz="6" w:space="0" w:color="000000"/>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pacing w:val="-1"/>
                            <w:sz w:val="15"/>
                            <w:szCs w:val="15"/>
                          </w:rPr>
                          <w:t>水总量控制、定额管理、计量交易和节水补贴的信息化管理。有效保证计划用水、节约用水目标的实现，实现良好的社会</w:t>
                        </w:r>
                      </w:p>
                    </w:tc>
                  </w:tr>
                  <w:tr>
                    <w:trPr>
                      <w:trHeight w:val="312" w:hRule="exact"/>
                    </w:trPr>
                    <w:tc>
                      <w:tcPr>
                        <w:tcW w:w="710" w:type="dxa"/>
                        <w:vMerge/>
                        <w:tcBorders>
                          <w:left w:val="single" w:sz="6" w:space="0" w:color="000000"/>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效益和经济效益。</w:t>
                        </w:r>
                      </w:p>
                    </w:tc>
                  </w:tr>
                  <w:tr>
                    <w:trPr>
                      <w:trHeight w:val="312" w:hRule="exact"/>
                    </w:trPr>
                    <w:tc>
                      <w:tcPr>
                        <w:tcW w:w="710" w:type="dxa"/>
                        <w:vMerge/>
                        <w:tcBorders>
                          <w:left w:val="single" w:sz="6" w:space="0" w:color="000000"/>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02" w:right="0"/>
                          <w:jc w:val="left"/>
                          <w:rPr>
                            <w:rFonts w:ascii="宋体" w:hAnsi="宋体" w:cs="宋体" w:eastAsia="宋体" w:hint="default"/>
                            <w:sz w:val="15"/>
                            <w:szCs w:val="15"/>
                          </w:rPr>
                        </w:pPr>
                        <w:r>
                          <w:rPr>
                            <w:rFonts w:ascii="宋体" w:hAnsi="宋体" w:cs="宋体" w:eastAsia="宋体" w:hint="default"/>
                            <w:spacing w:val="-3"/>
                            <w:sz w:val="15"/>
                            <w:szCs w:val="15"/>
                          </w:rPr>
                          <w:t>系统实现通过实体卡片、虚拟卡、手机进行机井灌溉用水的卡充值、刷卡结算交易；在管理层面，实现以省、市、县</w:t>
                        </w:r>
                      </w:p>
                    </w:tc>
                  </w:tr>
                  <w:tr>
                    <w:trPr>
                      <w:trHeight w:val="312" w:hRule="exact"/>
                    </w:trPr>
                    <w:tc>
                      <w:tcPr>
                        <w:tcW w:w="710" w:type="dxa"/>
                        <w:vMerge/>
                        <w:tcBorders>
                          <w:left w:val="single" w:sz="6" w:space="0" w:color="000000"/>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29"/>
                          <w:jc w:val="left"/>
                          <w:rPr>
                            <w:rFonts w:ascii="宋体" w:hAnsi="宋体" w:cs="宋体" w:eastAsia="宋体" w:hint="default"/>
                            <w:sz w:val="15"/>
                            <w:szCs w:val="15"/>
                          </w:rPr>
                        </w:pPr>
                        <w:r>
                          <w:rPr>
                            <w:rFonts w:ascii="宋体" w:hAnsi="宋体" w:cs="宋体" w:eastAsia="宋体" w:hint="default"/>
                            <w:sz w:val="15"/>
                            <w:szCs w:val="15"/>
                          </w:rPr>
                          <w:t>乡为单位的灌溉水资源运营管理与日常设备、数据的维护，确保实现水权交易、卡交易维护、结算处理、信息安全管控；</w:t>
                        </w:r>
                      </w:p>
                    </w:tc>
                  </w:tr>
                  <w:tr>
                    <w:trPr>
                      <w:trHeight w:val="312" w:hRule="exact"/>
                    </w:trPr>
                    <w:tc>
                      <w:tcPr>
                        <w:tcW w:w="710" w:type="dxa"/>
                        <w:vMerge/>
                        <w:tcBorders>
                          <w:left w:val="single" w:sz="6" w:space="0" w:color="000000"/>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 w:right="0"/>
                          <w:jc w:val="left"/>
                          <w:rPr>
                            <w:rFonts w:ascii="宋体" w:hAnsi="宋体" w:cs="宋体" w:eastAsia="宋体" w:hint="default"/>
                            <w:sz w:val="15"/>
                            <w:szCs w:val="15"/>
                          </w:rPr>
                        </w:pPr>
                        <w:r>
                          <w:rPr>
                            <w:rFonts w:ascii="宋体" w:hAnsi="宋体" w:cs="宋体" w:eastAsia="宋体" w:hint="default"/>
                            <w:sz w:val="15"/>
                            <w:szCs w:val="15"/>
                          </w:rPr>
                          <w:t>在设备层面做到安全、便利、自动化程度较高，方便农民操作降低日常到场维护成本。</w:t>
                        </w:r>
                      </w:p>
                    </w:tc>
                  </w:tr>
                  <w:tr>
                    <w:trPr>
                      <w:trHeight w:val="330" w:hRule="exact"/>
                    </w:trPr>
                    <w:tc>
                      <w:tcPr>
                        <w:tcW w:w="710" w:type="dxa"/>
                        <w:vMerge/>
                        <w:tcBorders>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4" w:type="dxa"/>
                        <w:vMerge/>
                        <w:tcBorders>
                          <w:left w:val="single" w:sz="6" w:space="0" w:color="000000"/>
                          <w:bottom w:val="single" w:sz="6" w:space="0" w:color="000000"/>
                          <w:right w:val="single" w:sz="6" w:space="0" w:color="000000"/>
                        </w:tcBorders>
                      </w:tcPr>
                      <w:p>
                        <w:pPr/>
                      </w:p>
                    </w:tc>
                    <w:tc>
                      <w:tcPr>
                        <w:tcW w:w="1842" w:type="dxa"/>
                        <w:vMerge/>
                        <w:tcBorders>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4"/>
                          <w:ind w:left="302" w:right="0"/>
                          <w:jc w:val="left"/>
                          <w:rPr>
                            <w:rFonts w:ascii="宋体" w:hAnsi="宋体" w:cs="宋体" w:eastAsia="宋体" w:hint="default"/>
                            <w:sz w:val="15"/>
                            <w:szCs w:val="15"/>
                          </w:rPr>
                        </w:pPr>
                        <w:r>
                          <w:rPr>
                            <w:rFonts w:ascii="宋体" w:hAnsi="宋体" w:cs="宋体" w:eastAsia="宋体" w:hint="default"/>
                            <w:sz w:val="15"/>
                            <w:szCs w:val="15"/>
                          </w:rPr>
                          <w:t>系统以云平台</w:t>
                        </w:r>
                        <w:r>
                          <w:rPr>
                            <w:rFonts w:ascii="Times New Roman" w:hAnsi="Times New Roman" w:cs="Times New Roman" w:eastAsia="Times New Roman" w:hint="default"/>
                            <w:sz w:val="15"/>
                            <w:szCs w:val="15"/>
                          </w:rPr>
                          <w:t>SAAS</w:t>
                        </w:r>
                        <w:r>
                          <w:rPr>
                            <w:rFonts w:ascii="宋体" w:hAnsi="宋体" w:cs="宋体" w:eastAsia="宋体" w:hint="default"/>
                            <w:sz w:val="15"/>
                            <w:szCs w:val="15"/>
                          </w:rPr>
                          <w:t>多租户模式，规划在云端的适合不同县、区、乡村、使用的系统运营管理体系规划和建设。</w:t>
                        </w:r>
                      </w:p>
                    </w:tc>
                  </w:tr>
                  <w:tr>
                    <w:trPr>
                      <w:trHeight w:val="255" w:hRule="exact"/>
                    </w:trPr>
                    <w:tc>
                      <w:tcPr>
                        <w:tcW w:w="710"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842"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79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right="0"/>
                          <w:jc w:val="right"/>
                          <w:rPr>
                            <w:rFonts w:ascii="宋体" w:hAnsi="宋体" w:cs="宋体" w:eastAsia="宋体" w:hint="default"/>
                            <w:sz w:val="15"/>
                            <w:szCs w:val="15"/>
                          </w:rPr>
                        </w:pPr>
                        <w:r>
                          <w:rPr>
                            <w:rFonts w:ascii="宋体" w:hAnsi="宋体" w:cs="宋体" w:eastAsia="宋体" w:hint="default"/>
                            <w:spacing w:val="-1"/>
                            <w:sz w:val="15"/>
                            <w:szCs w:val="15"/>
                          </w:rPr>
                          <w:t>新开普系列宽带电力线载波（</w:t>
                        </w:r>
                        <w:r>
                          <w:rPr>
                            <w:rFonts w:ascii="Times New Roman" w:hAnsi="Times New Roman" w:cs="Times New Roman" w:eastAsia="Times New Roman" w:hint="default"/>
                            <w:spacing w:val="-1"/>
                            <w:sz w:val="15"/>
                            <w:szCs w:val="15"/>
                          </w:rPr>
                          <w:t>BPLC</w:t>
                        </w:r>
                        <w:r>
                          <w:rPr>
                            <w:rFonts w:ascii="宋体" w:hAnsi="宋体" w:cs="宋体" w:eastAsia="宋体" w:hint="default"/>
                            <w:spacing w:val="-1"/>
                            <w:sz w:val="15"/>
                            <w:szCs w:val="15"/>
                          </w:rPr>
                          <w:t>）模块工作在</w:t>
                        </w:r>
                        <w:r>
                          <w:rPr>
                            <w:rFonts w:ascii="Times New Roman" w:hAnsi="Times New Roman" w:cs="Times New Roman" w:eastAsia="Times New Roman" w:hint="default"/>
                            <w:spacing w:val="-1"/>
                            <w:sz w:val="15"/>
                            <w:szCs w:val="15"/>
                          </w:rPr>
                          <w:t>2-30MHz</w:t>
                        </w:r>
                        <w:r>
                          <w:rPr>
                            <w:rFonts w:ascii="宋体" w:hAnsi="宋体" w:cs="宋体" w:eastAsia="宋体" w:hint="default"/>
                            <w:spacing w:val="-1"/>
                            <w:sz w:val="15"/>
                            <w:szCs w:val="15"/>
                          </w:rPr>
                          <w:t>频段，采用正交频分复用</w:t>
                        </w:r>
                        <w:r>
                          <w:rPr>
                            <w:rFonts w:ascii="Times New Roman" w:hAnsi="Times New Roman" w:cs="Times New Roman" w:eastAsia="Times New Roman" w:hint="default"/>
                            <w:spacing w:val="-1"/>
                            <w:sz w:val="15"/>
                            <w:szCs w:val="15"/>
                          </w:rPr>
                          <w:t>(OFDM)</w:t>
                        </w:r>
                        <w:r>
                          <w:rPr>
                            <w:rFonts w:ascii="宋体" w:hAnsi="宋体" w:cs="宋体" w:eastAsia="宋体" w:hint="default"/>
                            <w:spacing w:val="-1"/>
                            <w:sz w:val="15"/>
                            <w:szCs w:val="15"/>
                          </w:rPr>
                          <w:t>调制解调方式、高效可靠</w:t>
                        </w:r>
                      </w:p>
                    </w:tc>
                  </w:tr>
                  <w:tr>
                    <w:trPr>
                      <w:trHeight w:val="15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计划起止日期：</w:t>
                        </w:r>
                      </w:p>
                    </w:tc>
                    <w:tc>
                      <w:tcPr>
                        <w:tcW w:w="7938" w:type="dxa"/>
                        <w:tcBorders>
                          <w:top w:val="nil" w:sz="6" w:space="0" w:color="auto"/>
                          <w:left w:val="single" w:sz="6" w:space="0" w:color="000000"/>
                          <w:bottom w:val="nil" w:sz="6" w:space="0" w:color="auto"/>
                          <w:right w:val="single" w:sz="6" w:space="0" w:color="000000"/>
                        </w:tcBorders>
                      </w:tcPr>
                      <w:p>
                        <w:pPr/>
                      </w:p>
                    </w:tc>
                  </w:tr>
                  <w:tr>
                    <w:trPr>
                      <w:trHeight w:val="160"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64" w:lineRule="exact"/>
                          <w:ind w:left="2" w:right="-5"/>
                          <w:jc w:val="left"/>
                          <w:rPr>
                            <w:rFonts w:ascii="宋体" w:hAnsi="宋体" w:cs="宋体" w:eastAsia="宋体" w:hint="default"/>
                            <w:sz w:val="15"/>
                            <w:szCs w:val="15"/>
                          </w:rPr>
                        </w:pPr>
                        <w:r>
                          <w:rPr>
                            <w:rFonts w:ascii="宋体" w:hAnsi="宋体" w:cs="宋体" w:eastAsia="宋体" w:hint="default"/>
                            <w:sz w:val="15"/>
                            <w:szCs w:val="15"/>
                          </w:rPr>
                          <w:t>基于</w:t>
                        </w:r>
                        <w:r>
                          <w:rPr>
                            <w:rFonts w:ascii="Times New Roman" w:hAnsi="Times New Roman" w:cs="Times New Roman" w:eastAsia="Times New Roman" w:hint="default"/>
                            <w:sz w:val="15"/>
                            <w:szCs w:val="15"/>
                          </w:rPr>
                          <w:t>OFDM </w:t>
                        </w:r>
                        <w:r>
                          <w:rPr>
                            <w:rFonts w:ascii="Times New Roman" w:hAnsi="Times New Roman" w:cs="Times New Roman" w:eastAsia="Times New Roman" w:hint="default"/>
                            <w:spacing w:val="9"/>
                            <w:sz w:val="15"/>
                            <w:szCs w:val="15"/>
                          </w:rPr>
                          <w:t> </w:t>
                        </w:r>
                        <w:r>
                          <w:rPr>
                            <w:rFonts w:ascii="Times New Roman" w:hAnsi="Times New Roman" w:cs="Times New Roman" w:eastAsia="Times New Roman" w:hint="default"/>
                            <w:spacing w:val="4"/>
                            <w:sz w:val="15"/>
                            <w:szCs w:val="15"/>
                          </w:rPr>
                          <w:t>512</w:t>
                        </w:r>
                        <w:r>
                          <w:rPr>
                            <w:rFonts w:ascii="宋体" w:hAnsi="宋体" w:cs="宋体" w:eastAsia="宋体" w:hint="default"/>
                            <w:spacing w:val="4"/>
                            <w:sz w:val="15"/>
                            <w:szCs w:val="15"/>
                          </w:rPr>
                          <w:t>子载波的宽</w:t>
                        </w:r>
                        <w:r>
                          <w:rPr>
                            <w:rFonts w:ascii="宋体" w:hAnsi="宋体" w:cs="宋体" w:eastAsia="宋体" w:hint="default"/>
                            <w:sz w:val="15"/>
                            <w:szCs w:val="15"/>
                          </w:rPr>
                        </w: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 w:right="0"/>
                          <w:jc w:val="left"/>
                          <w:rPr>
                            <w:rFonts w:ascii="宋体" w:hAnsi="宋体" w:cs="宋体" w:eastAsia="宋体" w:hint="default"/>
                            <w:sz w:val="15"/>
                            <w:szCs w:val="15"/>
                          </w:rPr>
                        </w:pPr>
                        <w:r>
                          <w:rPr>
                            <w:rFonts w:ascii="宋体" w:hAnsi="宋体" w:cs="宋体" w:eastAsia="宋体" w:hint="default"/>
                            <w:spacing w:val="-1"/>
                            <w:sz w:val="15"/>
                            <w:szCs w:val="15"/>
                          </w:rPr>
                          <w:t>的前向纠错技术、灵活可配的传输模式、结合先进的数模混合设计技术与工艺，使其能够提供高速率、高可靠性、高灵敏</w:t>
                        </w:r>
                      </w:p>
                    </w:tc>
                  </w:tr>
                  <w:tr>
                    <w:trPr>
                      <w:trHeight w:val="155"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159" w:lineRule="exact"/>
                          <w:ind w:left="272" w:right="0"/>
                          <w:jc w:val="left"/>
                          <w:rPr>
                            <w:rFonts w:ascii="Times New Roman" w:hAnsi="Times New Roman" w:cs="Times New Roman" w:eastAsia="Times New Roman" w:hint="default"/>
                            <w:sz w:val="15"/>
                            <w:szCs w:val="15"/>
                          </w:rPr>
                        </w:pPr>
                        <w:r>
                          <w:rPr>
                            <w:rFonts w:ascii="Times New Roman"/>
                            <w:sz w:val="15"/>
                          </w:rPr>
                          <w:t>14</w:t>
                        </w: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59" w:right="0"/>
                          <w:jc w:val="left"/>
                          <w:rPr>
                            <w:rFonts w:ascii="宋体" w:hAnsi="宋体" w:cs="宋体" w:eastAsia="宋体" w:hint="default"/>
                            <w:sz w:val="15"/>
                            <w:szCs w:val="15"/>
                          </w:rPr>
                        </w:pPr>
                        <w:r>
                          <w:rPr>
                            <w:rFonts w:ascii="宋体" w:hAnsi="宋体" w:cs="宋体" w:eastAsia="宋体" w:hint="default"/>
                            <w:sz w:val="15"/>
                            <w:szCs w:val="15"/>
                          </w:rPr>
                          <w:t>电力集成</w:t>
                        </w:r>
                      </w:p>
                    </w:tc>
                    <w:tc>
                      <w:tcPr>
                        <w:tcW w:w="1842" w:type="dxa"/>
                        <w:tcBorders>
                          <w:top w:val="nil" w:sz="6" w:space="0" w:color="auto"/>
                          <w:left w:val="single" w:sz="6" w:space="0" w:color="000000"/>
                          <w:bottom w:val="nil" w:sz="6" w:space="0" w:color="auto"/>
                          <w:right w:val="single" w:sz="6"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开发阶段</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59" w:lineRule="exact"/>
                          <w:ind w:right="0"/>
                          <w:jc w:val="center"/>
                          <w:rPr>
                            <w:rFonts w:ascii="Times New Roman" w:hAnsi="Times New Roman" w:cs="Times New Roman" w:eastAsia="Times New Roman" w:hint="default"/>
                            <w:sz w:val="15"/>
                            <w:szCs w:val="15"/>
                          </w:rPr>
                        </w:pPr>
                        <w:r>
                          <w:rPr>
                            <w:rFonts w:ascii="Times New Roman"/>
                            <w:sz w:val="15"/>
                          </w:rPr>
                          <w:t>2017/1/1</w:t>
                        </w:r>
                      </w:p>
                    </w:tc>
                    <w:tc>
                      <w:tcPr>
                        <w:tcW w:w="7938" w:type="dxa"/>
                        <w:tcBorders>
                          <w:top w:val="nil" w:sz="6" w:space="0" w:color="auto"/>
                          <w:left w:val="single" w:sz="6" w:space="0" w:color="000000"/>
                          <w:bottom w:val="nil" w:sz="6" w:space="0" w:color="auto"/>
                          <w:right w:val="single" w:sz="6" w:space="0" w:color="000000"/>
                        </w:tcBorders>
                      </w:tcPr>
                      <w:p>
                        <w:pPr/>
                      </w:p>
                    </w:tc>
                  </w:tr>
                  <w:tr>
                    <w:trPr>
                      <w:trHeight w:val="15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带电力线通信系统</w:t>
                        </w: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pacing w:val="-1"/>
                            <w:sz w:val="15"/>
                            <w:szCs w:val="15"/>
                          </w:rPr>
                          <w:t>度的电力线数据通信，可以在信号衰减严重以及干扰强烈的电力线环境下实现自适应可靠通信，可实现各种类型的数据传</w:t>
                        </w:r>
                      </w:p>
                    </w:tc>
                  </w:tr>
                  <w:tr>
                    <w:trPr>
                      <w:trHeight w:val="15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60" w:lineRule="exact"/>
                          <w:ind w:right="0"/>
                          <w:jc w:val="center"/>
                          <w:rPr>
                            <w:rFonts w:ascii="Times New Roman" w:hAnsi="Times New Roman" w:cs="Times New Roman" w:eastAsia="Times New Roman" w:hint="default"/>
                            <w:sz w:val="15"/>
                            <w:szCs w:val="15"/>
                          </w:rPr>
                        </w:pPr>
                        <w:r>
                          <w:rPr>
                            <w:rFonts w:ascii="Times New Roman"/>
                            <w:sz w:val="15"/>
                          </w:rPr>
                          <w:t>2018/10/31</w:t>
                        </w:r>
                      </w:p>
                    </w:tc>
                    <w:tc>
                      <w:tcPr>
                        <w:tcW w:w="7938" w:type="dxa"/>
                        <w:tcBorders>
                          <w:top w:val="nil" w:sz="6" w:space="0" w:color="auto"/>
                          <w:left w:val="single" w:sz="6" w:space="0" w:color="000000"/>
                          <w:bottom w:val="nil" w:sz="6" w:space="0" w:color="auto"/>
                          <w:right w:val="single" w:sz="6" w:space="0" w:color="000000"/>
                        </w:tcBorders>
                      </w:tcPr>
                      <w:p>
                        <w:pPr/>
                      </w:p>
                    </w:tc>
                  </w:tr>
                  <w:tr>
                    <w:trPr>
                      <w:trHeight w:val="248" w:hRule="exact"/>
                    </w:trPr>
                    <w:tc>
                      <w:tcPr>
                        <w:tcW w:w="71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输及远程抄表应用</w:t>
                        </w:r>
                      </w:p>
                    </w:tc>
                  </w:tr>
                  <w:tr>
                    <w:trPr>
                      <w:trHeight w:val="333" w:hRule="exact"/>
                    </w:trPr>
                    <w:tc>
                      <w:tcPr>
                        <w:tcW w:w="710" w:type="dxa"/>
                        <w:tcBorders>
                          <w:top w:val="single" w:sz="6" w:space="0" w:color="000000"/>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nil" w:sz="6" w:space="0" w:color="auto"/>
                          <w:right w:val="single" w:sz="6" w:space="0" w:color="000000"/>
                        </w:tcBorders>
                      </w:tcPr>
                      <w:p>
                        <w:pPr/>
                      </w:p>
                    </w:tc>
                    <w:tc>
                      <w:tcPr>
                        <w:tcW w:w="1134" w:type="dxa"/>
                        <w:tcBorders>
                          <w:top w:val="single" w:sz="6" w:space="0" w:color="000000"/>
                          <w:left w:val="single" w:sz="6" w:space="0" w:color="000000"/>
                          <w:bottom w:val="nil" w:sz="6" w:space="0" w:color="auto"/>
                          <w:right w:val="single" w:sz="6" w:space="0" w:color="000000"/>
                        </w:tcBorders>
                      </w:tcPr>
                      <w:p>
                        <w:pPr/>
                      </w:p>
                    </w:tc>
                    <w:tc>
                      <w:tcPr>
                        <w:tcW w:w="1842"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793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right="1"/>
                          <w:jc w:val="right"/>
                          <w:rPr>
                            <w:rFonts w:ascii="宋体" w:hAnsi="宋体" w:cs="宋体" w:eastAsia="宋体" w:hint="default"/>
                            <w:sz w:val="15"/>
                            <w:szCs w:val="15"/>
                          </w:rPr>
                        </w:pPr>
                        <w:r>
                          <w:rPr>
                            <w:rFonts w:ascii="宋体" w:hAnsi="宋体" w:cs="宋体" w:eastAsia="宋体" w:hint="default"/>
                            <w:spacing w:val="-1"/>
                            <w:sz w:val="15"/>
                            <w:szCs w:val="15"/>
                          </w:rPr>
                          <w:t>燃气</w:t>
                        </w:r>
                        <w:r>
                          <w:rPr>
                            <w:rFonts w:ascii="Times New Roman" w:hAnsi="Times New Roman" w:cs="Times New Roman" w:eastAsia="Times New Roman" w:hint="default"/>
                            <w:spacing w:val="-1"/>
                            <w:sz w:val="15"/>
                            <w:szCs w:val="15"/>
                          </w:rPr>
                          <w:t>IC</w:t>
                        </w:r>
                        <w:r>
                          <w:rPr>
                            <w:rFonts w:ascii="宋体" w:hAnsi="宋体" w:cs="宋体" w:eastAsia="宋体" w:hint="default"/>
                            <w:spacing w:val="-1"/>
                            <w:sz w:val="15"/>
                            <w:szCs w:val="15"/>
                          </w:rPr>
                          <w:t>卡自助服务平台指用户通过自助服务终端（包括便携式、固定式、</w:t>
                        </w:r>
                        <w:r>
                          <w:rPr>
                            <w:rFonts w:ascii="Times New Roman" w:hAnsi="Times New Roman" w:cs="Times New Roman" w:eastAsia="Times New Roman" w:hint="default"/>
                            <w:spacing w:val="-1"/>
                            <w:sz w:val="15"/>
                            <w:szCs w:val="15"/>
                          </w:rPr>
                          <w:t>NFC</w:t>
                        </w:r>
                        <w:r>
                          <w:rPr>
                            <w:rFonts w:ascii="宋体" w:hAnsi="宋体" w:cs="宋体" w:eastAsia="宋体" w:hint="default"/>
                            <w:spacing w:val="-1"/>
                            <w:sz w:val="15"/>
                            <w:szCs w:val="15"/>
                          </w:rPr>
                          <w:t>移动终端等）实现燃气</w:t>
                        </w:r>
                        <w:r>
                          <w:rPr>
                            <w:rFonts w:ascii="Times New Roman" w:hAnsi="Times New Roman" w:cs="Times New Roman" w:eastAsia="Times New Roman" w:hint="default"/>
                            <w:spacing w:val="-1"/>
                            <w:sz w:val="15"/>
                            <w:szCs w:val="15"/>
                          </w:rPr>
                          <w:t>IC</w:t>
                        </w:r>
                        <w:r>
                          <w:rPr>
                            <w:rFonts w:ascii="宋体" w:hAnsi="宋体" w:cs="宋体" w:eastAsia="宋体" w:hint="default"/>
                            <w:spacing w:val="-1"/>
                            <w:sz w:val="15"/>
                            <w:szCs w:val="15"/>
                          </w:rPr>
                          <w:t>卡用户自助式</w:t>
                        </w:r>
                      </w:p>
                    </w:tc>
                  </w:tr>
                  <w:tr>
                    <w:trPr>
                      <w:trHeight w:val="234"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宋体" w:hAnsi="宋体" w:cs="宋体" w:eastAsia="宋体" w:hint="default"/>
                            <w:spacing w:val="-1"/>
                            <w:sz w:val="15"/>
                            <w:szCs w:val="15"/>
                          </w:rPr>
                          <w:t>燃气费充值、充值记录查询、业务咨询服务等业务的平台，为方便燃气</w:t>
                        </w:r>
                        <w:r>
                          <w:rPr>
                            <w:rFonts w:ascii="Times New Roman" w:hAnsi="Times New Roman" w:cs="Times New Roman" w:eastAsia="Times New Roman" w:hint="default"/>
                            <w:spacing w:val="-1"/>
                            <w:sz w:val="15"/>
                            <w:szCs w:val="15"/>
                          </w:rPr>
                          <w:t>IC</w:t>
                        </w:r>
                        <w:r>
                          <w:rPr>
                            <w:rFonts w:ascii="宋体" w:hAnsi="宋体" w:cs="宋体" w:eastAsia="宋体" w:hint="default"/>
                            <w:spacing w:val="-1"/>
                            <w:sz w:val="15"/>
                            <w:szCs w:val="15"/>
                          </w:rPr>
                          <w:t>卡用户实现就近充值业务提供极大的便利。系统</w:t>
                        </w:r>
                      </w:p>
                    </w:tc>
                  </w:tr>
                  <w:tr>
                    <w:trPr>
                      <w:trHeight w:val="152"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计划起止日期：</w:t>
                        </w:r>
                      </w:p>
                    </w:tc>
                    <w:tc>
                      <w:tcPr>
                        <w:tcW w:w="7938" w:type="dxa"/>
                        <w:tcBorders>
                          <w:top w:val="nil" w:sz="6" w:space="0" w:color="auto"/>
                          <w:left w:val="single" w:sz="6" w:space="0" w:color="000000"/>
                          <w:bottom w:val="nil" w:sz="6" w:space="0" w:color="auto"/>
                          <w:right w:val="single" w:sz="6" w:space="0" w:color="000000"/>
                        </w:tcBorders>
                      </w:tcPr>
                      <w:p>
                        <w:pPr/>
                      </w:p>
                    </w:tc>
                  </w:tr>
                  <w:tr>
                    <w:trPr>
                      <w:trHeight w:val="15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 w:right="0"/>
                          <w:jc w:val="left"/>
                          <w:rPr>
                            <w:rFonts w:ascii="宋体" w:hAnsi="宋体" w:cs="宋体" w:eastAsia="宋体" w:hint="default"/>
                            <w:sz w:val="15"/>
                            <w:szCs w:val="15"/>
                          </w:rPr>
                        </w:pPr>
                        <w:r>
                          <w:rPr>
                            <w:rFonts w:ascii="宋体" w:hAnsi="宋体" w:cs="宋体" w:eastAsia="宋体" w:hint="default"/>
                            <w:spacing w:val="-1"/>
                            <w:sz w:val="15"/>
                            <w:szCs w:val="15"/>
                          </w:rPr>
                          <w:t>组成部分包括自助终端设备、银行业务前置服务器或第三方支付平台架构（支付宝、微信等）、通信网络及相应的软件平</w:t>
                        </w:r>
                      </w:p>
                    </w:tc>
                  </w:tr>
                  <w:tr>
                    <w:trPr>
                      <w:trHeight w:val="160" w:hRule="exact"/>
                    </w:trPr>
                    <w:tc>
                      <w:tcPr>
                        <w:tcW w:w="710" w:type="dxa"/>
                        <w:tcBorders>
                          <w:top w:val="nil" w:sz="6" w:space="0" w:color="auto"/>
                          <w:left w:val="single" w:sz="6" w:space="0" w:color="000000"/>
                          <w:bottom w:val="nil" w:sz="6" w:space="0" w:color="auto"/>
                          <w:right w:val="single" w:sz="6" w:space="0" w:color="000000"/>
                        </w:tcBorders>
                      </w:tcPr>
                      <w:p>
                        <w:pPr>
                          <w:pStyle w:val="TableParagraph"/>
                          <w:spacing w:line="163" w:lineRule="exact"/>
                          <w:ind w:left="272" w:right="0"/>
                          <w:jc w:val="left"/>
                          <w:rPr>
                            <w:rFonts w:ascii="Times New Roman" w:hAnsi="Times New Roman" w:cs="Times New Roman" w:eastAsia="Times New Roman" w:hint="default"/>
                            <w:sz w:val="15"/>
                            <w:szCs w:val="15"/>
                          </w:rPr>
                        </w:pPr>
                        <w:r>
                          <w:rPr>
                            <w:rFonts w:ascii="Times New Roman"/>
                            <w:sz w:val="15"/>
                          </w:rPr>
                          <w:t>15</w:t>
                        </w:r>
                      </w:p>
                    </w:tc>
                    <w:tc>
                      <w:tcPr>
                        <w:tcW w:w="1843" w:type="dxa"/>
                        <w:tcBorders>
                          <w:top w:val="nil" w:sz="6" w:space="0" w:color="auto"/>
                          <w:left w:val="single" w:sz="6" w:space="0" w:color="000000"/>
                          <w:bottom w:val="nil" w:sz="6" w:space="0" w:color="auto"/>
                          <w:right w:val="single" w:sz="6" w:space="0" w:color="000000"/>
                        </w:tcBorders>
                      </w:tcPr>
                      <w:p>
                        <w:pPr>
                          <w:pStyle w:val="TableParagraph"/>
                          <w:spacing w:line="164" w:lineRule="exact"/>
                          <w:ind w:left="2" w:right="0"/>
                          <w:jc w:val="left"/>
                          <w:rPr>
                            <w:rFonts w:ascii="宋体" w:hAnsi="宋体" w:cs="宋体" w:eastAsia="宋体" w:hint="default"/>
                            <w:sz w:val="15"/>
                            <w:szCs w:val="15"/>
                          </w:rPr>
                        </w:pPr>
                        <w:r>
                          <w:rPr>
                            <w:rFonts w:ascii="宋体" w:hAnsi="宋体" w:cs="宋体" w:eastAsia="宋体" w:hint="default"/>
                            <w:sz w:val="15"/>
                            <w:szCs w:val="15"/>
                          </w:rPr>
                          <w:t>燃气</w:t>
                        </w:r>
                        <w:r>
                          <w:rPr>
                            <w:rFonts w:ascii="Times New Roman" w:hAnsi="Times New Roman" w:cs="Times New Roman" w:eastAsia="Times New Roman" w:hint="default"/>
                            <w:sz w:val="15"/>
                            <w:szCs w:val="15"/>
                          </w:rPr>
                          <w:t>IC</w:t>
                        </w:r>
                        <w:r>
                          <w:rPr>
                            <w:rFonts w:ascii="宋体" w:hAnsi="宋体" w:cs="宋体" w:eastAsia="宋体" w:hint="default"/>
                            <w:sz w:val="15"/>
                            <w:szCs w:val="15"/>
                          </w:rPr>
                          <w:t>卡自助服务平台</w:t>
                        </w:r>
                      </w:p>
                    </w:tc>
                    <w:tc>
                      <w:tcPr>
                        <w:tcW w:w="1134" w:type="dxa"/>
                        <w:tcBorders>
                          <w:top w:val="nil" w:sz="6" w:space="0" w:color="auto"/>
                          <w:left w:val="single" w:sz="6" w:space="0" w:color="000000"/>
                          <w:bottom w:val="nil" w:sz="6" w:space="0" w:color="auto"/>
                          <w:right w:val="single" w:sz="6" w:space="0" w:color="000000"/>
                        </w:tcBorders>
                      </w:tcPr>
                      <w:p>
                        <w:pPr>
                          <w:pStyle w:val="TableParagraph"/>
                          <w:spacing w:line="153" w:lineRule="exact"/>
                          <w:ind w:left="259" w:right="0"/>
                          <w:jc w:val="left"/>
                          <w:rPr>
                            <w:rFonts w:ascii="宋体" w:hAnsi="宋体" w:cs="宋体" w:eastAsia="宋体" w:hint="default"/>
                            <w:sz w:val="15"/>
                            <w:szCs w:val="15"/>
                          </w:rPr>
                        </w:pPr>
                        <w:r>
                          <w:rPr>
                            <w:rFonts w:ascii="宋体" w:hAnsi="宋体" w:cs="宋体" w:eastAsia="宋体" w:hint="default"/>
                            <w:sz w:val="15"/>
                            <w:szCs w:val="15"/>
                          </w:rPr>
                          <w:t>燃气集成</w:t>
                        </w:r>
                      </w:p>
                    </w:tc>
                    <w:tc>
                      <w:tcPr>
                        <w:tcW w:w="1842" w:type="dxa"/>
                        <w:tcBorders>
                          <w:top w:val="nil" w:sz="6" w:space="0" w:color="auto"/>
                          <w:left w:val="single" w:sz="6" w:space="0" w:color="000000"/>
                          <w:bottom w:val="nil" w:sz="6" w:space="0" w:color="auto"/>
                          <w:right w:val="single" w:sz="6" w:space="0" w:color="000000"/>
                        </w:tcBorders>
                      </w:tcPr>
                      <w:p>
                        <w:pPr>
                          <w:pStyle w:val="TableParagraph"/>
                          <w:spacing w:line="153" w:lineRule="exact"/>
                          <w:ind w:right="1"/>
                          <w:jc w:val="center"/>
                          <w:rPr>
                            <w:rFonts w:ascii="宋体" w:hAnsi="宋体" w:cs="宋体" w:eastAsia="宋体" w:hint="default"/>
                            <w:sz w:val="15"/>
                            <w:szCs w:val="15"/>
                          </w:rPr>
                        </w:pPr>
                        <w:r>
                          <w:rPr>
                            <w:rFonts w:ascii="宋体" w:hAnsi="宋体" w:cs="宋体" w:eastAsia="宋体" w:hint="default"/>
                            <w:sz w:val="15"/>
                            <w:szCs w:val="15"/>
                          </w:rPr>
                          <w:t>测试阶段</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63" w:lineRule="exact"/>
                          <w:ind w:right="0"/>
                          <w:jc w:val="center"/>
                          <w:rPr>
                            <w:rFonts w:ascii="Times New Roman" w:hAnsi="Times New Roman" w:cs="Times New Roman" w:eastAsia="Times New Roman" w:hint="default"/>
                            <w:sz w:val="15"/>
                            <w:szCs w:val="15"/>
                          </w:rPr>
                        </w:pPr>
                        <w:r>
                          <w:rPr>
                            <w:rFonts w:ascii="Times New Roman"/>
                            <w:sz w:val="15"/>
                          </w:rPr>
                          <w:t>2017/4/1</w:t>
                        </w:r>
                      </w:p>
                    </w:tc>
                    <w:tc>
                      <w:tcPr>
                        <w:tcW w:w="7938" w:type="dxa"/>
                        <w:tcBorders>
                          <w:top w:val="nil" w:sz="6" w:space="0" w:color="auto"/>
                          <w:left w:val="single" w:sz="6" w:space="0" w:color="000000"/>
                          <w:bottom w:val="nil" w:sz="6" w:space="0" w:color="auto"/>
                          <w:right w:val="single" w:sz="6" w:space="0" w:color="000000"/>
                        </w:tcBorders>
                      </w:tcPr>
                      <w:p>
                        <w:pPr/>
                      </w:p>
                    </w:tc>
                  </w:tr>
                  <w:tr>
                    <w:trPr>
                      <w:trHeight w:val="155"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49" w:lineRule="exact"/>
                          <w:ind w:left="2" w:right="0"/>
                          <w:jc w:val="left"/>
                          <w:rPr>
                            <w:rFonts w:ascii="宋体" w:hAnsi="宋体" w:cs="宋体" w:eastAsia="宋体" w:hint="default"/>
                            <w:sz w:val="15"/>
                            <w:szCs w:val="15"/>
                          </w:rPr>
                        </w:pPr>
                        <w:r>
                          <w:rPr>
                            <w:rFonts w:ascii="宋体" w:hAnsi="宋体" w:cs="宋体" w:eastAsia="宋体" w:hint="default"/>
                            <w:sz w:val="15"/>
                            <w:szCs w:val="15"/>
                          </w:rPr>
                          <w:t>台。</w:t>
                        </w:r>
                      </w:p>
                    </w:tc>
                  </w:tr>
                  <w:tr>
                    <w:trPr>
                      <w:trHeight w:val="156"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160" w:lineRule="exact"/>
                          <w:ind w:left="1" w:right="0"/>
                          <w:jc w:val="center"/>
                          <w:rPr>
                            <w:rFonts w:ascii="Times New Roman" w:hAnsi="Times New Roman" w:cs="Times New Roman" w:eastAsia="Times New Roman" w:hint="default"/>
                            <w:sz w:val="15"/>
                            <w:szCs w:val="15"/>
                          </w:rPr>
                        </w:pPr>
                        <w:r>
                          <w:rPr>
                            <w:rFonts w:ascii="Times New Roman"/>
                            <w:sz w:val="15"/>
                          </w:rPr>
                          <w:t>2018/3/31</w:t>
                        </w:r>
                      </w:p>
                    </w:tc>
                    <w:tc>
                      <w:tcPr>
                        <w:tcW w:w="7938"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710" w:type="dxa"/>
                        <w:tcBorders>
                          <w:top w:val="nil" w:sz="6" w:space="0" w:color="auto"/>
                          <w:left w:val="single" w:sz="6" w:space="0" w:color="000000"/>
                          <w:bottom w:val="nil" w:sz="6" w:space="0" w:color="auto"/>
                          <w:right w:val="single" w:sz="6" w:space="0" w:color="000000"/>
                        </w:tcBorders>
                      </w:tcPr>
                      <w:p>
                        <w:pPr/>
                      </w:p>
                    </w:tc>
                    <w:tc>
                      <w:tcPr>
                        <w:tcW w:w="1843"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single" w:sz="6" w:space="0" w:color="000000"/>
                        </w:tcBorders>
                      </w:tcPr>
                      <w:p>
                        <w:pPr/>
                      </w:p>
                    </w:tc>
                    <w:tc>
                      <w:tcPr>
                        <w:tcW w:w="184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7938"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29"/>
                          <w:jc w:val="right"/>
                          <w:rPr>
                            <w:rFonts w:ascii="宋体" w:hAnsi="宋体" w:cs="宋体" w:eastAsia="宋体" w:hint="default"/>
                            <w:sz w:val="15"/>
                            <w:szCs w:val="15"/>
                          </w:rPr>
                        </w:pPr>
                        <w:r>
                          <w:rPr>
                            <w:rFonts w:ascii="宋体" w:hAnsi="宋体" w:cs="宋体" w:eastAsia="宋体" w:hint="default"/>
                            <w:w w:val="95"/>
                            <w:sz w:val="15"/>
                            <w:szCs w:val="15"/>
                          </w:rPr>
                          <w:t>用户可以自主进行</w:t>
                        </w:r>
                        <w:r>
                          <w:rPr>
                            <w:rFonts w:ascii="Times New Roman" w:hAnsi="Times New Roman" w:cs="Times New Roman" w:eastAsia="Times New Roman" w:hint="default"/>
                            <w:w w:val="95"/>
                            <w:sz w:val="15"/>
                            <w:szCs w:val="15"/>
                          </w:rPr>
                          <w:t>IC</w:t>
                        </w:r>
                        <w:r>
                          <w:rPr>
                            <w:rFonts w:ascii="宋体" w:hAnsi="宋体" w:cs="宋体" w:eastAsia="宋体" w:hint="default"/>
                            <w:w w:val="95"/>
                            <w:sz w:val="15"/>
                            <w:szCs w:val="15"/>
                          </w:rPr>
                          <w:t>卡的充值，节省了用户去营业厅或自助服务点充值的时间成本和燃气公司普表抄表的人力成本、</w:t>
                        </w:r>
                      </w:p>
                    </w:tc>
                  </w:tr>
                  <w:tr>
                    <w:trPr>
                      <w:trHeight w:val="327" w:hRule="exact"/>
                    </w:trPr>
                    <w:tc>
                      <w:tcPr>
                        <w:tcW w:w="710" w:type="dxa"/>
                        <w:tcBorders>
                          <w:top w:val="nil" w:sz="6" w:space="0" w:color="auto"/>
                          <w:left w:val="single" w:sz="6" w:space="0" w:color="000000"/>
                          <w:bottom w:val="single" w:sz="6" w:space="0" w:color="000000"/>
                          <w:right w:val="single" w:sz="6" w:space="0" w:color="000000"/>
                        </w:tcBorders>
                      </w:tcPr>
                      <w:p>
                        <w:pPr/>
                      </w:p>
                    </w:tc>
                    <w:tc>
                      <w:tcPr>
                        <w:tcW w:w="1843" w:type="dxa"/>
                        <w:tcBorders>
                          <w:top w:val="nil" w:sz="6" w:space="0" w:color="auto"/>
                          <w:left w:val="single" w:sz="6" w:space="0" w:color="000000"/>
                          <w:bottom w:val="single" w:sz="6" w:space="0" w:color="000000"/>
                          <w:right w:val="single" w:sz="6" w:space="0" w:color="000000"/>
                        </w:tcBorders>
                      </w:tcPr>
                      <w:p>
                        <w:pPr/>
                      </w:p>
                    </w:tc>
                    <w:tc>
                      <w:tcPr>
                        <w:tcW w:w="1134" w:type="dxa"/>
                        <w:tcBorders>
                          <w:top w:val="nil" w:sz="6" w:space="0" w:color="auto"/>
                          <w:left w:val="single" w:sz="6" w:space="0" w:color="000000"/>
                          <w:bottom w:val="single" w:sz="6" w:space="0" w:color="000000"/>
                          <w:right w:val="single" w:sz="6" w:space="0" w:color="000000"/>
                        </w:tcBorders>
                      </w:tcPr>
                      <w:p>
                        <w:pPr/>
                      </w:p>
                    </w:tc>
                    <w:tc>
                      <w:tcPr>
                        <w:tcW w:w="1842"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793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IC</w:t>
                        </w:r>
                        <w:r>
                          <w:rPr>
                            <w:rFonts w:ascii="宋体" w:hAnsi="宋体" w:cs="宋体" w:eastAsia="宋体" w:hint="default"/>
                            <w:sz w:val="15"/>
                            <w:szCs w:val="15"/>
                          </w:rPr>
                          <w:t>卡充值的业务压力，减少燃气公司的管理运营成本。</w:t>
                        </w:r>
                      </w:p>
                    </w:tc>
                  </w:tr>
                </w:tbl>
                <w:p>
                  <w:pPr/>
                </w:p>
              </w:txbxContent>
            </v:textbox>
            <w10:wrap type="none"/>
          </v:shape>
        </w:pict>
      </w:r>
      <w:r>
        <w:rPr>
          <w:rFonts w:ascii="宋体" w:hAnsi="宋体" w:cs="宋体" w:eastAsia="宋体" w:hint="default"/>
          <w:sz w:val="15"/>
          <w:szCs w:val="15"/>
        </w:rPr>
        <w:t>、</w:t>
      </w:r>
    </w:p>
    <w:p>
      <w:pPr>
        <w:spacing w:after="0"/>
        <w:jc w:val="right"/>
        <w:rPr>
          <w:rFonts w:ascii="宋体" w:hAnsi="宋体" w:cs="宋体" w:eastAsia="宋体" w:hint="default"/>
          <w:sz w:val="15"/>
          <w:szCs w:val="15"/>
        </w:rPr>
        <w:sectPr>
          <w:pgSz w:w="16840" w:h="11910" w:orient="landscape"/>
          <w:pgMar w:header="867" w:footer="978" w:top="1060" w:bottom="1160" w:left="900" w:right="920"/>
        </w:sectPr>
      </w:pPr>
    </w:p>
    <w:p>
      <w:pPr>
        <w:spacing w:line="240" w:lineRule="auto" w:before="13"/>
        <w:rPr>
          <w:rFonts w:ascii="宋体" w:hAnsi="宋体" w:cs="宋体" w:eastAsia="宋体" w:hint="default"/>
          <w:sz w:val="21"/>
          <w:szCs w:val="21"/>
        </w:rPr>
      </w:pPr>
    </w:p>
    <w:p>
      <w:pPr>
        <w:spacing w:before="44"/>
        <w:ind w:left="153" w:right="102"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38.65%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37.29%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37.33%</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105,051,851.48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79,375,999.56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46,543,999.48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13.65%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9.12%</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5,729,165.17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4,917,592.20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875,047.94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1.88%</w:t>
            </w:r>
            <w:r>
              <w:rPr>
                <w:rFonts w:ascii="Times New Roman"/>
                <w:sz w:val="18"/>
              </w:rPr>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5.80%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1.45%</w:t>
            </w:r>
            <w:r>
              <w:rPr>
                <w:rFonts w:ascii="Times New Roman"/>
                <w:sz w:val="18"/>
              </w:rPr>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6"/>
        <w:ind w:left="154" w:right="5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0"/>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02"/>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823,288,856.64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776,119,103.60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6.08%</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757,877,371.08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635,687,526.71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19.22%</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65,411,485.56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140,431,576.89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-53.42%</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578,883,553.27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12,240,110.04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4,629.40%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736,290,671.38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205,388,226.55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258.49%</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-157,407,118.11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-193,148,116.51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18.50%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606,435,988.00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-73.19%</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63,553,897.29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164,655,319.51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-61.40%</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99,046,102.71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441,780,668.49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-77.58%</w:t>
            </w:r>
            <w:r>
              <w:rPr>
                <w:rFonts w:ascii="Times New Roman"/>
                <w:sz w:val="18"/>
              </w:rPr>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7,050,470.16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389,064,128.87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-98.19%</w:t>
            </w:r>
            <w:r>
              <w:rPr>
                <w:rFonts w:ascii="Times New Roman"/>
                <w:sz w:val="18"/>
              </w:rPr>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6"/>
        <w:ind w:left="153"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580" w:right="102"/>
        <w:jc w:val="left"/>
      </w:pPr>
      <w:r>
        <w:rPr>
          <w:spacing w:val="-4"/>
        </w:rPr>
        <w:t>（</w:t>
      </w:r>
      <w:r>
        <w:rPr>
          <w:rFonts w:ascii="Times New Roman" w:hAnsi="Times New Roman" w:cs="Times New Roman" w:eastAsia="Times New Roman" w:hint="default"/>
          <w:spacing w:val="-4"/>
        </w:rPr>
        <w:t>1</w:t>
      </w:r>
      <w:r>
        <w:rPr>
          <w:spacing w:val="-4"/>
        </w:rPr>
        <w:t>）经营活动现金流入小计同比增长</w:t>
      </w:r>
      <w:r>
        <w:rPr>
          <w:rFonts w:ascii="Times New Roman" w:hAnsi="Times New Roman" w:cs="Times New Roman" w:eastAsia="Times New Roman" w:hint="default"/>
          <w:spacing w:val="-4"/>
        </w:rPr>
        <w:t>6.08%</w:t>
      </w:r>
      <w:r>
        <w:rPr>
          <w:spacing w:val="-4"/>
        </w:rPr>
        <w:t>，主要系本报告收到的增值税退税收入较上期大幅度增加；</w:t>
      </w:r>
    </w:p>
    <w:p>
      <w:pPr>
        <w:pStyle w:val="BodyText"/>
        <w:spacing w:line="240" w:lineRule="auto" w:before="177"/>
        <w:ind w:left="574" w:right="102"/>
        <w:jc w:val="left"/>
      </w:pPr>
      <w:r>
        <w:rPr/>
        <w:t>（</w:t>
      </w:r>
      <w:r>
        <w:rPr>
          <w:rFonts w:ascii="Times New Roman" w:hAnsi="Times New Roman" w:cs="Times New Roman" w:eastAsia="Times New Roman" w:hint="default"/>
        </w:rPr>
        <w:t>2</w:t>
      </w:r>
      <w:r>
        <w:rPr/>
        <w:t>）经营活动现金流出小计同比增长</w:t>
      </w:r>
      <w:r>
        <w:rPr>
          <w:rFonts w:ascii="Times New Roman" w:hAnsi="Times New Roman" w:cs="Times New Roman" w:eastAsia="Times New Roman" w:hint="default"/>
        </w:rPr>
        <w:t>19.22%</w:t>
      </w:r>
      <w:r>
        <w:rPr/>
        <w:t>，主要原因（</w:t>
      </w:r>
      <w:r>
        <w:rPr>
          <w:rFonts w:ascii="Times New Roman" w:hAnsi="Times New Roman" w:cs="Times New Roman" w:eastAsia="Times New Roman" w:hint="default"/>
        </w:rPr>
        <w:t>1</w:t>
      </w:r>
      <w:r>
        <w:rPr/>
        <w:t>）系随着公司规模扩大，购买商品接受劳</w:t>
      </w:r>
    </w:p>
    <w:p>
      <w:pPr>
        <w:spacing w:after="0" w:line="240" w:lineRule="auto"/>
        <w:jc w:val="left"/>
        <w:sectPr>
          <w:headerReference w:type="default" r:id="rId16"/>
          <w:footerReference w:type="default" r:id="rId17"/>
          <w:pgSz w:w="11910" w:h="16840"/>
          <w:pgMar w:header="877" w:footer="982" w:top="1100" w:bottom="1180" w:left="980" w:right="920"/>
          <w:pgNumType w:start="32"/>
        </w:sectPr>
      </w:pPr>
    </w:p>
    <w:p>
      <w:pPr>
        <w:spacing w:line="240" w:lineRule="auto" w:before="8"/>
        <w:rPr>
          <w:rFonts w:ascii="宋体" w:hAnsi="宋体" w:cs="宋体" w:eastAsia="宋体" w:hint="default"/>
          <w:sz w:val="26"/>
          <w:szCs w:val="26"/>
        </w:rPr>
      </w:pPr>
    </w:p>
    <w:p>
      <w:pPr>
        <w:pStyle w:val="BodyText"/>
        <w:spacing w:line="240" w:lineRule="auto" w:before="35"/>
        <w:ind w:right="133"/>
        <w:jc w:val="left"/>
      </w:pPr>
      <w:r>
        <w:rPr/>
        <w:t>务支付的现金增加较快（</w:t>
      </w:r>
      <w:r>
        <w:rPr>
          <w:rFonts w:ascii="Times New Roman" w:hAnsi="Times New Roman" w:cs="Times New Roman" w:eastAsia="Times New Roman" w:hint="default"/>
        </w:rPr>
        <w:t>2</w:t>
      </w:r>
      <w:r>
        <w:rPr/>
        <w:t>）支付给职工以及为职工支付的现金增加；</w:t>
      </w:r>
    </w:p>
    <w:p>
      <w:pPr>
        <w:pStyle w:val="BodyText"/>
        <w:spacing w:line="386" w:lineRule="auto" w:before="177"/>
        <w:ind w:right="137" w:firstLine="480"/>
        <w:jc w:val="left"/>
      </w:pPr>
      <w:r>
        <w:rPr/>
        <w:t>（</w:t>
      </w:r>
      <w:r>
        <w:rPr>
          <w:rFonts w:ascii="Times New Roman" w:hAnsi="Times New Roman" w:cs="Times New Roman" w:eastAsia="Times New Roman" w:hint="default"/>
        </w:rPr>
        <w:t>3</w:t>
      </w:r>
      <w:r>
        <w:rPr/>
        <w:t>）投资活动现金流入小计较上年同期增长</w:t>
      </w:r>
      <w:r>
        <w:rPr>
          <w:rFonts w:ascii="Times New Roman" w:hAnsi="Times New Roman" w:cs="Times New Roman" w:eastAsia="Times New Roman" w:hint="default"/>
        </w:rPr>
        <w:t>4629.40%</w:t>
      </w:r>
      <w:r>
        <w:rPr/>
        <w:t>，主要系本报告期公司进行现金管理到期的理 财本金及理财投资收益；</w:t>
      </w:r>
    </w:p>
    <w:p>
      <w:pPr>
        <w:pStyle w:val="BodyText"/>
        <w:spacing w:line="386" w:lineRule="auto" w:before="65"/>
        <w:ind w:right="138" w:firstLine="479"/>
        <w:jc w:val="left"/>
      </w:pPr>
      <w:r>
        <w:rPr/>
        <w:t>（</w:t>
      </w:r>
      <w:r>
        <w:rPr>
          <w:rFonts w:ascii="Times New Roman" w:hAnsi="Times New Roman" w:cs="Times New Roman" w:eastAsia="Times New Roman" w:hint="default"/>
        </w:rPr>
        <w:t>4</w:t>
      </w:r>
      <w:r>
        <w:rPr/>
        <w:t>）投资活动现金流出小计较上年同期增长</w:t>
      </w:r>
      <w:r>
        <w:rPr>
          <w:rFonts w:ascii="Times New Roman" w:hAnsi="Times New Roman" w:cs="Times New Roman" w:eastAsia="Times New Roman" w:hint="default"/>
        </w:rPr>
        <w:t>258.49%</w:t>
      </w:r>
      <w:r>
        <w:rPr/>
        <w:t>，主要系（</w:t>
      </w:r>
      <w:r>
        <w:rPr>
          <w:rFonts w:ascii="Times New Roman" w:hAnsi="Times New Roman" w:cs="Times New Roman" w:eastAsia="Times New Roman" w:hint="default"/>
        </w:rPr>
        <w:t>1</w:t>
      </w:r>
      <w:r>
        <w:rPr/>
        <w:t>）本报告期公司进行现金管理转出 的理财本金（</w:t>
      </w:r>
      <w:r>
        <w:rPr>
          <w:rFonts w:ascii="Times New Roman" w:hAnsi="Times New Roman" w:cs="Times New Roman" w:eastAsia="Times New Roman" w:hint="default"/>
        </w:rPr>
        <w:t>2</w:t>
      </w:r>
      <w:r>
        <w:rPr/>
        <w:t>）母公司报告期内支付的购买专利款（</w:t>
      </w:r>
      <w:r>
        <w:rPr>
          <w:rFonts w:ascii="Times New Roman" w:hAnsi="Times New Roman" w:cs="Times New Roman" w:eastAsia="Times New Roman" w:hint="default"/>
        </w:rPr>
        <w:t>3</w:t>
      </w:r>
      <w:r>
        <w:rPr/>
        <w:t>）报告期内对希嘉教育及丹诚开普的投资款；</w:t>
      </w:r>
    </w:p>
    <w:p>
      <w:pPr>
        <w:pStyle w:val="BodyText"/>
        <w:spacing w:line="386" w:lineRule="auto" w:before="35"/>
        <w:ind w:right="137" w:firstLine="480"/>
        <w:jc w:val="left"/>
      </w:pPr>
      <w:r>
        <w:rPr/>
        <w:t>（</w:t>
      </w:r>
      <w:r>
        <w:rPr>
          <w:rFonts w:ascii="Times New Roman" w:hAnsi="Times New Roman" w:cs="Times New Roman" w:eastAsia="Times New Roman" w:hint="default"/>
        </w:rPr>
        <w:t>5</w:t>
      </w:r>
      <w:r>
        <w:rPr/>
        <w:t>）筹资活动现金流入小计较上年同期减少</w:t>
      </w:r>
      <w:r>
        <w:rPr>
          <w:rFonts w:ascii="Times New Roman" w:hAnsi="Times New Roman" w:cs="Times New Roman" w:eastAsia="Times New Roman" w:hint="default"/>
        </w:rPr>
        <w:t>73.19%</w:t>
      </w:r>
      <w:r>
        <w:rPr/>
        <w:t>，上期系发行限制性股票及非公开发行股票投资 款，本报告期无；</w:t>
      </w:r>
    </w:p>
    <w:p>
      <w:pPr>
        <w:pStyle w:val="BodyText"/>
        <w:spacing w:line="240" w:lineRule="auto" w:before="65"/>
        <w:ind w:left="634" w:right="133"/>
        <w:jc w:val="left"/>
      </w:pPr>
      <w:r>
        <w:rPr/>
        <w:t>（</w:t>
      </w:r>
      <w:r>
        <w:rPr>
          <w:rFonts w:ascii="Times New Roman" w:hAnsi="Times New Roman" w:cs="Times New Roman" w:eastAsia="Times New Roman" w:hint="default"/>
        </w:rPr>
        <w:t>6</w:t>
      </w:r>
      <w:r>
        <w:rPr/>
        <w:t>）筹资活动现金流出小计较上年同期减少</w:t>
      </w:r>
      <w:r>
        <w:rPr>
          <w:rFonts w:ascii="Times New Roman" w:hAnsi="Times New Roman" w:cs="Times New Roman" w:eastAsia="Times New Roman" w:hint="default"/>
        </w:rPr>
        <w:t>61.40%</w:t>
      </w:r>
      <w:r>
        <w:rPr/>
        <w:t>，主要系本报告期内偿还银行借款减少所致。</w:t>
      </w:r>
    </w:p>
    <w:p>
      <w:pPr>
        <w:spacing w:line="240" w:lineRule="auto" w:before="0"/>
        <w:rPr>
          <w:rFonts w:ascii="宋体" w:hAnsi="宋体" w:cs="宋体" w:eastAsia="宋体" w:hint="default"/>
          <w:sz w:val="22"/>
          <w:szCs w:val="22"/>
        </w:rPr>
      </w:pPr>
    </w:p>
    <w:p>
      <w:pPr>
        <w:spacing w:before="189"/>
        <w:ind w:left="154" w:right="133"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3"/>
        <w:jc w:val="left"/>
        <w:rPr>
          <w:b w:val="0"/>
          <w:bCs w:val="0"/>
        </w:rPr>
      </w:pPr>
      <w:r>
        <w:rPr/>
        <w:t>三、非主营业务情况</w:t>
      </w:r>
      <w:r>
        <w:rPr>
          <w:b w:val="0"/>
          <w:bCs w:val="0"/>
        </w:rPr>
      </w:r>
    </w:p>
    <w:p>
      <w:pPr>
        <w:spacing w:line="240" w:lineRule="auto" w:before="3"/>
        <w:rPr>
          <w:rFonts w:ascii="宋体" w:hAnsi="宋体" w:cs="宋体" w:eastAsia="宋体" w:hint="default"/>
          <w:b/>
          <w:bCs/>
          <w:sz w:val="23"/>
          <w:szCs w:val="23"/>
        </w:rPr>
      </w:pPr>
    </w:p>
    <w:p>
      <w:pPr>
        <w:spacing w:before="44"/>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166"/>
        <w:gridCol w:w="2340"/>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4,860,564.67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3.65%</w:t>
            </w:r>
            <w:r>
              <w:rPr>
                <w:rFonts w:ascii="Times New Roman"/>
                <w:sz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0"/>
              <w:jc w:val="left"/>
              <w:rPr>
                <w:rFonts w:ascii="宋体" w:hAnsi="宋体" w:cs="宋体" w:eastAsia="宋体" w:hint="default"/>
                <w:sz w:val="18"/>
                <w:szCs w:val="18"/>
              </w:rPr>
            </w:pPr>
            <w:r>
              <w:rPr>
                <w:rFonts w:ascii="宋体" w:hAnsi="宋体" w:cs="宋体" w:eastAsia="宋体" w:hint="default"/>
                <w:sz w:val="18"/>
                <w:szCs w:val="18"/>
              </w:rPr>
              <w:t>主要系理财产品形成的投 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13,679,230.26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10.26%</w:t>
            </w:r>
            <w:r>
              <w:rPr>
                <w:rFonts w:ascii="Times New Roman"/>
                <w:sz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0"/>
              <w:jc w:val="left"/>
              <w:rPr>
                <w:rFonts w:ascii="宋体" w:hAnsi="宋体" w:cs="宋体" w:eastAsia="宋体" w:hint="default"/>
                <w:sz w:val="18"/>
                <w:szCs w:val="18"/>
              </w:rPr>
            </w:pPr>
            <w:r>
              <w:rPr>
                <w:rFonts w:ascii="宋体" w:hAnsi="宋体" w:cs="宋体" w:eastAsia="宋体" w:hint="default"/>
                <w:sz w:val="18"/>
                <w:szCs w:val="18"/>
              </w:rPr>
              <w:t>主要系计提应收款项坏账 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2,824,972.43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2.12%</w:t>
            </w:r>
            <w:r>
              <w:rPr>
                <w:rFonts w:ascii="Times New Roman"/>
                <w:sz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0"/>
              <w:jc w:val="left"/>
              <w:rPr>
                <w:rFonts w:ascii="宋体" w:hAnsi="宋体" w:cs="宋体" w:eastAsia="宋体" w:hint="default"/>
                <w:sz w:val="18"/>
                <w:szCs w:val="18"/>
              </w:rPr>
            </w:pPr>
            <w:r>
              <w:rPr>
                <w:rFonts w:ascii="宋体" w:hAnsi="宋体" w:cs="宋体" w:eastAsia="宋体" w:hint="default"/>
                <w:sz w:val="18"/>
                <w:szCs w:val="18"/>
              </w:rPr>
              <w:t>主要系除增值税退税外的 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45,686.35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6"/>
              <w:jc w:val="center"/>
              <w:rPr>
                <w:rFonts w:ascii="宋体" w:hAnsi="宋体" w:cs="宋体" w:eastAsia="宋体" w:hint="default"/>
                <w:sz w:val="18"/>
                <w:szCs w:val="18"/>
              </w:rPr>
            </w:pPr>
            <w:r>
              <w:rPr>
                <w:rFonts w:ascii="宋体" w:hAnsi="宋体" w:cs="宋体" w:eastAsia="宋体" w:hint="default"/>
                <w:sz w:val="18"/>
                <w:szCs w:val="18"/>
              </w:rPr>
              <w:t>主要系迪科远望罚款支出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133"/>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84"/>
        <w:gridCol w:w="1043"/>
        <w:gridCol w:w="1195"/>
        <w:gridCol w:w="1063"/>
        <w:gridCol w:w="798"/>
        <w:gridCol w:w="2917"/>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3" w:hRule="exact"/>
        </w:trPr>
        <w:tc>
          <w:tcPr>
            <w:tcW w:w="1368" w:type="dxa"/>
            <w:vMerge/>
            <w:tcBorders>
              <w:left w:val="single" w:sz="4" w:space="0" w:color="000000"/>
              <w:right w:val="single" w:sz="4" w:space="0" w:color="000000"/>
            </w:tcBorders>
            <w:shd w:val="clear" w:color="auto" w:fill="D3D3D3"/>
          </w:tcPr>
          <w:p>
            <w:pP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425"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right="912"/>
              <w:jc w:val="righ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04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594,278,568.35</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587,878,098.19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316,223,819.76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230,053,489.01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2.84%</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2"/>
              <w:jc w:val="right"/>
              <w:rPr>
                <w:rFonts w:ascii="宋体" w:hAnsi="宋体" w:cs="宋体" w:eastAsia="宋体" w:hint="default"/>
                <w:sz w:val="18"/>
                <w:szCs w:val="18"/>
              </w:rPr>
            </w:pPr>
            <w:r>
              <w:rPr>
                <w:rFonts w:ascii="宋体" w:hAnsi="宋体" w:cs="宋体" w:eastAsia="宋体" w:hint="default"/>
                <w:sz w:val="18"/>
                <w:szCs w:val="18"/>
              </w:rPr>
              <w:t>主要系随收入增加而增长</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199,798,094.17</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175,397,002.62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9.67%</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16,492,066.84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0.81%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17,223,810.60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0.95%</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184"/>
        <w:gridCol w:w="1043"/>
        <w:gridCol w:w="1195"/>
        <w:gridCol w:w="1063"/>
        <w:gridCol w:w="798"/>
        <w:gridCol w:w="291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60,752,766.40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2.98%</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30,332,364.67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1.67%</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1.31%</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主要系报告期内投资希嘉教育及丹 诚开普所致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147,322,185.56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148,629,634.47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8.19%</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-0.96%</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1,783,603.93</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554,979.63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主要系新增宽带载波通信芯片模具 开发</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145,000,000.00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7.11%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7.11%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系母公司报告期内新增流资借款，上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期末无余额</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69,149,900.00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96,411,666.68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5.31%</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615,610.00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4,316,651.50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0.24%</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主要系期末收到的应收票据金额较 少所致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20,641,971.52</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15,329,127.04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0.84%</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主要系本报告期母公司预付货款及 项目实施款项增加所致；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57,605,184.03</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42,198,274.22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2.33%</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0.50%</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主要系报告期内保证金及往来款较 上期增加所致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60,085,841.15</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2.95%</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20,272,938.24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1.12%</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1.83%</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系报告期内母公司购买理财产品增 加所致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55,214,461.24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2.71%</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40,458,633.75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2.23%</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主要系报告期内母公司购入专利权</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3,774,552.65</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1,472,300.81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主要系待摊销的职业教育培训中心 装修费</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174,962,218.66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8.58%</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113,871,032.87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6.28%</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2.30%</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主要系尚未结算的供应商款项增加 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80,990,373.87</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3.97%</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194,913,242.30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较年初下降原因系子公司上海树维 </w:t>
            </w:r>
            <w:r>
              <w:rPr>
                <w:rFonts w:ascii="宋体" w:hAnsi="宋体" w:cs="宋体" w:eastAsia="宋体" w:hint="default"/>
                <w:spacing w:val="-2"/>
                <w:sz w:val="18"/>
                <w:szCs w:val="18"/>
              </w:rPr>
              <w:t>业绩承诺完成，报告期内支付并购款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及限制性股票激励政策第一批解锁 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39,527,567.18</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1.94%</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30,018,196.80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1.65%</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0.29%</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系报告期内母公司净利润大幅增加 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365,046,574.10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272,739,063.88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2.88%</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系本年度净利润增加所致</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568" w:lineRule="auto" w:before="0"/>
        <w:ind w:left="438" w:right="666" w:hanging="28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21"/>
          <w:szCs w:val="21"/>
        </w:rPr>
        <w:t>因抵押、质押或冻结等对使用有限制，以及放在境外且资金汇回受到限制的货币资金明细如下：</w:t>
      </w:r>
    </w:p>
    <w:tbl>
      <w:tblPr>
        <w:tblW w:w="0" w:type="auto"/>
        <w:jc w:val="left"/>
        <w:tblInd w:w="755" w:type="dxa"/>
        <w:tblLayout w:type="fixed"/>
        <w:tblCellMar>
          <w:top w:w="0" w:type="dxa"/>
          <w:left w:w="0" w:type="dxa"/>
          <w:bottom w:w="0" w:type="dxa"/>
          <w:right w:w="0" w:type="dxa"/>
        </w:tblCellMar>
        <w:tblLook w:val="01E0"/>
      </w:tblPr>
      <w:tblGrid>
        <w:gridCol w:w="3337"/>
        <w:gridCol w:w="2238"/>
        <w:gridCol w:w="2238"/>
      </w:tblGrid>
      <w:tr>
        <w:trPr>
          <w:trHeight w:val="342" w:hRule="exact"/>
        </w:trPr>
        <w:tc>
          <w:tcPr>
            <w:tcW w:w="3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right="1452"/>
              <w:jc w:val="right"/>
              <w:rPr>
                <w:rFonts w:ascii="宋体" w:hAnsi="宋体" w:cs="宋体" w:eastAsia="宋体" w:hint="default"/>
                <w:sz w:val="21"/>
                <w:szCs w:val="21"/>
              </w:rPr>
            </w:pPr>
            <w:r>
              <w:rPr>
                <w:rFonts w:ascii="宋体" w:hAnsi="宋体" w:cs="宋体" w:eastAsia="宋体" w:hint="default"/>
                <w:sz w:val="21"/>
                <w:szCs w:val="21"/>
              </w:rPr>
              <w:t>项目</w:t>
            </w:r>
          </w:p>
        </w:tc>
        <w:tc>
          <w:tcPr>
            <w:tcW w:w="22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69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693"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42"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929,960.99</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1,579,960.99</w:t>
            </w:r>
          </w:p>
        </w:tc>
      </w:tr>
      <w:tr>
        <w:trPr>
          <w:trHeight w:val="34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452"/>
              <w:jc w:val="right"/>
              <w:rPr>
                <w:rFonts w:ascii="宋体" w:hAnsi="宋体" w:cs="宋体" w:eastAsia="宋体" w:hint="default"/>
                <w:sz w:val="21"/>
                <w:szCs w:val="21"/>
              </w:rPr>
            </w:pPr>
            <w:r>
              <w:rPr>
                <w:rFonts w:ascii="宋体" w:hAnsi="宋体" w:cs="宋体" w:eastAsia="宋体" w:hint="default"/>
                <w:sz w:val="21"/>
                <w:szCs w:val="21"/>
              </w:rPr>
              <w:t>合计</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929,960.99</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1,579,960.99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left="151" w:right="142" w:firstLine="286"/>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929,960.99</w:t>
      </w:r>
      <w:r>
        <w:rPr/>
        <w:t>元，为本公司向银行申请开具无条件、不可撤 销的履约保证金所存入的保证金存款。</w:t>
      </w:r>
    </w:p>
    <w:p>
      <w:pPr>
        <w:spacing w:line="240" w:lineRule="auto" w:before="4"/>
        <w:rPr>
          <w:rFonts w:ascii="宋体" w:hAnsi="宋体" w:cs="宋体" w:eastAsia="宋体" w:hint="default"/>
          <w:sz w:val="20"/>
          <w:szCs w:val="20"/>
        </w:rPr>
      </w:pPr>
    </w:p>
    <w:p>
      <w:pPr>
        <w:pStyle w:val="Heading2"/>
        <w:spacing w:line="240" w:lineRule="auto"/>
        <w:ind w:right="133"/>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31,515,548.00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23,870,150.00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32.03%</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2"/>
        <w:gridCol w:w="658"/>
        <w:gridCol w:w="655"/>
        <w:gridCol w:w="658"/>
        <w:gridCol w:w="629"/>
        <w:gridCol w:w="739"/>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7" w:hRule="exact"/>
        </w:trPr>
        <w:tc>
          <w:tcPr>
            <w:tcW w:w="694"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1"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北京希</w:t>
            </w:r>
          </w:p>
        </w:tc>
        <w:tc>
          <w:tcPr>
            <w:tcW w:w="655"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3" w:type="dxa"/>
            <w:tcBorders>
              <w:top w:val="single" w:sz="4" w:space="0" w:color="000000"/>
              <w:left w:val="single" w:sz="4" w:space="0" w:color="000000"/>
              <w:bottom w:val="nil" w:sz="6" w:space="0" w:color="auto"/>
              <w:right w:val="single" w:sz="4" w:space="0" w:color="000000"/>
            </w:tcBorders>
          </w:tcPr>
          <w:p>
            <w:pPr/>
          </w:p>
        </w:tc>
        <w:tc>
          <w:tcPr>
            <w:tcW w:w="72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嘉创智</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北京希</w:t>
            </w: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939"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9"/>
              <w:jc w:val="both"/>
              <w:rPr>
                <w:rFonts w:ascii="宋体" w:hAnsi="宋体" w:cs="宋体" w:eastAsia="宋体" w:hint="default"/>
                <w:sz w:val="18"/>
                <w:szCs w:val="18"/>
              </w:rPr>
            </w:pPr>
            <w:r>
              <w:rPr>
                <w:rFonts w:ascii="宋体" w:hAnsi="宋体" w:cs="宋体" w:eastAsia="宋体" w:hint="default"/>
                <w:sz w:val="18"/>
                <w:szCs w:val="18"/>
              </w:rPr>
              <w:t>嘉创智 教育科 技有限</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增资</w:t>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1" w:right="0"/>
              <w:jc w:val="center"/>
              <w:rPr>
                <w:rFonts w:ascii="Times New Roman" w:hAnsi="Times New Roman" w:cs="Times New Roman" w:eastAsia="Times New Roman" w:hint="default"/>
                <w:sz w:val="18"/>
                <w:szCs w:val="18"/>
              </w:rPr>
            </w:pPr>
            <w:r>
              <w:rPr>
                <w:rFonts w:ascii="Times New Roman"/>
                <w:sz w:val="18"/>
              </w:rPr>
              <w:t>24.00%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3"/>
              <w:jc w:val="both"/>
              <w:rPr>
                <w:rFonts w:ascii="宋体" w:hAnsi="宋体" w:cs="宋体" w:eastAsia="宋体" w:hint="default"/>
                <w:sz w:val="18"/>
                <w:szCs w:val="18"/>
              </w:rPr>
            </w:pPr>
            <w:r>
              <w:rPr>
                <w:rFonts w:ascii="宋体" w:hAnsi="宋体" w:cs="宋体" w:eastAsia="宋体" w:hint="default"/>
                <w:sz w:val="18"/>
                <w:szCs w:val="18"/>
              </w:rPr>
              <w:t>司、北 京希嘉 科技发</w:t>
            </w:r>
          </w:p>
        </w:tc>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14,400,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2,484,57</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8.87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360" w:lineRule="auto" w:before="10"/>
              <w:ind w:left="24"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讯网 </w:t>
            </w: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nfo.com.</w:t>
            </w:r>
          </w:p>
        </w:tc>
      </w:tr>
      <w:tr>
        <w:trPr>
          <w:trHeight w:val="313"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展中心</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r>
              <w:rPr>
                <w:rFonts w:ascii="Times New Roman"/>
                <w:sz w:val="18"/>
              </w:rPr>
              <w:t>cn</w:t>
            </w:r>
          </w:p>
        </w:tc>
      </w:tr>
      <w:tr>
        <w:trPr>
          <w:trHeight w:val="308"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94"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1"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合伙</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3" w:type="dxa"/>
            <w:tcBorders>
              <w:top w:val="nil" w:sz="6" w:space="0" w:color="auto"/>
              <w:left w:val="single" w:sz="4" w:space="0" w:color="000000"/>
              <w:bottom w:val="nil" w:sz="6" w:space="0" w:color="auto"/>
              <w:right w:val="single" w:sz="4" w:space="0" w:color="000000"/>
            </w:tcBorders>
          </w:tcPr>
          <w:p>
            <w:pPr/>
          </w:p>
        </w:tc>
        <w:tc>
          <w:tcPr>
            <w:tcW w:w="72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94"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1"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汪浩</w:t>
            </w:r>
          </w:p>
        </w:tc>
        <w:tc>
          <w:tcPr>
            <w:tcW w:w="655"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4" w:space="0" w:color="000000"/>
            </w:tcBorders>
          </w:tcPr>
          <w:p>
            <w:pPr/>
          </w:p>
        </w:tc>
        <w:tc>
          <w:tcPr>
            <w:tcW w:w="724"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2"/>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14,400,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2,484,57</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8.87</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8"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首次公开 发行股票 并在创业 板上市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29,902.66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31,721.92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重大资产 重组募集 配套资金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转入公司 基本户内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非公开发 行股票募 集资金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31,378.63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12,212.84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12,236.65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19,141.98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储于募集 资金专户 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68,376.69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12,382.23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51,053.97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19,142.3</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786" w:hRule="exact"/>
        </w:trPr>
        <w:tc>
          <w:tcPr>
            <w:tcW w:w="95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①募集资金金额及到位情况：</w:t>
            </w:r>
          </w:p>
          <w:p>
            <w:pPr>
              <w:pStyle w:val="TableParagraph"/>
              <w:spacing w:line="300" w:lineRule="auto" w:before="116"/>
              <w:ind w:left="22"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中国证监会监督管理委员会《关于核准郑州新开普电子股份有限公司首次公开发行股票并在创业板上市的批复》（证监许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可</w:t>
            </w:r>
            <w:r>
              <w:rPr>
                <w:rFonts w:ascii="Times New Roman" w:hAnsi="Times New Roman" w:cs="Times New Roman" w:eastAsia="Times New Roman" w:hint="default"/>
                <w:sz w:val="18"/>
                <w:szCs w:val="18"/>
              </w:rPr>
              <w:t>[2011]1067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号）核准，向社会公众发行人民币普通股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1,120 </w:t>
            </w:r>
            <w:r>
              <w:rPr>
                <w:rFonts w:ascii="宋体" w:hAnsi="宋体" w:cs="宋体" w:eastAsia="宋体" w:hint="default"/>
                <w:spacing w:val="-3"/>
                <w:sz w:val="18"/>
                <w:szCs w:val="18"/>
              </w:rPr>
              <w:t>万股，股票面值为人民币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3"/>
                <w:sz w:val="18"/>
                <w:szCs w:val="18"/>
              </w:rPr>
              <w:t>元，发行价格每股人民币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元，公司募集资金总额为人民币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万元，扣除各项发行费用合计人民币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3,697.34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万元，实际募集资金净额为人民币</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29,902.66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万元，其中其他与主营业务相关的营运资金（超募资金）人民币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13,877.56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万元。利安达会计师事务所有限责任</w:t>
            </w:r>
          </w:p>
          <w:p>
            <w:pPr>
              <w:pStyle w:val="TableParagraph"/>
              <w:spacing w:line="312" w:lineRule="auto" w:before="63"/>
              <w:ind w:left="22" w:right="20"/>
              <w:jc w:val="both"/>
              <w:rPr>
                <w:rFonts w:ascii="宋体" w:hAnsi="宋体" w:cs="宋体" w:eastAsia="宋体" w:hint="default"/>
                <w:sz w:val="18"/>
                <w:szCs w:val="18"/>
              </w:rPr>
            </w:pPr>
            <w:r>
              <w:rPr>
                <w:rFonts w:ascii="宋体" w:hAnsi="宋体" w:cs="宋体" w:eastAsia="宋体" w:hint="default"/>
                <w:spacing w:val="-1"/>
                <w:sz w:val="18"/>
                <w:szCs w:val="18"/>
              </w:rPr>
              <w:t>公司已对公司首次公开发行股票的资金到位情况进行了审验，并出具利安达验字</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第</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1067</w:t>
            </w:r>
            <w:r>
              <w:rPr>
                <w:rFonts w:ascii="Times New Roman" w:hAnsi="Times New Roman" w:cs="Times New Roman" w:eastAsia="Times New Roman" w:hint="default"/>
                <w:spacing w:val="11"/>
                <w:sz w:val="18"/>
                <w:szCs w:val="18"/>
              </w:rPr>
              <w:t> </w:t>
            </w:r>
            <w:r>
              <w:rPr>
                <w:rFonts w:ascii="宋体" w:hAnsi="宋体" w:cs="宋体" w:eastAsia="宋体" w:hint="default"/>
                <w:spacing w:val="-8"/>
                <w:sz w:val="18"/>
                <w:szCs w:val="18"/>
              </w:rPr>
              <w:t>号《验资报告》。根据《深</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圳证券交易所创业板股票上市规则》、《深圳证券交易所创业板上市公司规范运作指引》等相关法律法规，公司与保荐机构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南京证券股份有限公司分别与中国银行股份有限公司郑州高新技术开发区支行、交通银行股份有限公司郑州高新技术开发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区支行两家银行签订《募集资金三方监管协议》，对公司募集资金进行监管，并开设了募集资金专用账户。</w:t>
            </w:r>
          </w:p>
          <w:p>
            <w:pPr>
              <w:pStyle w:val="TableParagraph"/>
              <w:spacing w:line="240" w:lineRule="auto" w:before="6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经中国证券监督管理委员会《关于核准新开普电子股份有限公司向刘永春等发行股份购买资产并募集配套资金的批复》</w:t>
            </w:r>
          </w:p>
          <w:p>
            <w:pPr>
              <w:pStyle w:val="TableParagraph"/>
              <w:spacing w:line="300" w:lineRule="auto" w:before="63"/>
              <w:ind w:left="22" w:right="35"/>
              <w:jc w:val="both"/>
              <w:rPr>
                <w:rFonts w:ascii="宋体" w:hAnsi="宋体" w:cs="宋体" w:eastAsia="宋体" w:hint="default"/>
                <w:sz w:val="18"/>
                <w:szCs w:val="18"/>
              </w:rPr>
            </w:pP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[2015]1417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号）核准，本公司非公开向郑州佳辰、罗会军、柳楠、吴凤辉发行人民币普通股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5,645,729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 股面值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元，每股发行价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79,999,979.93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元，扣除支付的各项发行费用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9,045,931.19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元后的实际</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70,954,048.74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日全部到位，该募集资金已经立信会计师事务所（特殊普通合伙）验</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pacing w:val="-1"/>
                <w:sz w:val="18"/>
                <w:szCs w:val="18"/>
              </w:rPr>
              <w:t>证，并出具了信会师报字</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第</w:t>
            </w:r>
            <w:r>
              <w:rPr>
                <w:rFonts w:ascii="宋体" w:hAnsi="宋体" w:cs="宋体" w:eastAsia="宋体" w:hint="default"/>
                <w:spacing w:val="-32"/>
                <w:sz w:val="18"/>
                <w:szCs w:val="18"/>
              </w:rPr>
              <w:t> </w:t>
            </w:r>
            <w:r>
              <w:rPr>
                <w:rFonts w:ascii="Times New Roman" w:hAnsi="Times New Roman" w:cs="Times New Roman" w:eastAsia="Times New Roman" w:hint="default"/>
                <w:spacing w:val="-2"/>
                <w:sz w:val="18"/>
                <w:szCs w:val="18"/>
              </w:rPr>
              <w:t>711441</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号验资报告。根据《深圳证券交易所创业板股票上市规则》、《深圳证券交易所创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业板上市公司规范运作指引》等相关法律法规，公司与保荐机构南京证券股份有限公司与中国银行股份有限公司郑州高新</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技术开发区支行签订《募集资金三方监管协议》，对公司募集资金进行监管，并开设了募集资金专用账户。</w:t>
            </w:r>
          </w:p>
          <w:p>
            <w:pPr>
              <w:pStyle w:val="TableParagraph"/>
              <w:spacing w:line="300" w:lineRule="auto" w:before="62"/>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经中国证券监督管理委员会《关于核准新开普电子股份有限公司非公开发行股票的批复》证监许可【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1324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号文核 准，公司以非公开发行的方式发行 </w:t>
            </w:r>
            <w:r>
              <w:rPr>
                <w:rFonts w:ascii="Times New Roman" w:hAnsi="Times New Roman" w:cs="Times New Roman" w:eastAsia="Times New Roman" w:hint="default"/>
                <w:sz w:val="18"/>
                <w:szCs w:val="18"/>
              </w:rPr>
              <w:t>13,000,000  </w:t>
            </w:r>
            <w:r>
              <w:rPr>
                <w:rFonts w:ascii="宋体" w:hAnsi="宋体" w:cs="宋体" w:eastAsia="宋体" w:hint="default"/>
                <w:sz w:val="18"/>
                <w:szCs w:val="18"/>
              </w:rPr>
              <w:t>股人民币普 </w:t>
            </w:r>
            <w:r>
              <w:rPr>
                <w:rFonts w:ascii="宋体" w:hAnsi="宋体" w:cs="宋体" w:eastAsia="宋体" w:hint="default"/>
                <w:w w:val="99"/>
                <w:sz w:val="18"/>
                <w:szCs w:val="18"/>
              </w:rPr>
              <w:t>通股（</w:t>
            </w:r>
            <w:r>
              <w:rPr>
                <w:rFonts w:ascii="Times New Roman" w:hAnsi="Times New Roman" w:cs="Times New Roman" w:eastAsia="Times New Roman" w:hint="default"/>
                <w:w w:val="99"/>
                <w:sz w:val="18"/>
                <w:szCs w:val="18"/>
              </w:rPr>
              <w:t>A  </w:t>
            </w:r>
            <w:r>
              <w:rPr>
                <w:rFonts w:ascii="宋体" w:hAnsi="宋体" w:cs="宋体" w:eastAsia="宋体" w:hint="default"/>
                <w:spacing w:val="-12"/>
                <w:sz w:val="18"/>
                <w:szCs w:val="18"/>
              </w:rPr>
              <w:t>股），发行价格为</w:t>
            </w:r>
            <w:r>
              <w:rPr>
                <w:rFonts w:ascii="宋体" w:hAnsi="宋体" w:cs="宋体" w:eastAsia="宋体" w:hint="default"/>
                <w:sz w:val="18"/>
                <w:szCs w:val="18"/>
              </w:rPr>
              <w:t> </w:t>
            </w:r>
            <w:r>
              <w:rPr>
                <w:rFonts w:ascii="Times New Roman" w:hAnsi="Times New Roman" w:cs="Times New Roman" w:eastAsia="Times New Roman" w:hint="default"/>
                <w:sz w:val="18"/>
                <w:szCs w:val="18"/>
              </w:rPr>
              <w:t>25.00 </w:t>
            </w:r>
            <w:r>
              <w:rPr>
                <w:rFonts w:ascii="Times New Roman" w:hAnsi="Times New Roman" w:cs="Times New Roman" w:eastAsia="Times New Roman" w:hint="default"/>
                <w:spacing w:val="4"/>
                <w:sz w:val="18"/>
                <w:szCs w:val="18"/>
              </w:rPr>
              <w:t> </w:t>
            </w:r>
            <w:r>
              <w:rPr>
                <w:rFonts w:ascii="宋体" w:hAnsi="宋体" w:cs="宋体" w:eastAsia="宋体" w:hint="default"/>
                <w:spacing w:val="-1"/>
                <w:w w:val="100"/>
                <w:sz w:val="18"/>
                <w:szCs w:val="18"/>
              </w:rPr>
              <w:t>元</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股，募集资金总额为</w:t>
            </w:r>
          </w:p>
        </w:tc>
      </w:tr>
    </w:tbl>
    <w:p>
      <w:pPr>
        <w:spacing w:after="0" w:line="300"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2"/>
          <w:szCs w:val="22"/>
        </w:rPr>
      </w:pPr>
      <w:r>
        <w:rPr/>
        <w:pict>
          <v:group style="position:absolute;margin-left:56.219978pt;margin-top:71.759956pt;width:479.1pt;height:688.7pt;mso-position-horizontal-relative:page;mso-position-vertical-relative:page;z-index:-1223656" coordorigin="1124,1435" coordsize="9582,13774">
            <v:group style="position:absolute;left:1129;top:1445;width:9573;height:2" coordorigin="1129,1445" coordsize="9573,2">
              <v:shape style="position:absolute;left:1129;top:1445;width:9573;height:2" coordorigin="1129,1445" coordsize="9573,0" path="m1129,1445l10702,1445e" filled="false" stroked="true" strokeweight=".48004pt" strokecolor="#000000">
                <v:path arrowok="t"/>
              </v:shape>
            </v:group>
            <v:group style="position:absolute;left:1134;top:1440;width:2;height:13764" coordorigin="1134,1440" coordsize="2,13764">
              <v:shape style="position:absolute;left:1134;top:1440;width:2;height:13764" coordorigin="1134,1440" coordsize="0,13764" path="m1134,1440l1134,15204e" filled="false" stroked="true" strokeweight=".48001pt" strokecolor="#000000">
                <v:path arrowok="t"/>
              </v:shape>
            </v:group>
            <v:group style="position:absolute;left:1129;top:15199;width:9563;height:2" coordorigin="1129,15199" coordsize="9563,2">
              <v:shape style="position:absolute;left:1129;top:15199;width:9563;height:2" coordorigin="1129,15199" coordsize="9563,0" path="m1129,15199l10692,15199e" filled="false" stroked="true" strokeweight=".48001pt" strokecolor="#000000">
                <v:path arrowok="t"/>
              </v:shape>
            </v:group>
            <v:group style="position:absolute;left:10697;top:1440;width:2;height:13764" coordorigin="10697,1440" coordsize="2,13764">
              <v:shape style="position:absolute;left:10697;top:1440;width:2;height:13764" coordorigin="10697,1440" coordsize="0,13764" path="m10697,1440l10697,15204e" filled="false" stroked="true" strokeweight=".47998pt" strokecolor="#000000">
                <v:path arrowok="t"/>
              </v:shape>
            </v:group>
            <w10:wrap type="none"/>
          </v:group>
        </w:pict>
      </w:r>
    </w:p>
    <w:p>
      <w:pPr>
        <w:spacing w:before="44"/>
        <w:ind w:left="181"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325,000,00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元，扣除各项发行费用共计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1,213,679.30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元（含进项税 </w:t>
      </w:r>
      <w:r>
        <w:rPr>
          <w:rFonts w:ascii="Times New Roman" w:hAnsi="Times New Roman" w:cs="Times New Roman" w:eastAsia="Times New Roman" w:hint="default"/>
          <w:sz w:val="18"/>
          <w:szCs w:val="18"/>
        </w:rPr>
        <w:t>577,387.85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，实际募集资金净额为</w:t>
      </w:r>
    </w:p>
    <w:p>
      <w:pPr>
        <w:spacing w:before="63"/>
        <w:ind w:left="181"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313,786,320.70  </w:t>
      </w:r>
      <w:r>
        <w:rPr>
          <w:rFonts w:ascii="宋体" w:hAnsi="宋体" w:cs="宋体" w:eastAsia="宋体" w:hint="default"/>
          <w:sz w:val="18"/>
          <w:szCs w:val="18"/>
        </w:rPr>
        <w:t>元。立信会计师事务所（特殊普通合伙）已于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日对公司本次非公开发行股票的募集资</w:t>
      </w:r>
    </w:p>
    <w:p>
      <w:pPr>
        <w:spacing w:before="64"/>
        <w:ind w:left="181" w:right="133" w:firstLine="0"/>
        <w:jc w:val="left"/>
        <w:rPr>
          <w:rFonts w:ascii="宋体" w:hAnsi="宋体" w:cs="宋体" w:eastAsia="宋体" w:hint="default"/>
          <w:sz w:val="18"/>
          <w:szCs w:val="18"/>
        </w:rPr>
      </w:pPr>
      <w:r>
        <w:rPr>
          <w:rFonts w:ascii="宋体" w:hAnsi="宋体" w:cs="宋体" w:eastAsia="宋体" w:hint="default"/>
          <w:sz w:val="18"/>
          <w:szCs w:val="18"/>
        </w:rPr>
        <w:t>金到位情况进行了审验，并出具了</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信会</w:t>
      </w:r>
      <w:r>
        <w:rPr>
          <w:rFonts w:ascii="宋体" w:hAnsi="宋体" w:cs="宋体" w:eastAsia="宋体" w:hint="default"/>
          <w:spacing w:val="1"/>
          <w:sz w:val="18"/>
          <w:szCs w:val="18"/>
        </w:rPr>
        <w:t>师</w:t>
      </w:r>
      <w:r>
        <w:rPr>
          <w:rFonts w:ascii="宋体" w:hAnsi="宋体" w:cs="宋体" w:eastAsia="宋体" w:hint="default"/>
          <w:sz w:val="18"/>
          <w:szCs w:val="18"/>
        </w:rPr>
        <w:t>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 </w:t>
      </w:r>
      <w:r>
        <w:rPr>
          <w:rFonts w:ascii="Times New Roman" w:hAnsi="Times New Roman" w:cs="Times New Roman" w:eastAsia="Times New Roman" w:hint="default"/>
          <w:sz w:val="18"/>
          <w:szCs w:val="18"/>
        </w:rPr>
        <w:t>712073  </w:t>
      </w:r>
      <w:r>
        <w:rPr>
          <w:rFonts w:ascii="宋体" w:hAnsi="宋体" w:cs="宋体" w:eastAsia="宋体" w:hint="default"/>
          <w:sz w:val="18"/>
          <w:szCs w:val="18"/>
        </w:rPr>
        <w:t>号</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《验资报告</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302" w:lineRule="auto" w:before="102"/>
        <w:ind w:left="181" w:right="254" w:firstLine="0"/>
        <w:jc w:val="left"/>
        <w:rPr>
          <w:rFonts w:ascii="宋体" w:hAnsi="宋体" w:cs="宋体" w:eastAsia="宋体" w:hint="default"/>
          <w:sz w:val="18"/>
          <w:szCs w:val="18"/>
        </w:rPr>
      </w:pPr>
      <w:r>
        <w:rPr>
          <w:rFonts w:ascii="宋体" w:hAnsi="宋体" w:cs="宋体" w:eastAsia="宋体" w:hint="default"/>
          <w:sz w:val="18"/>
          <w:szCs w:val="18"/>
        </w:rPr>
        <w:t>②募集资金的实际使用情况：公司募集资金总额为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74,099.99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万元，扣除发行费用后净额为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68,376.69</w:t>
      </w:r>
      <w:r>
        <w:rPr>
          <w:rFonts w:ascii="宋体" w:hAnsi="宋体" w:cs="宋体" w:eastAsia="宋体" w:hint="default"/>
          <w:sz w:val="18"/>
          <w:szCs w:val="18"/>
        </w:rPr>
        <w:t>。报告期投入募集资 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12,382.23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万元，已累计投入募集资金总额为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51,053.97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50"/>
        <w:ind w:left="181"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日，募集资金投资项目资金使用情况：</w:t>
      </w:r>
    </w:p>
    <w:p>
      <w:pPr>
        <w:spacing w:before="102"/>
        <w:ind w:left="181" w:right="133" w:firstLine="0"/>
        <w:jc w:val="left"/>
        <w:rPr>
          <w:rFonts w:ascii="宋体" w:hAnsi="宋体" w:cs="宋体" w:eastAsia="宋体" w:hint="default"/>
          <w:sz w:val="18"/>
          <w:szCs w:val="18"/>
        </w:rPr>
      </w:pPr>
      <w:r>
        <w:rPr>
          <w:rFonts w:ascii="宋体" w:hAnsi="宋体" w:cs="宋体" w:eastAsia="宋体" w:hint="default"/>
          <w:sz w:val="18"/>
          <w:szCs w:val="18"/>
        </w:rPr>
        <w:t>ⅰ</w:t>
      </w:r>
      <w:r>
        <w:rPr>
          <w:rFonts w:ascii="Times New Roman" w:hAnsi="Times New Roman" w:cs="Times New Roman" w:eastAsia="Times New Roman" w:hint="default"/>
          <w:sz w:val="18"/>
          <w:szCs w:val="18"/>
        </w:rPr>
        <w:t>.</w:t>
      </w:r>
      <w:r>
        <w:rPr>
          <w:rFonts w:ascii="宋体" w:hAnsi="宋体" w:cs="宋体" w:eastAsia="宋体" w:hint="default"/>
          <w:sz w:val="18"/>
          <w:szCs w:val="18"/>
        </w:rPr>
        <w:t>智能一卡通整体解决方案技术升级及产业化项目支出金额为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10,540.60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spacing w:before="103"/>
        <w:ind w:left="181" w:right="133" w:firstLine="0"/>
        <w:jc w:val="left"/>
        <w:rPr>
          <w:rFonts w:ascii="宋体" w:hAnsi="宋体" w:cs="宋体" w:eastAsia="宋体" w:hint="default"/>
          <w:sz w:val="18"/>
          <w:szCs w:val="18"/>
        </w:rPr>
      </w:pPr>
      <w:r>
        <w:rPr>
          <w:rFonts w:ascii="宋体" w:hAnsi="宋体" w:cs="宋体" w:eastAsia="宋体" w:hint="default"/>
          <w:sz w:val="18"/>
          <w:szCs w:val="18"/>
        </w:rPr>
        <w:t>ⅱ</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研发中心升级扩建项目支出金额为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3,957.58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338" w:lineRule="auto" w:before="102"/>
        <w:ind w:left="181" w:right="5099" w:firstLine="0"/>
        <w:jc w:val="left"/>
        <w:rPr>
          <w:rFonts w:ascii="宋体" w:hAnsi="宋体" w:cs="宋体" w:eastAsia="宋体" w:hint="default"/>
          <w:sz w:val="18"/>
          <w:szCs w:val="18"/>
        </w:rPr>
      </w:pPr>
      <w:r>
        <w:rPr>
          <w:rFonts w:ascii="宋体" w:hAnsi="宋体" w:cs="宋体" w:eastAsia="宋体" w:hint="default"/>
          <w:sz w:val="18"/>
          <w:szCs w:val="18"/>
        </w:rPr>
        <w:t>ⅲ</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营销与客服网络扩建项目支出金额为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2,379.30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ⅳ</w:t>
      </w:r>
      <w:r>
        <w:rPr>
          <w:rFonts w:ascii="Times New Roman" w:hAnsi="Times New Roman" w:cs="Times New Roman" w:eastAsia="Times New Roman" w:hint="default"/>
          <w:sz w:val="18"/>
          <w:szCs w:val="18"/>
        </w:rPr>
        <w:t>.</w:t>
      </w:r>
      <w:r>
        <w:rPr>
          <w:rFonts w:ascii="宋体" w:hAnsi="宋体" w:cs="宋体" w:eastAsia="宋体" w:hint="default"/>
          <w:sz w:val="18"/>
          <w:szCs w:val="18"/>
        </w:rPr>
        <w:t>收购迪科远望</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股权项目支出金额为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7,095.40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ⅴ</w:t>
      </w:r>
      <w:r>
        <w:rPr>
          <w:rFonts w:ascii="Times New Roman" w:hAnsi="Times New Roman" w:cs="Times New Roman" w:eastAsia="Times New Roman" w:hint="default"/>
          <w:sz w:val="18"/>
          <w:szCs w:val="18"/>
        </w:rPr>
        <w:t>.</w:t>
      </w:r>
      <w:r>
        <w:rPr>
          <w:rFonts w:ascii="宋体" w:hAnsi="宋体" w:cs="宋体" w:eastAsia="宋体" w:hint="default"/>
          <w:sz w:val="18"/>
          <w:szCs w:val="18"/>
        </w:rPr>
        <w:t>高校移动互联服务平台项目支出金额为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1,488.47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20"/>
        <w:ind w:left="181" w:right="133" w:firstLine="0"/>
        <w:jc w:val="left"/>
        <w:rPr>
          <w:rFonts w:ascii="宋体" w:hAnsi="宋体" w:cs="宋体" w:eastAsia="宋体" w:hint="default"/>
          <w:sz w:val="18"/>
          <w:szCs w:val="18"/>
        </w:rPr>
      </w:pPr>
      <w:r>
        <w:rPr>
          <w:rFonts w:ascii="宋体" w:hAnsi="宋体" w:cs="宋体" w:eastAsia="宋体" w:hint="default"/>
          <w:sz w:val="18"/>
          <w:szCs w:val="18"/>
        </w:rPr>
        <w:t>ⅵ</w:t>
      </w:r>
      <w:r>
        <w:rPr>
          <w:rFonts w:ascii="Times New Roman" w:hAnsi="Times New Roman" w:cs="Times New Roman" w:eastAsia="Times New Roman" w:hint="default"/>
          <w:sz w:val="18"/>
          <w:szCs w:val="18"/>
        </w:rPr>
        <w:t>.</w:t>
      </w:r>
      <w:r>
        <w:rPr>
          <w:rFonts w:ascii="宋体" w:hAnsi="宋体" w:cs="宋体" w:eastAsia="宋体" w:hint="default"/>
          <w:sz w:val="18"/>
          <w:szCs w:val="18"/>
        </w:rPr>
        <w:t>职业教育产业基地建设项目支出金额为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1,748.18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319" w:lineRule="auto" w:before="102"/>
        <w:ind w:left="181" w:right="264" w:firstLine="0"/>
        <w:jc w:val="left"/>
        <w:rPr>
          <w:rFonts w:ascii="宋体" w:hAnsi="宋体" w:cs="宋体" w:eastAsia="宋体" w:hint="default"/>
          <w:sz w:val="18"/>
          <w:szCs w:val="18"/>
        </w:rPr>
      </w:pPr>
      <w:r>
        <w:rPr>
          <w:rFonts w:ascii="宋体" w:hAnsi="宋体" w:cs="宋体" w:eastAsia="宋体" w:hint="default"/>
          <w:sz w:val="18"/>
          <w:szCs w:val="18"/>
        </w:rPr>
        <w:t>ⅶ</w:t>
      </w:r>
      <w:r>
        <w:rPr>
          <w:rFonts w:ascii="Times New Roman" w:hAnsi="Times New Roman" w:cs="Times New Roman" w:eastAsia="Times New Roman" w:hint="default"/>
          <w:sz w:val="18"/>
          <w:szCs w:val="18"/>
        </w:rPr>
        <w:t>.</w:t>
      </w:r>
      <w:r>
        <w:rPr>
          <w:rFonts w:ascii="宋体" w:hAnsi="宋体" w:cs="宋体" w:eastAsia="宋体" w:hint="default"/>
          <w:sz w:val="18"/>
          <w:szCs w:val="18"/>
        </w:rPr>
        <w:t>补充流动资金支出金额为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鉴于公司</w:t>
      </w:r>
      <w:r>
        <w:rPr>
          <w:rFonts w:ascii="Times New Roman" w:hAnsi="Times New Roman" w:cs="Times New Roman" w:eastAsia="Times New Roman" w:hint="default"/>
          <w:sz w:val="18"/>
          <w:szCs w:val="18"/>
        </w:rPr>
        <w:t>“</w:t>
      </w:r>
      <w:r>
        <w:rPr>
          <w:rFonts w:ascii="宋体" w:hAnsi="宋体" w:cs="宋体" w:eastAsia="宋体" w:hint="default"/>
          <w:sz w:val="18"/>
          <w:szCs w:val="18"/>
        </w:rPr>
        <w:t>智能一卡通整体解决方案技术升级及产业化项目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研发中心升级扩建项目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营销与客服网络扩建项目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三个 募集资金投资项目建设已达到预期目的，经公司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年年度股东大会审议通过，公司对上述三个募集资金投资项目进行</w:t>
      </w:r>
    </w:p>
    <w:p>
      <w:pPr>
        <w:spacing w:line="246" w:lineRule="exact" w:before="0"/>
        <w:ind w:left="181" w:right="133" w:firstLine="0"/>
        <w:jc w:val="left"/>
        <w:rPr>
          <w:rFonts w:ascii="宋体" w:hAnsi="宋体" w:cs="宋体" w:eastAsia="宋体" w:hint="default"/>
          <w:sz w:val="18"/>
          <w:szCs w:val="18"/>
        </w:rPr>
      </w:pPr>
      <w:r>
        <w:rPr>
          <w:rFonts w:ascii="宋体" w:hAnsi="宋体" w:cs="宋体" w:eastAsia="宋体" w:hint="default"/>
          <w:sz w:val="18"/>
          <w:szCs w:val="18"/>
        </w:rPr>
        <w:t>结项，并将账户剩余的募集资金共计约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926.24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万元（含节余资金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117.74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万元、应付未付金额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808.50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万元）永久性补充流</w:t>
      </w:r>
    </w:p>
    <w:p>
      <w:pPr>
        <w:spacing w:before="63"/>
        <w:ind w:left="181" w:right="133" w:firstLine="0"/>
        <w:jc w:val="left"/>
        <w:rPr>
          <w:rFonts w:ascii="宋体" w:hAnsi="宋体" w:cs="宋体" w:eastAsia="宋体" w:hint="default"/>
          <w:sz w:val="18"/>
          <w:szCs w:val="18"/>
        </w:rPr>
      </w:pPr>
      <w:r>
        <w:rPr>
          <w:rFonts w:ascii="宋体" w:hAnsi="宋体" w:cs="宋体" w:eastAsia="宋体" w:hint="default"/>
          <w:sz w:val="18"/>
          <w:szCs w:val="18"/>
        </w:rPr>
        <w:t>动资金，募集资金专户已经注销，故募集资金投资项目应付未付金额由公司自有资金进行支付，截至</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spacing w:before="64"/>
        <w:ind w:left="181" w:right="133" w:firstLine="0"/>
        <w:jc w:val="left"/>
        <w:rPr>
          <w:rFonts w:ascii="宋体" w:hAnsi="宋体" w:cs="宋体" w:eastAsia="宋体" w:hint="default"/>
          <w:sz w:val="18"/>
          <w:szCs w:val="18"/>
        </w:rPr>
      </w:pPr>
      <w:r>
        <w:rPr>
          <w:rFonts w:ascii="宋体" w:hAnsi="宋体" w:cs="宋体" w:eastAsia="宋体" w:hint="default"/>
          <w:sz w:val="18"/>
          <w:szCs w:val="18"/>
        </w:rPr>
        <w:t>公司募集资金投资项目应付未付金额 </w:t>
      </w:r>
      <w:r>
        <w:rPr>
          <w:rFonts w:ascii="Times New Roman" w:hAnsi="Times New Roman" w:cs="Times New Roman" w:eastAsia="Times New Roman" w:hint="default"/>
          <w:sz w:val="18"/>
          <w:szCs w:val="18"/>
        </w:rPr>
        <w:t>39.48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101"/>
        <w:ind w:left="181" w:right="133"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年非公开发行股票募集资金于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月到位，本次非公开发行股票的募集资金总额为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万元，扣除承</w:t>
      </w:r>
    </w:p>
    <w:p>
      <w:pPr>
        <w:spacing w:line="307" w:lineRule="auto" w:before="63"/>
        <w:ind w:left="181" w:right="133" w:firstLine="0"/>
        <w:jc w:val="left"/>
        <w:rPr>
          <w:rFonts w:ascii="宋体" w:hAnsi="宋体" w:cs="宋体" w:eastAsia="宋体" w:hint="default"/>
          <w:sz w:val="18"/>
          <w:szCs w:val="18"/>
        </w:rPr>
      </w:pPr>
      <w:r>
        <w:rPr>
          <w:rFonts w:ascii="宋体" w:hAnsi="宋体" w:cs="宋体" w:eastAsia="宋体" w:hint="default"/>
          <w:sz w:val="18"/>
          <w:szCs w:val="18"/>
        </w:rPr>
        <w:t>销费用及其他发行费用后，实际募集资金净额为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31,378.63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万元，实际募集资金净额少于拟投入的募集资金总额。公司根 </w:t>
      </w:r>
      <w:r>
        <w:rPr>
          <w:rFonts w:ascii="宋体" w:hAnsi="宋体" w:cs="宋体" w:eastAsia="宋体" w:hint="default"/>
          <w:spacing w:val="-1"/>
          <w:sz w:val="18"/>
          <w:szCs w:val="18"/>
        </w:rPr>
        <w:t>据本次非公开发行股票的发行结果及实际募集资金净额，并经过第三届董事会第三十四次会议、第三届监事会第二十三次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会议审议通过，公司调整了募集资金投资项目的具体投资金额，募集资金不足部分通过公司自筹资金解决。</w:t>
      </w:r>
      <w:r>
        <w:rPr>
          <w:rFonts w:ascii="Times New Roman" w:hAnsi="Times New Roman" w:cs="Times New Roman" w:eastAsia="Times New Roman" w:hint="default"/>
          <w:sz w:val="18"/>
          <w:szCs w:val="18"/>
        </w:rPr>
        <w:t>“</w:t>
      </w:r>
      <w:r>
        <w:rPr>
          <w:rFonts w:ascii="宋体" w:hAnsi="宋体" w:cs="宋体" w:eastAsia="宋体" w:hint="default"/>
          <w:sz w:val="18"/>
          <w:szCs w:val="18"/>
        </w:rPr>
        <w:t>高校移动互 联服务平台项目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职业教育产业基地建设项目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于募集资金到位后开始建设。</w:t>
      </w:r>
    </w:p>
    <w:p>
      <w:pPr>
        <w:spacing w:before="46"/>
        <w:ind w:left="181"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日，超募资金使用情况：</w:t>
      </w:r>
    </w:p>
    <w:p>
      <w:pPr>
        <w:spacing w:before="102"/>
        <w:ind w:left="181" w:right="133" w:firstLine="0"/>
        <w:jc w:val="left"/>
        <w:rPr>
          <w:rFonts w:ascii="宋体" w:hAnsi="宋体" w:cs="宋体" w:eastAsia="宋体" w:hint="default"/>
          <w:sz w:val="18"/>
          <w:szCs w:val="18"/>
        </w:rPr>
      </w:pPr>
      <w:r>
        <w:rPr>
          <w:rFonts w:ascii="宋体" w:hAnsi="宋体" w:cs="宋体" w:eastAsia="宋体" w:hint="default"/>
          <w:sz w:val="18"/>
          <w:szCs w:val="18"/>
        </w:rPr>
        <w:t>ⅰ</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日，公司第二届董事会第三次会议及第二届监事会第二次会议审议通过了《关于使用部分超募资金提前</w:t>
      </w:r>
    </w:p>
    <w:p>
      <w:pPr>
        <w:spacing w:line="312" w:lineRule="auto" w:before="63"/>
        <w:ind w:left="181" w:right="133" w:firstLine="0"/>
        <w:jc w:val="left"/>
        <w:rPr>
          <w:rFonts w:ascii="宋体" w:hAnsi="宋体" w:cs="宋体" w:eastAsia="宋体" w:hint="default"/>
          <w:sz w:val="18"/>
          <w:szCs w:val="18"/>
        </w:rPr>
      </w:pPr>
      <w:r>
        <w:rPr>
          <w:rFonts w:ascii="宋体" w:hAnsi="宋体" w:cs="宋体" w:eastAsia="宋体" w:hint="default"/>
          <w:spacing w:val="-6"/>
          <w:sz w:val="18"/>
          <w:szCs w:val="18"/>
        </w:rPr>
        <w:t>偿还银行贷款暨超募资金使用计划的议案》，决定使用</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2,500</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万元超募资金偿还银行贷款；剩余超募资金公司将根据自身发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展规划及实际生产经营需求，按照中国证券监督管理委员会和深圳证券交易所的有关规定，围绕主营业务合理规划资金用</w:t>
      </w:r>
      <w:r>
        <w:rPr>
          <w:rFonts w:ascii="宋体" w:hAnsi="宋体" w:cs="宋体" w:eastAsia="宋体" w:hint="default"/>
          <w:sz w:val="18"/>
          <w:szCs w:val="18"/>
        </w:rPr>
        <w:t> </w:t>
      </w:r>
      <w:r>
        <w:rPr>
          <w:rFonts w:ascii="宋体" w:hAnsi="宋体" w:cs="宋体" w:eastAsia="宋体" w:hint="default"/>
          <w:spacing w:val="-3"/>
          <w:sz w:val="18"/>
          <w:szCs w:val="18"/>
        </w:rPr>
        <w:t>途，谨慎、认真地制订使用计划；公司在实际使用超募资金前，将履行相应的董事会、股东大会等审议程序，并及时披露。</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前述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万元银行贷款已全部偿还完毕；</w:t>
      </w:r>
    </w:p>
    <w:p>
      <w:pPr>
        <w:spacing w:before="41"/>
        <w:ind w:left="181" w:right="133" w:firstLine="0"/>
        <w:jc w:val="left"/>
        <w:rPr>
          <w:rFonts w:ascii="宋体" w:hAnsi="宋体" w:cs="宋体" w:eastAsia="宋体" w:hint="default"/>
          <w:sz w:val="18"/>
          <w:szCs w:val="18"/>
        </w:rPr>
      </w:pPr>
      <w:r>
        <w:rPr>
          <w:rFonts w:ascii="宋体" w:hAnsi="宋体" w:cs="宋体" w:eastAsia="宋体" w:hint="default"/>
          <w:sz w:val="18"/>
          <w:szCs w:val="18"/>
        </w:rPr>
        <w:t>ⅱ</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日，公司第二届董事会第三次会议及第二届监事会第二次会议审议通过了《关于使用闲置募集资金暂时</w:t>
      </w:r>
    </w:p>
    <w:p>
      <w:pPr>
        <w:spacing w:before="63"/>
        <w:ind w:left="181" w:right="133" w:firstLine="0"/>
        <w:jc w:val="left"/>
        <w:rPr>
          <w:rFonts w:ascii="宋体" w:hAnsi="宋体" w:cs="宋体" w:eastAsia="宋体" w:hint="default"/>
          <w:sz w:val="18"/>
          <w:szCs w:val="18"/>
        </w:rPr>
      </w:pPr>
      <w:r>
        <w:rPr>
          <w:rFonts w:ascii="宋体" w:hAnsi="宋体" w:cs="宋体" w:eastAsia="宋体" w:hint="default"/>
          <w:sz w:val="18"/>
          <w:szCs w:val="18"/>
        </w:rPr>
        <w:t>补充流动资金的议案</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公司使用部分闲置募集资金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万元用于暂时性补充流动资金</w:t>
      </w:r>
      <w:r>
        <w:rPr>
          <w:rFonts w:ascii="宋体" w:hAnsi="宋体" w:cs="宋体" w:eastAsia="宋体" w:hint="default"/>
          <w:spacing w:val="-39"/>
          <w:sz w:val="18"/>
          <w:szCs w:val="18"/>
        </w:rPr>
        <w:t>，</w:t>
      </w:r>
      <w:r>
        <w:rPr>
          <w:rFonts w:ascii="宋体" w:hAnsi="宋体" w:cs="宋体" w:eastAsia="宋体" w:hint="default"/>
          <w:sz w:val="18"/>
          <w:szCs w:val="18"/>
        </w:rPr>
        <w:t>补充</w:t>
      </w:r>
      <w:r>
        <w:rPr>
          <w:rFonts w:ascii="宋体" w:hAnsi="宋体" w:cs="宋体" w:eastAsia="宋体" w:hint="default"/>
          <w:spacing w:val="-2"/>
          <w:sz w:val="18"/>
          <w:szCs w:val="18"/>
        </w:rPr>
        <w:t>流</w:t>
      </w:r>
      <w:r>
        <w:rPr>
          <w:rFonts w:ascii="宋体" w:hAnsi="宋体" w:cs="宋体" w:eastAsia="宋体" w:hint="default"/>
          <w:sz w:val="18"/>
          <w:szCs w:val="18"/>
        </w:rPr>
        <w:t>动资金使用期限</w:t>
      </w:r>
      <w:r>
        <w:rPr>
          <w:rFonts w:ascii="宋体" w:hAnsi="宋体" w:cs="宋体" w:eastAsia="宋体" w:hint="default"/>
          <w:spacing w:val="1"/>
          <w:sz w:val="18"/>
          <w:szCs w:val="18"/>
        </w:rPr>
        <w:t>自</w:t>
      </w:r>
      <w:r>
        <w:rPr>
          <w:rFonts w:ascii="宋体" w:hAnsi="宋体" w:cs="宋体" w:eastAsia="宋体" w:hint="default"/>
          <w:sz w:val="18"/>
          <w:szCs w:val="18"/>
        </w:rPr>
        <w:t>董</w:t>
      </w:r>
    </w:p>
    <w:p>
      <w:pPr>
        <w:spacing w:before="63"/>
        <w:ind w:left="181" w:right="133" w:firstLine="0"/>
        <w:jc w:val="left"/>
        <w:rPr>
          <w:rFonts w:ascii="宋体" w:hAnsi="宋体" w:cs="宋体" w:eastAsia="宋体" w:hint="default"/>
          <w:sz w:val="18"/>
          <w:szCs w:val="18"/>
        </w:rPr>
      </w:pPr>
      <w:r>
        <w:rPr>
          <w:rFonts w:ascii="宋体" w:hAnsi="宋体" w:cs="宋体" w:eastAsia="宋体" w:hint="default"/>
          <w:sz w:val="18"/>
          <w:szCs w:val="18"/>
        </w:rPr>
        <w:t>事会批准之日起期限不超过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个月，到期前，公司及时、足额将上述资金归还至募集资金专户。</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日，公司已</w:t>
      </w:r>
    </w:p>
    <w:p>
      <w:pPr>
        <w:spacing w:line="302" w:lineRule="auto" w:before="63"/>
        <w:ind w:left="181" w:right="254" w:firstLine="0"/>
        <w:jc w:val="left"/>
        <w:rPr>
          <w:rFonts w:ascii="宋体" w:hAnsi="宋体" w:cs="宋体" w:eastAsia="宋体" w:hint="default"/>
          <w:sz w:val="18"/>
          <w:szCs w:val="18"/>
        </w:rPr>
      </w:pPr>
      <w:r>
        <w:rPr>
          <w:rFonts w:ascii="宋体" w:hAnsi="宋体" w:cs="宋体" w:eastAsia="宋体" w:hint="default"/>
          <w:sz w:val="18"/>
          <w:szCs w:val="18"/>
        </w:rPr>
        <w:t>将合计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万元一次性归还至公司募集资金专户，并于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日予以公告，同时将上述募集资金的归还情况通 知了保荐机构及保荐代表人；</w:t>
      </w:r>
    </w:p>
    <w:p>
      <w:pPr>
        <w:spacing w:before="68"/>
        <w:ind w:left="181" w:right="133" w:firstLine="0"/>
        <w:jc w:val="left"/>
        <w:rPr>
          <w:rFonts w:ascii="宋体" w:hAnsi="宋体" w:cs="宋体" w:eastAsia="宋体" w:hint="default"/>
          <w:sz w:val="18"/>
          <w:szCs w:val="18"/>
        </w:rPr>
      </w:pPr>
      <w:r>
        <w:rPr>
          <w:rFonts w:ascii="宋体" w:hAnsi="宋体" w:cs="宋体" w:eastAsia="宋体" w:hint="default"/>
          <w:sz w:val="18"/>
          <w:szCs w:val="18"/>
        </w:rPr>
        <w:t>ⅲ</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日，公司第二届董事会第六次会议及第二届监事会第四次会议审议通过了《关于继续使用部分闲置募集</w:t>
      </w:r>
    </w:p>
    <w:p>
      <w:pPr>
        <w:spacing w:before="63"/>
        <w:ind w:left="181" w:right="133" w:firstLine="0"/>
        <w:jc w:val="left"/>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同意公</w:t>
      </w:r>
      <w:r>
        <w:rPr>
          <w:rFonts w:ascii="宋体" w:hAnsi="宋体" w:cs="宋体" w:eastAsia="宋体" w:hint="default"/>
          <w:spacing w:val="-2"/>
          <w:sz w:val="18"/>
          <w:szCs w:val="18"/>
        </w:rPr>
        <w:t>司</w:t>
      </w:r>
      <w:r>
        <w:rPr>
          <w:rFonts w:ascii="宋体" w:hAnsi="宋体" w:cs="宋体" w:eastAsia="宋体" w:hint="default"/>
          <w:sz w:val="18"/>
          <w:szCs w:val="18"/>
        </w:rPr>
        <w:t>继续使用部分闲置募集资金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万元暂时补充流动资金计划</w:t>
      </w:r>
      <w:r>
        <w:rPr>
          <w:rFonts w:ascii="宋体" w:hAnsi="宋体" w:cs="宋体" w:eastAsia="宋体" w:hint="default"/>
          <w:spacing w:val="-39"/>
          <w:sz w:val="18"/>
          <w:szCs w:val="18"/>
        </w:rPr>
        <w:t>，</w:t>
      </w:r>
      <w:r>
        <w:rPr>
          <w:rFonts w:ascii="宋体" w:hAnsi="宋体" w:cs="宋体" w:eastAsia="宋体" w:hint="default"/>
          <w:sz w:val="18"/>
          <w:szCs w:val="18"/>
        </w:rPr>
        <w:t>使用计</w:t>
      </w:r>
      <w:r>
        <w:rPr>
          <w:rFonts w:ascii="宋体" w:hAnsi="宋体" w:cs="宋体" w:eastAsia="宋体" w:hint="default"/>
          <w:spacing w:val="-2"/>
          <w:sz w:val="18"/>
          <w:szCs w:val="18"/>
        </w:rPr>
        <w:t>划</w:t>
      </w:r>
      <w:r>
        <w:rPr>
          <w:rFonts w:ascii="宋体" w:hAnsi="宋体" w:cs="宋体" w:eastAsia="宋体" w:hint="default"/>
          <w:sz w:val="18"/>
          <w:szCs w:val="18"/>
        </w:rPr>
        <w:t>自</w:t>
      </w:r>
      <w:r>
        <w:rPr>
          <w:rFonts w:ascii="宋体" w:hAnsi="宋体" w:cs="宋体" w:eastAsia="宋体" w:hint="default"/>
          <w:spacing w:val="1"/>
          <w:sz w:val="18"/>
          <w:szCs w:val="18"/>
        </w:rPr>
        <w:t>公</w:t>
      </w:r>
      <w:r>
        <w:rPr>
          <w:rFonts w:ascii="宋体" w:hAnsi="宋体" w:cs="宋体" w:eastAsia="宋体" w:hint="default"/>
          <w:sz w:val="18"/>
          <w:szCs w:val="18"/>
        </w:rPr>
        <w:t>告</w:t>
      </w:r>
    </w:p>
    <w:p>
      <w:pPr>
        <w:spacing w:before="63"/>
        <w:ind w:left="181" w:right="133" w:firstLine="0"/>
        <w:jc w:val="left"/>
        <w:rPr>
          <w:rFonts w:ascii="宋体" w:hAnsi="宋体" w:cs="宋体" w:eastAsia="宋体" w:hint="default"/>
          <w:sz w:val="18"/>
          <w:szCs w:val="18"/>
        </w:rPr>
      </w:pPr>
      <w:r>
        <w:rPr>
          <w:rFonts w:ascii="宋体" w:hAnsi="宋体" w:cs="宋体" w:eastAsia="宋体" w:hint="default"/>
          <w:sz w:val="18"/>
          <w:szCs w:val="18"/>
        </w:rPr>
        <w:t>之日起开始实施，使用期限不超过六个月。</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万元人民币一次性归还至公司募集资金</w:t>
      </w:r>
    </w:p>
    <w:p>
      <w:pPr>
        <w:spacing w:before="64"/>
        <w:ind w:left="181" w:right="133" w:firstLine="0"/>
        <w:jc w:val="left"/>
        <w:rPr>
          <w:rFonts w:ascii="宋体" w:hAnsi="宋体" w:cs="宋体" w:eastAsia="宋体" w:hint="default"/>
          <w:sz w:val="18"/>
          <w:szCs w:val="18"/>
        </w:rPr>
      </w:pPr>
      <w:r>
        <w:rPr>
          <w:rFonts w:ascii="宋体" w:hAnsi="宋体" w:cs="宋体" w:eastAsia="宋体" w:hint="default"/>
          <w:sz w:val="18"/>
          <w:szCs w:val="18"/>
        </w:rPr>
        <w:t>专户，并于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日予以公告，同时将上述募集资金的归还情况通知了保荐机构及保荐代表人；</w:t>
      </w:r>
    </w:p>
    <w:p>
      <w:pPr>
        <w:spacing w:before="102"/>
        <w:ind w:left="181" w:right="133" w:firstLine="0"/>
        <w:jc w:val="left"/>
        <w:rPr>
          <w:rFonts w:ascii="宋体" w:hAnsi="宋体" w:cs="宋体" w:eastAsia="宋体" w:hint="default"/>
          <w:sz w:val="18"/>
          <w:szCs w:val="18"/>
        </w:rPr>
      </w:pPr>
      <w:r>
        <w:rPr>
          <w:rFonts w:ascii="宋体" w:hAnsi="宋体" w:cs="宋体" w:eastAsia="宋体" w:hint="default"/>
          <w:sz w:val="18"/>
          <w:szCs w:val="18"/>
        </w:rPr>
        <w:t>ⅳ</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日，公司第二届董事会第十二次会议及第二届监事会第七次会议审议通过了《关于使用部分超募资金永</w:t>
      </w:r>
    </w:p>
    <w:p>
      <w:pPr>
        <w:spacing w:line="309" w:lineRule="auto" w:before="63"/>
        <w:ind w:left="181" w:right="254" w:firstLine="0"/>
        <w:jc w:val="both"/>
        <w:rPr>
          <w:rFonts w:ascii="宋体" w:hAnsi="宋体" w:cs="宋体" w:eastAsia="宋体" w:hint="default"/>
          <w:sz w:val="18"/>
          <w:szCs w:val="18"/>
        </w:rPr>
      </w:pPr>
      <w:r>
        <w:rPr>
          <w:rFonts w:ascii="宋体" w:hAnsi="宋体" w:cs="宋体" w:eastAsia="宋体" w:hint="default"/>
          <w:spacing w:val="-6"/>
          <w:sz w:val="18"/>
          <w:szCs w:val="18"/>
        </w:rPr>
        <w:t>久补充流动资金的议案》，同意公司使用部分超募资金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万元用于永久补充流动资金，剩余超募资金公司将根据自身发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展规划及实际生产经营需求，按照中国证券监督管理委员会和深圳证券交易所的有关规定，围绕主营业务合理规划资金用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途，谨慎、认真地制订使用计划。ⅴ</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日，公司第二届董事会第十七次会议及第二届监事会第十二次会议审</w:t>
      </w:r>
    </w:p>
    <w:p>
      <w:pPr>
        <w:spacing w:after="0" w:line="309"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2"/>
        <w:rPr>
          <w:rFonts w:ascii="宋体" w:hAnsi="宋体" w:cs="宋体" w:eastAsia="宋体" w:hint="default"/>
          <w:sz w:val="24"/>
          <w:szCs w:val="24"/>
        </w:rPr>
      </w:pPr>
    </w:p>
    <w:p>
      <w:pPr>
        <w:spacing w:line="5845" w:lineRule="exact"/>
        <w:ind w:left="144" w:right="0" w:firstLine="0"/>
        <w:rPr>
          <w:rFonts w:ascii="宋体" w:hAnsi="宋体" w:cs="宋体" w:eastAsia="宋体" w:hint="default"/>
          <w:sz w:val="20"/>
          <w:szCs w:val="20"/>
        </w:rPr>
      </w:pPr>
      <w:r>
        <w:rPr>
          <w:rFonts w:ascii="宋体" w:hAnsi="宋体" w:cs="宋体" w:eastAsia="宋体" w:hint="default"/>
          <w:position w:val="-116"/>
          <w:sz w:val="20"/>
          <w:szCs w:val="20"/>
        </w:rPr>
        <w:pict>
          <v:group style="width:481.75pt;height:292.3pt;mso-position-horizontal-relative:char;mso-position-vertical-relative:line" coordorigin="0,0" coordsize="9635,5846">
            <v:group style="position:absolute;left:5;top:10;width:9573;height:2" coordorigin="5,10" coordsize="9573,2">
              <v:shape style="position:absolute;left:5;top:10;width:9573;height:2" coordorigin="5,10" coordsize="9573,0" path="m5,10l9577,10e" filled="false" stroked="true" strokeweight=".48004pt" strokecolor="#000000">
                <v:path arrowok="t"/>
              </v:shape>
            </v:group>
            <v:group style="position:absolute;left:10;top:5;width:2;height:5836" coordorigin="10,5" coordsize="2,5836">
              <v:shape style="position:absolute;left:10;top:5;width:2;height:5836" coordorigin="10,5" coordsize="0,5836" path="m10,5l10,5840e" filled="false" stroked="true" strokeweight=".48001pt" strokecolor="#000000">
                <v:path arrowok="t"/>
              </v:shape>
            </v:group>
            <v:group style="position:absolute;left:5;top:5836;width:9563;height:2" coordorigin="5,5836" coordsize="9563,2">
              <v:shape style="position:absolute;left:5;top:5836;width:9563;height:2" coordorigin="5,5836" coordsize="9563,0" path="m5,5836l9568,5836e" filled="false" stroked="true" strokeweight=".47998pt" strokecolor="#000000">
                <v:path arrowok="t"/>
              </v:shape>
            </v:group>
            <v:group style="position:absolute;left:9572;top:5;width:2;height:5836" coordorigin="9572,5" coordsize="2,5836">
              <v:shape style="position:absolute;left:9572;top:5;width:2;height:5836" coordorigin="9572,5" coordsize="0,5836" path="m9572,5l9572,5840e" filled="false" stroked="true" strokeweight=".47998pt" strokecolor="#000000">
                <v:path arrowok="t"/>
              </v:shape>
              <v:shape style="position:absolute;left:0;top:0;width:9635;height:5846" type="#_x0000_t202" filled="false" stroked="false">
                <v:textbox inset="0,0,0,0">
                  <w:txbxContent>
                    <w:p>
                      <w:pPr>
                        <w:spacing w:before="25"/>
                        <w:ind w:left="37" w:right="0" w:firstLine="0"/>
                        <w:jc w:val="left"/>
                        <w:rPr>
                          <w:rFonts w:ascii="宋体" w:hAnsi="宋体" w:cs="宋体" w:eastAsia="宋体" w:hint="default"/>
                          <w:sz w:val="18"/>
                          <w:szCs w:val="18"/>
                        </w:rPr>
                      </w:pPr>
                      <w:r>
                        <w:rPr>
                          <w:rFonts w:ascii="宋体" w:hAnsi="宋体" w:cs="宋体" w:eastAsia="宋体" w:hint="default"/>
                          <w:sz w:val="18"/>
                          <w:szCs w:val="18"/>
                        </w:rPr>
                        <w:t>议通过</w:t>
                      </w:r>
                      <w:r>
                        <w:rPr>
                          <w:rFonts w:ascii="宋体" w:hAnsi="宋体" w:cs="宋体" w:eastAsia="宋体" w:hint="default"/>
                          <w:spacing w:val="-39"/>
                          <w:sz w:val="18"/>
                          <w:szCs w:val="18"/>
                        </w:rPr>
                        <w:t>了</w:t>
                      </w:r>
                      <w:r>
                        <w:rPr>
                          <w:rFonts w:ascii="宋体" w:hAnsi="宋体" w:cs="宋体" w:eastAsia="宋体" w:hint="default"/>
                          <w:sz w:val="18"/>
                          <w:szCs w:val="18"/>
                        </w:rPr>
                        <w:t>《关</w:t>
                      </w:r>
                      <w:r>
                        <w:rPr>
                          <w:rFonts w:ascii="宋体" w:hAnsi="宋体" w:cs="宋体" w:eastAsia="宋体" w:hint="default"/>
                          <w:spacing w:val="-2"/>
                          <w:sz w:val="18"/>
                          <w:szCs w:val="18"/>
                        </w:rPr>
                        <w:t>于</w:t>
                      </w:r>
                      <w:r>
                        <w:rPr>
                          <w:rFonts w:ascii="宋体" w:hAnsi="宋体" w:cs="宋体" w:eastAsia="宋体" w:hint="default"/>
                          <w:sz w:val="18"/>
                          <w:szCs w:val="18"/>
                        </w:rPr>
                        <w:t>继续使用部分闲置募集资金暂时补充流动资金的议案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pacing w:val="-40"/>
                          <w:sz w:val="18"/>
                          <w:szCs w:val="18"/>
                        </w:rPr>
                        <w:t>，</w:t>
                      </w:r>
                      <w:r>
                        <w:rPr>
                          <w:rFonts w:ascii="宋体" w:hAnsi="宋体" w:cs="宋体" w:eastAsia="宋体" w:hint="default"/>
                          <w:sz w:val="18"/>
                          <w:szCs w:val="18"/>
                        </w:rPr>
                        <w:t>同意公司继续使用部分闲置募集资金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元</w:t>
                      </w:r>
                      <w:r>
                        <w:rPr>
                          <w:rFonts w:ascii="宋体" w:hAnsi="宋体" w:cs="宋体" w:eastAsia="宋体" w:hint="default"/>
                          <w:sz w:val="18"/>
                          <w:szCs w:val="18"/>
                        </w:rPr>
                        <w:t>暂</w:t>
                      </w:r>
                    </w:p>
                    <w:p>
                      <w:pPr>
                        <w:spacing w:before="63"/>
                        <w:ind w:left="37" w:right="0" w:firstLine="0"/>
                        <w:jc w:val="left"/>
                        <w:rPr>
                          <w:rFonts w:ascii="宋体" w:hAnsi="宋体" w:cs="宋体" w:eastAsia="宋体" w:hint="default"/>
                          <w:sz w:val="18"/>
                          <w:szCs w:val="18"/>
                        </w:rPr>
                      </w:pPr>
                      <w:r>
                        <w:rPr>
                          <w:rFonts w:ascii="宋体" w:hAnsi="宋体" w:cs="宋体" w:eastAsia="宋体" w:hint="default"/>
                          <w:sz w:val="18"/>
                          <w:szCs w:val="18"/>
                        </w:rPr>
                        <w:t>时性补充流动资金，使用期限为自董事会批准之日起不超过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个月，到期将及时、足额将上述资金归还至募集资金专户。</w:t>
                      </w:r>
                    </w:p>
                    <w:p>
                      <w:pPr>
                        <w:spacing w:line="302" w:lineRule="auto" w:before="63"/>
                        <w:ind w:left="37" w:right="8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日，公司将合计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万元人民币一次性归还至公司募集资金专户，并将上述募集资金的归还情况通知了 保荐机构及保荐代表人。</w:t>
                      </w:r>
                    </w:p>
                    <w:p>
                      <w:pPr>
                        <w:spacing w:line="300" w:lineRule="auto" w:before="69"/>
                        <w:ind w:left="37" w:right="88" w:firstLine="0"/>
                        <w:jc w:val="left"/>
                        <w:rPr>
                          <w:rFonts w:ascii="宋体" w:hAnsi="宋体" w:cs="宋体" w:eastAsia="宋体" w:hint="default"/>
                          <w:sz w:val="18"/>
                          <w:szCs w:val="18"/>
                        </w:rPr>
                      </w:pPr>
                      <w:r>
                        <w:rPr>
                          <w:rFonts w:ascii="宋体" w:hAnsi="宋体" w:cs="宋体" w:eastAsia="宋体" w:hint="default"/>
                          <w:spacing w:val="-2"/>
                          <w:sz w:val="18"/>
                          <w:szCs w:val="18"/>
                        </w:rPr>
                        <w:t>ⅵ</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为满足公司业务发展的资金需求，合理分配资源，提高募集资金的使用效率，降低公司财务费用，同时在保证募集资金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投资项目的资金需求以及募集资金使用计划正常进行的前提下，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日，经公司第二届董事会第十九次会议及</w:t>
                      </w:r>
                    </w:p>
                    <w:p>
                      <w:pPr>
                        <w:spacing w:before="13"/>
                        <w:ind w:left="37" w:right="0" w:firstLine="0"/>
                        <w:jc w:val="left"/>
                        <w:rPr>
                          <w:rFonts w:ascii="宋体" w:hAnsi="宋体" w:cs="宋体" w:eastAsia="宋体" w:hint="default"/>
                          <w:sz w:val="18"/>
                          <w:szCs w:val="18"/>
                        </w:rPr>
                      </w:pPr>
                      <w:r>
                        <w:rPr>
                          <w:rFonts w:ascii="宋体" w:hAnsi="宋体" w:cs="宋体" w:eastAsia="宋体" w:hint="default"/>
                          <w:sz w:val="18"/>
                          <w:szCs w:val="18"/>
                        </w:rPr>
                        <w:t>第二届监事会第十四次会议通过，公司使用部分超募资金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万元用于永久补充流动资金。该事项已经由公司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307" w:lineRule="auto" w:before="63"/>
                        <w:ind w:left="37"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日召开的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年第三次临时股东大会审议通过。剩余超募资金公司将根据自身发展规划及实际生产经营需求，按 </w:t>
                      </w:r>
                      <w:r>
                        <w:rPr>
                          <w:rFonts w:ascii="宋体" w:hAnsi="宋体" w:cs="宋体" w:eastAsia="宋体" w:hint="default"/>
                          <w:spacing w:val="-3"/>
                          <w:sz w:val="18"/>
                          <w:szCs w:val="18"/>
                        </w:rPr>
                        <w:t>照中国证券监督管理委员会和深圳证券交易所的有关规定，围绕主营业务合理规划资金用途，谨慎、认真地制订使用计划；</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ⅶ</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年年度股东大会审议通过，公司使用部分超募资金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万元用于永久补充流动资 金；</w:t>
                      </w:r>
                    </w:p>
                    <w:p>
                      <w:pPr>
                        <w:spacing w:line="300" w:lineRule="auto" w:before="64"/>
                        <w:ind w:left="37" w:right="89" w:firstLine="0"/>
                        <w:jc w:val="both"/>
                        <w:rPr>
                          <w:rFonts w:ascii="宋体" w:hAnsi="宋体" w:cs="宋体" w:eastAsia="宋体" w:hint="default"/>
                          <w:sz w:val="18"/>
                          <w:szCs w:val="18"/>
                        </w:rPr>
                      </w:pPr>
                      <w:r>
                        <w:rPr>
                          <w:rFonts w:ascii="宋体" w:hAnsi="宋体" w:cs="宋体" w:eastAsia="宋体" w:hint="default"/>
                          <w:sz w:val="18"/>
                          <w:szCs w:val="18"/>
                        </w:rPr>
                        <w:t>ⅷ</w:t>
                      </w:r>
                      <w:r>
                        <w:rPr>
                          <w:rFonts w:ascii="Times New Roman" w:hAnsi="Times New Roman" w:cs="Times New Roman" w:eastAsia="Times New Roman" w:hint="default"/>
                          <w:sz w:val="18"/>
                          <w:szCs w:val="18"/>
                        </w:rPr>
                        <w:t>. 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年第二次临时股东大会审议通过《关于使用超募资金支付收购上海树维信息科技有限公 司</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股权部分现金对价的议案》，计划使用剩余全部超募资金及其利息收入（具体金额以资金转出日当日银行结息余额</w:t>
                      </w:r>
                      <w:r>
                        <w:rPr>
                          <w:rFonts w:ascii="宋体" w:hAnsi="宋体" w:cs="宋体" w:eastAsia="宋体" w:hint="default"/>
                          <w:sz w:val="18"/>
                          <w:szCs w:val="18"/>
                        </w:rPr>
                        <w:t> 为准）支付收购上海树维信息科技有限公司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股权部分现金对价，</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年度，公司共使用超募资金支付上海树维股权 转让价款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5,344.44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52"/>
                        <w:ind w:left="37" w:right="0" w:firstLine="0"/>
                        <w:jc w:val="left"/>
                        <w:rPr>
                          <w:rFonts w:ascii="宋体" w:hAnsi="宋体" w:cs="宋体" w:eastAsia="宋体" w:hint="default"/>
                          <w:sz w:val="18"/>
                          <w:szCs w:val="18"/>
                        </w:rPr>
                      </w:pPr>
                      <w:r>
                        <w:rPr>
                          <w:rFonts w:ascii="宋体" w:hAnsi="宋体" w:cs="宋体" w:eastAsia="宋体" w:hint="default"/>
                          <w:sz w:val="18"/>
                          <w:szCs w:val="18"/>
                        </w:rPr>
                        <w:t>③募集资金投向变更情况：报告期内，公司不存在募集资金投向变更的情形。</w:t>
                      </w:r>
                    </w:p>
                    <w:p>
                      <w:pPr>
                        <w:spacing w:line="319" w:lineRule="auto" w:before="116"/>
                        <w:ind w:left="37" w:right="89" w:firstLine="0"/>
                        <w:jc w:val="left"/>
                        <w:rPr>
                          <w:rFonts w:ascii="宋体" w:hAnsi="宋体" w:cs="宋体" w:eastAsia="宋体" w:hint="default"/>
                          <w:sz w:val="18"/>
                          <w:szCs w:val="18"/>
                        </w:rPr>
                      </w:pPr>
                      <w:r>
                        <w:rPr>
                          <w:rFonts w:ascii="宋体" w:hAnsi="宋体" w:cs="宋体" w:eastAsia="宋体" w:hint="default"/>
                          <w:spacing w:val="-1"/>
                          <w:sz w:val="18"/>
                          <w:szCs w:val="18"/>
                        </w:rPr>
                        <w:t>④募集资金使用及披露中存在的问题：报告期内，公司募集资金使用情况的披露与实际使用情况相符，不存在未及时、真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实、准确、完整披露的情况，也不存在募集资金违规使用的情形。</w:t>
                      </w:r>
                    </w:p>
                  </w:txbxContent>
                </v:textbox>
                <w10:wrap type="none"/>
              </v:shape>
            </v:group>
          </v:group>
        </w:pict>
      </w:r>
      <w:r>
        <w:rPr>
          <w:rFonts w:ascii="宋体" w:hAnsi="宋体" w:cs="宋体" w:eastAsia="宋体" w:hint="default"/>
          <w:position w:val="-116"/>
          <w:sz w:val="20"/>
          <w:szCs w:val="20"/>
        </w:rPr>
      </w:r>
    </w:p>
    <w:p>
      <w:pPr>
        <w:spacing w:line="240" w:lineRule="auto" w:before="11"/>
        <w:rPr>
          <w:rFonts w:ascii="宋体" w:hAnsi="宋体" w:cs="宋体" w:eastAsia="宋体" w:hint="default"/>
          <w:sz w:val="18"/>
          <w:szCs w:val="18"/>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智能一卡通整体解 决方案技术升级及产 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10,286.6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10,286.6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10,540.6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102.47%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9,118.84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研发中心升级扩建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3,466.1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3,957.58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114.18%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营销与客服网络扩 建项目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2,272.4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104.70%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收购迪科远望</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7,095.4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7,095.4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高校移动互联服务 平台项目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9,018.25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9,018.25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1,488.47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1,488.47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16.51%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1pt;height:696.9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职业教育产业基地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13,360.38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13,360.38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1,724.37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1,748.18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13.08%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54,499.13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54,499.13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12,382.23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36,209.53</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9,118.84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支付收购上海树维</w:t>
                        </w:r>
                      </w:p>
                      <w:p>
                        <w:pPr>
                          <w:pStyle w:val="TableParagraph"/>
                          <w:spacing w:line="302" w:lineRule="auto" w:before="6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股权部分现金对</w:t>
                        </w:r>
                        <w:r>
                          <w:rPr>
                            <w:rFonts w:ascii="宋体" w:hAnsi="宋体" w:cs="宋体" w:eastAsia="宋体" w:hint="default"/>
                            <w:w w:val="99"/>
                            <w:sz w:val="18"/>
                            <w:szCs w:val="18"/>
                          </w:rPr>
                          <w:t> </w:t>
                        </w:r>
                        <w:r>
                          <w:rPr>
                            <w:rFonts w:ascii="宋体" w:hAnsi="宋体" w:cs="宋体" w:eastAsia="宋体" w:hint="default"/>
                            <w:sz w:val="18"/>
                            <w:szCs w:val="18"/>
                          </w:rPr>
                          <w:t>价</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5,283.45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5,283.45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5,344.44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101.15%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归还银行贷款</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永久性补充流动资 金</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5,283.45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5,283.45</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14,844.44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59,782.58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59,782.58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12,382.23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51,053.97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9,118.84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834"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、公司首次公开发行股票并在创业板上市超募资金金额为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13,877.56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公司第二届董事会第三次会议及第二届监事会第二次会议审议通过，公司使用超募资金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元提前偿还银行贷款；</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日，经公司第二届董事会第十二次会议及第二届监事会第</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七次会议审议通过，公司使用部分超募资金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万元用于永久补充流动资金；</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年第三次临时股东大会审议通过，公司使用部分超募资金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久补充流动资金；</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年年度股东大会审议通过，公司使用部分超</w:t>
                        </w:r>
                      </w:p>
                      <w:p>
                        <w:pPr>
                          <w:pStyle w:val="TableParagraph"/>
                          <w:spacing w:line="307" w:lineRule="auto" w:before="63"/>
                          <w:ind w:left="22" w:right="71" w:hanging="1"/>
                          <w:jc w:val="both"/>
                          <w:rPr>
                            <w:rFonts w:ascii="宋体" w:hAnsi="宋体" w:cs="宋体" w:eastAsia="宋体" w:hint="default"/>
                            <w:sz w:val="18"/>
                            <w:szCs w:val="18"/>
                          </w:rPr>
                        </w:pPr>
                        <w:r>
                          <w:rPr>
                            <w:rFonts w:ascii="宋体" w:hAnsi="宋体" w:cs="宋体" w:eastAsia="宋体" w:hint="default"/>
                            <w:sz w:val="18"/>
                            <w:szCs w:val="18"/>
                          </w:rPr>
                          <w:t>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万元用于永久补充流动资金；</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 大会审议通过《关于使用超募资金支付收购上海树维信息科技有限公司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股权部分现金对价的 </w:t>
                        </w:r>
                        <w:r>
                          <w:rPr>
                            <w:rFonts w:ascii="宋体" w:hAnsi="宋体" w:cs="宋体" w:eastAsia="宋体" w:hint="default"/>
                            <w:spacing w:val="-3"/>
                            <w:sz w:val="18"/>
                            <w:szCs w:val="18"/>
                          </w:rPr>
                          <w:t>议案》，计划使用剩余全部超募资金及其利息收入（具体金额以资金转出日当日银行结息余额为准</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支付收购上海树维信息科技有限公司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股权部分现金对价，公司于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7"/>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日</w:t>
                        </w:r>
                        <w:r>
                          <w:rPr>
                            <w:rFonts w:ascii="宋体" w:hAnsi="宋体" w:cs="宋体" w:eastAsia="宋体" w:hint="default"/>
                            <w:sz w:val="18"/>
                            <w:szCs w:val="18"/>
                          </w:rPr>
                          <w:t>分别使用超募资金向上海树维支付</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3480.00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1364.</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4</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万元的股权转让对价款，共计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5,344.44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44"/>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0" w:right="158" w:firstLine="0"/>
        <w:jc w:val="right"/>
        <w:rPr>
          <w:rFonts w:ascii="宋体" w:hAnsi="宋体" w:cs="宋体" w:eastAsia="宋体" w:hint="default"/>
          <w:sz w:val="18"/>
          <w:szCs w:val="18"/>
        </w:rPr>
      </w:pPr>
      <w:r>
        <w:rPr/>
        <w:pict>
          <v:shape style="position:absolute;margin-left:56.459999pt;margin-top:-277.448029pt;width:479.1pt;height:379.7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98"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、公司首次公开发行股票并在创业板上市募集资金投资项目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智能一卡通整体解决方案技术升级及 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研发中心升级扩建项目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营销与客服网络扩建项目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已经结项；</w:t>
                        </w:r>
                        <w:r>
                          <w:rPr>
                            <w:rFonts w:ascii="Times New Roman" w:hAnsi="Times New Roman" w:cs="Times New Roman" w:eastAsia="Times New Roman" w:hint="default"/>
                            <w:sz w:val="18"/>
                            <w:szCs w:val="18"/>
                          </w:rPr>
                          <w:t>2</w:t>
                        </w:r>
                        <w:r>
                          <w:rPr>
                            <w:rFonts w:ascii="宋体" w:hAnsi="宋体" w:cs="宋体" w:eastAsia="宋体" w:hint="default"/>
                            <w:sz w:val="18"/>
                            <w:szCs w:val="18"/>
                          </w:rPr>
                          <w:t>、上述三个项目 承诺投入募集资金总额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16,025.10 </w:t>
                        </w:r>
                        <w:r>
                          <w:rPr>
                            <w:rFonts w:ascii="宋体" w:hAnsi="宋体" w:cs="宋体" w:eastAsia="宋体" w:hint="default"/>
                            <w:sz w:val="18"/>
                            <w:szCs w:val="18"/>
                          </w:rPr>
                          <w:t>万元，结项时（截至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9"/>
                            <w:sz w:val="18"/>
                            <w:szCs w:val="18"/>
                          </w:rPr>
                          <w:t>日），募集资金投入总额</w:t>
                        </w:r>
                      </w:p>
                      <w:p>
                        <w:pPr>
                          <w:pStyle w:val="TableParagraph"/>
                          <w:spacing w:line="300" w:lineRule="auto" w:before="13"/>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16,918.15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万元，其中已累计投入募集资金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16,109.65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万元，应付未付金额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808.50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万元，募投项目节 余资金</w:t>
                        </w:r>
                        <w:r>
                          <w:rPr>
                            <w:rFonts w:ascii="Times New Roman" w:hAnsi="Times New Roman" w:cs="Times New Roman" w:eastAsia="Times New Roman" w:hint="default"/>
                            <w:sz w:val="18"/>
                            <w:szCs w:val="18"/>
                          </w:rPr>
                          <w:t>-893.05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万元。由于募集资金专户利息收入（扣除手续费后）净额为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1,010.79</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万元，故节余资</w:t>
                        </w:r>
                        <w:r>
                          <w:rPr>
                            <w:rFonts w:ascii="宋体" w:hAnsi="宋体" w:cs="宋体" w:eastAsia="宋体" w:hint="default"/>
                            <w:sz w:val="18"/>
                            <w:szCs w:val="18"/>
                          </w:rPr>
                          <w:t> 金总计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117.74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、鉴于上述三个项目结项后，公司将募集资金专户内剩余的募集资金共计约</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926.24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万元（含节余资金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117.74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万元、应付未付金额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808.50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万元）永久性补充流动资金，且募集资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金专户已经注销，故募集资金投资项目应付未付金额由公司自有资金进行支付。截至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日，公司本次募集资金投资项目应付未付金额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年重大资产重组募集配套资金专户的注销手续，账户内利</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息余额</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万元转入公司基本户内。</w:t>
                        </w:r>
                        <w:r>
                          <w:rPr>
                            <w:rFonts w:ascii="Times New Roman" w:hAnsi="Times New Roman" w:cs="Times New Roman" w:eastAsia="Times New Roman" w:hint="default"/>
                            <w:sz w:val="18"/>
                            <w:szCs w:val="18"/>
                          </w:rPr>
                          <w:t>2</w:t>
                        </w:r>
                        <w:r>
                          <w:rPr>
                            <w:rFonts w:ascii="宋体" w:hAnsi="宋体" w:cs="宋体" w:eastAsia="宋体" w:hint="default"/>
                            <w:sz w:val="18"/>
                            <w:szCs w:val="18"/>
                          </w:rPr>
                          <w:t>、经公司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年年度股东大会审议通过，公司使用创业板非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公开发行股票暂时闲置募集资金不超过人民币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万元进行现金管理，购买流动性好、安全性高</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由商业银行发行的保本型、期限不超过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个月的投资产品。截至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日，公司进行现 金管理的所有闲置募集资金均已到期赎回并转至募集资金专户中。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133"/>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33"/>
        <w:jc w:val="left"/>
        <w:rPr>
          <w:b w:val="0"/>
          <w:bCs w:val="0"/>
        </w:rPr>
      </w:pPr>
      <w:r>
        <w:rPr/>
        <w:t>七、主要控股参股公司分析</w:t>
      </w:r>
      <w:r>
        <w:rPr>
          <w:b w:val="0"/>
          <w:bCs w:val="0"/>
        </w:rPr>
      </w:r>
    </w:p>
    <w:p>
      <w:pPr>
        <w:spacing w:line="240" w:lineRule="auto" w:before="7"/>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102"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before="102"/>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北京迪科远 望科技有限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智能一卡通 系统及产品 的研发、生 产、销售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145,583,385.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96,354,589.6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115,012,662.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27,598,796.0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25,116,037.1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智能一卡通</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上海树维信 息科技有限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系统、数字 化校园系 统、教务系 统的研发、</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14,630,000.0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80,242,307.9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48,877,702.9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4"/>
              <w:jc w:val="right"/>
              <w:rPr>
                <w:rFonts w:ascii="Times New Roman" w:hAnsi="Times New Roman" w:cs="Times New Roman" w:eastAsia="Times New Roman" w:hint="default"/>
                <w:sz w:val="18"/>
                <w:szCs w:val="18"/>
              </w:rPr>
            </w:pPr>
            <w:r>
              <w:rPr>
                <w:rFonts w:ascii="Times New Roman"/>
                <w:spacing w:val="-1"/>
                <w:sz w:val="18"/>
              </w:rPr>
              <w:t>89,607,307.1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18,016,055.7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17,683,033.5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3"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29"/>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75"/>
              <w:jc w:val="right"/>
              <w:rPr>
                <w:rFonts w:ascii="宋体" w:hAnsi="宋体" w:cs="宋体" w:eastAsia="宋体" w:hint="default"/>
                <w:sz w:val="18"/>
                <w:szCs w:val="18"/>
              </w:rPr>
            </w:pPr>
            <w:r>
              <w:rPr>
                <w:rFonts w:ascii="宋体" w:hAnsi="宋体" w:cs="宋体" w:eastAsia="宋体" w:hint="default"/>
                <w:sz w:val="18"/>
                <w:szCs w:val="18"/>
              </w:rPr>
              <w:t>郑州新开普科技有限公司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2"/>
        <w:rPr>
          <w:rFonts w:ascii="宋体" w:hAnsi="宋体" w:cs="宋体" w:eastAsia="宋体" w:hint="default"/>
          <w:sz w:val="12"/>
          <w:szCs w:val="12"/>
        </w:rPr>
      </w:pPr>
    </w:p>
    <w:p>
      <w:pPr>
        <w:pStyle w:val="BodyText"/>
        <w:spacing w:line="386" w:lineRule="auto" w:before="0"/>
        <w:ind w:left="577" w:right="219" w:hanging="1"/>
        <w:jc w:val="left"/>
      </w:pPr>
      <w:r>
        <w:rPr>
          <w:rFonts w:ascii="Times New Roman" w:hAnsi="Times New Roman" w:cs="Times New Roman" w:eastAsia="Times New Roman" w:hint="default"/>
        </w:rPr>
        <w:t>1</w:t>
      </w:r>
      <w:r>
        <w:rPr/>
        <w:t>、山西新开普信息科技有限公司 山西新开普是公司全资子公司，注册资本</w:t>
      </w:r>
      <w:r>
        <w:rPr>
          <w:rFonts w:ascii="Times New Roman" w:hAnsi="Times New Roman" w:cs="Times New Roman" w:eastAsia="Times New Roman" w:hint="default"/>
        </w:rPr>
        <w:t>200.00</w:t>
      </w:r>
      <w:r>
        <w:rPr/>
        <w:t>万元。公司的主要经营范围是：计算机软硬件及辅助</w:t>
      </w:r>
    </w:p>
    <w:p>
      <w:pPr>
        <w:pStyle w:val="BodyText"/>
        <w:spacing w:line="408" w:lineRule="auto" w:before="35"/>
        <w:ind w:right="102"/>
        <w:jc w:val="left"/>
      </w:pPr>
      <w:r>
        <w:rPr>
          <w:spacing w:val="-1"/>
        </w:rPr>
        <w:t>设备、电子产品的销售（含网上）；计算机及信息系统集成；软件开发；数据处理；存储服务；计算机信</w:t>
      </w:r>
      <w:r>
        <w:rPr>
          <w:spacing w:val="-84"/>
        </w:rPr>
        <w:t> </w:t>
      </w:r>
      <w:r>
        <w:rPr>
          <w:spacing w:val="-84"/>
        </w:rPr>
      </w:r>
      <w:r>
        <w:rPr/>
        <w:t>息技术咨询服务。（依法须经批准的项目，经相关部门批准后方可开展经营活动）。</w:t>
      </w:r>
    </w:p>
    <w:p>
      <w:pPr>
        <w:pStyle w:val="BodyText"/>
        <w:spacing w:line="386" w:lineRule="auto"/>
        <w:ind w:right="102" w:firstLine="423"/>
        <w:jc w:val="left"/>
      </w:pPr>
      <w:r>
        <w:rPr>
          <w:spacing w:val="-1"/>
        </w:rPr>
        <w:t>山西新开普</w:t>
      </w:r>
      <w:r>
        <w:rPr>
          <w:rFonts w:ascii="Times New Roman" w:hAnsi="Times New Roman" w:cs="Times New Roman" w:eastAsia="Times New Roman" w:hint="default"/>
          <w:spacing w:val="-1"/>
        </w:rPr>
        <w:t>2017</w:t>
      </w:r>
      <w:r>
        <w:rPr>
          <w:spacing w:val="-1"/>
        </w:rPr>
        <w:t>年实现营业收入</w:t>
      </w:r>
      <w:r>
        <w:rPr>
          <w:rFonts w:ascii="Times New Roman" w:hAnsi="Times New Roman" w:cs="Times New Roman" w:eastAsia="Times New Roman" w:hint="default"/>
          <w:spacing w:val="-1"/>
        </w:rPr>
        <w:t>239.11</w:t>
      </w:r>
      <w:r>
        <w:rPr>
          <w:spacing w:val="-1"/>
        </w:rPr>
        <w:t>万元，实现净利润</w:t>
      </w:r>
      <w:r>
        <w:rPr>
          <w:rFonts w:ascii="Times New Roman" w:hAnsi="Times New Roman" w:cs="Times New Roman" w:eastAsia="Times New Roman" w:hint="default"/>
          <w:spacing w:val="-1"/>
        </w:rPr>
        <w:t>-176.42</w:t>
      </w:r>
      <w:r>
        <w:rPr>
          <w:spacing w:val="-1"/>
        </w:rPr>
        <w:t>万元。报告期为公司贡献利润</w:t>
      </w:r>
      <w:r>
        <w:rPr>
          <w:rFonts w:ascii="Times New Roman" w:hAnsi="Times New Roman" w:cs="Times New Roman" w:eastAsia="Times New Roman" w:hint="default"/>
          <w:spacing w:val="-1"/>
        </w:rPr>
        <w:t>-176.42</w:t>
      </w:r>
      <w:r>
        <w:rPr>
          <w:rFonts w:ascii="Times New Roman" w:hAnsi="Times New Roman" w:cs="Times New Roman" w:eastAsia="Times New Roman" w:hint="default"/>
        </w:rPr>
        <w:t> </w:t>
      </w:r>
      <w:r>
        <w:rPr/>
        <w:t>万元。</w:t>
      </w:r>
    </w:p>
    <w:p>
      <w:pPr>
        <w:pStyle w:val="BodyText"/>
        <w:spacing w:line="386" w:lineRule="auto" w:before="65"/>
        <w:ind w:left="577" w:right="102" w:hanging="1"/>
        <w:jc w:val="left"/>
      </w:pPr>
      <w:r>
        <w:rPr>
          <w:rFonts w:ascii="Times New Roman" w:hAnsi="Times New Roman" w:cs="Times New Roman" w:eastAsia="Times New Roman" w:hint="default"/>
        </w:rPr>
        <w:t>2</w:t>
      </w:r>
      <w:r>
        <w:rPr/>
        <w:t>、嘉兴丹诚开普股权投资合伙企业（有限合伙） </w:t>
      </w:r>
      <w:r>
        <w:rPr>
          <w:spacing w:val="-1"/>
        </w:rPr>
        <w:t>丹诚开普合伙企业是由公司与丹诚资管共同发起设立有限合伙企业，公司作为有限合伙人。合伙企业</w:t>
      </w:r>
    </w:p>
    <w:p>
      <w:pPr>
        <w:pStyle w:val="BodyText"/>
        <w:spacing w:line="408" w:lineRule="auto" w:before="65"/>
        <w:ind w:left="577" w:right="211" w:hanging="424"/>
        <w:jc w:val="left"/>
      </w:pPr>
      <w:r>
        <w:rPr/>
        <w:t>主要经营范围是：股权投资及相关咨询服务、投资管理等。 </w:t>
      </w:r>
      <w:r>
        <w:rPr>
          <w:spacing w:val="-2"/>
        </w:rPr>
        <w:t>丹诚开普合伙企业</w:t>
      </w:r>
      <w:r>
        <w:rPr>
          <w:rFonts w:ascii="Times New Roman" w:hAnsi="Times New Roman" w:cs="Times New Roman" w:eastAsia="Times New Roman" w:hint="default"/>
          <w:spacing w:val="-2"/>
        </w:rPr>
        <w:t>2017</w:t>
      </w:r>
      <w:r>
        <w:rPr>
          <w:spacing w:val="-2"/>
        </w:rPr>
        <w:t>年度未实现营业收入</w:t>
      </w:r>
      <w:r>
        <w:rPr>
          <w:rFonts w:ascii="Times New Roman" w:hAnsi="Times New Roman" w:cs="Times New Roman" w:eastAsia="Times New Roman" w:hint="default"/>
          <w:spacing w:val="-2"/>
        </w:rPr>
        <w:t>,</w:t>
      </w:r>
      <w:r>
        <w:rPr>
          <w:spacing w:val="-2"/>
        </w:rPr>
        <w:t>净利润</w:t>
      </w:r>
      <w:r>
        <w:rPr>
          <w:rFonts w:ascii="Times New Roman" w:hAnsi="Times New Roman" w:cs="Times New Roman" w:eastAsia="Times New Roman" w:hint="default"/>
          <w:spacing w:val="-2"/>
        </w:rPr>
        <w:t>-314.42</w:t>
      </w:r>
      <w:r>
        <w:rPr>
          <w:spacing w:val="-2"/>
        </w:rPr>
        <w:t>万元（未经审计），报告期内为公司贡献利</w:t>
      </w:r>
    </w:p>
    <w:p>
      <w:pPr>
        <w:pStyle w:val="BodyText"/>
        <w:spacing w:line="240" w:lineRule="auto" w:before="14"/>
        <w:ind w:right="102"/>
        <w:jc w:val="left"/>
      </w:pPr>
      <w:r>
        <w:rPr/>
        <w:t>润</w:t>
      </w:r>
      <w:r>
        <w:rPr>
          <w:rFonts w:ascii="Times New Roman" w:hAnsi="Times New Roman" w:cs="Times New Roman" w:eastAsia="Times New Roman" w:hint="default"/>
        </w:rPr>
        <w:t>-303.95</w:t>
      </w:r>
      <w:r>
        <w:rPr/>
        <w:t>万元。</w:t>
      </w:r>
    </w:p>
    <w:p>
      <w:pPr>
        <w:pStyle w:val="BodyText"/>
        <w:spacing w:line="386" w:lineRule="auto" w:before="177"/>
        <w:ind w:left="577" w:right="102" w:hanging="1"/>
        <w:jc w:val="left"/>
      </w:pPr>
      <w:r>
        <w:rPr>
          <w:rFonts w:ascii="Times New Roman" w:hAnsi="Times New Roman" w:cs="Times New Roman" w:eastAsia="Times New Roman" w:hint="default"/>
        </w:rPr>
        <w:t>3</w:t>
      </w:r>
      <w:r>
        <w:rPr/>
        <w:t>、福建新开普信息科技有限公司 </w:t>
      </w:r>
      <w:r>
        <w:rPr>
          <w:spacing w:val="-3"/>
        </w:rPr>
        <w:t>福建新开普是公司的控股子公司，注册资本为</w:t>
      </w:r>
      <w:r>
        <w:rPr>
          <w:rFonts w:ascii="Times New Roman" w:hAnsi="Times New Roman" w:cs="Times New Roman" w:eastAsia="Times New Roman" w:hint="default"/>
          <w:spacing w:val="-3"/>
        </w:rPr>
        <w:t>3,500.00</w:t>
      </w:r>
      <w:r>
        <w:rPr>
          <w:spacing w:val="-3"/>
        </w:rPr>
        <w:t>万元，公司持有其</w:t>
      </w:r>
      <w:r>
        <w:rPr>
          <w:rFonts w:ascii="Times New Roman" w:hAnsi="Times New Roman" w:cs="Times New Roman" w:eastAsia="Times New Roman" w:hint="default"/>
          <w:spacing w:val="-3"/>
        </w:rPr>
        <w:t>51%</w:t>
      </w:r>
      <w:r>
        <w:rPr>
          <w:spacing w:val="-3"/>
        </w:rPr>
        <w:t>的股份。公司主要经营范</w:t>
      </w:r>
    </w:p>
    <w:p>
      <w:pPr>
        <w:pStyle w:val="BodyText"/>
        <w:spacing w:line="408" w:lineRule="auto" w:before="35"/>
        <w:ind w:right="102"/>
        <w:jc w:val="left"/>
      </w:pPr>
      <w:r>
        <w:rPr/>
        <w:t>围是：计算机系统集成、开发与维护；软件的设计、销售与维护；仪器仪表的设计、生产、销售与维护；</w:t>
      </w:r>
      <w:r>
        <w:rPr>
          <w:spacing w:val="-36"/>
        </w:rPr>
        <w:t> </w:t>
      </w:r>
      <w:r>
        <w:rPr>
          <w:spacing w:val="-36"/>
        </w:rPr>
      </w:r>
      <w:r>
        <w:rPr/>
        <w:t>能源监管平台项目设计、开发、销售及维护；节能改造工程、空调系统工程、建筑智能化工程、建筑机电</w:t>
      </w:r>
      <w:r>
        <w:rPr/>
        <w:t> 安装工程及安防工程的设计、施工与维护；计算机系统领域内的技术开发、技术咨询、技术服务。（依法</w:t>
      </w:r>
    </w:p>
    <w:p>
      <w:pPr>
        <w:spacing w:after="0" w:line="40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577" w:right="102" w:hanging="424"/>
        <w:jc w:val="left"/>
        <w:rPr>
          <w:rFonts w:ascii="Times New Roman" w:hAnsi="Times New Roman" w:cs="Times New Roman" w:eastAsia="Times New Roman" w:hint="default"/>
        </w:rPr>
      </w:pPr>
      <w:r>
        <w:rPr/>
        <w:t>须经批准的项目，经相关部门批准后方可开展经营活动） </w:t>
      </w:r>
      <w:r>
        <w:rPr>
          <w:spacing w:val="-3"/>
        </w:rPr>
        <w:t>福建新开普</w:t>
      </w:r>
      <w:r>
        <w:rPr>
          <w:rFonts w:ascii="Times New Roman" w:hAnsi="Times New Roman" w:cs="Times New Roman" w:eastAsia="Times New Roman" w:hint="default"/>
          <w:spacing w:val="-3"/>
        </w:rPr>
        <w:t>2017</w:t>
      </w:r>
      <w:r>
        <w:rPr>
          <w:spacing w:val="-3"/>
        </w:rPr>
        <w:t>年度实现营业收入</w:t>
      </w:r>
      <w:r>
        <w:rPr>
          <w:rFonts w:ascii="Times New Roman" w:hAnsi="Times New Roman" w:cs="Times New Roman" w:eastAsia="Times New Roman" w:hint="default"/>
          <w:spacing w:val="-3"/>
        </w:rPr>
        <w:t>3,660.17</w:t>
      </w:r>
      <w:r>
        <w:rPr>
          <w:spacing w:val="-3"/>
        </w:rPr>
        <w:t>万元，实现净利润</w:t>
      </w:r>
      <w:r>
        <w:rPr>
          <w:rFonts w:ascii="Times New Roman" w:hAnsi="Times New Roman" w:cs="Times New Roman" w:eastAsia="Times New Roman" w:hint="default"/>
          <w:spacing w:val="-3"/>
        </w:rPr>
        <w:t>176.73</w:t>
      </w:r>
      <w:r>
        <w:rPr>
          <w:spacing w:val="-3"/>
        </w:rPr>
        <w:t>万元。报告期为公司贡献利润</w:t>
      </w:r>
      <w:r>
        <w:rPr>
          <w:rFonts w:ascii="Times New Roman" w:hAnsi="Times New Roman" w:cs="Times New Roman" w:eastAsia="Times New Roman" w:hint="default"/>
          <w:spacing w:val="-3"/>
        </w:rPr>
        <w:t>90.13</w:t>
      </w:r>
    </w:p>
    <w:p>
      <w:pPr>
        <w:pStyle w:val="BodyText"/>
        <w:spacing w:line="240" w:lineRule="auto" w:before="14"/>
        <w:ind w:left="153" w:right="102"/>
        <w:jc w:val="left"/>
      </w:pPr>
      <w:r>
        <w:rPr/>
        <w:t>万元。</w:t>
      </w:r>
    </w:p>
    <w:p>
      <w:pPr>
        <w:spacing w:line="240" w:lineRule="auto" w:before="10"/>
        <w:rPr>
          <w:rFonts w:ascii="宋体" w:hAnsi="宋体" w:cs="宋体" w:eastAsia="宋体" w:hint="default"/>
          <w:sz w:val="14"/>
          <w:szCs w:val="14"/>
        </w:rPr>
      </w:pPr>
    </w:p>
    <w:p>
      <w:pPr>
        <w:pStyle w:val="BodyText"/>
        <w:spacing w:line="386" w:lineRule="auto" w:before="0"/>
        <w:ind w:left="577" w:right="97" w:hanging="1"/>
        <w:jc w:val="left"/>
      </w:pPr>
      <w:r>
        <w:rPr>
          <w:rFonts w:ascii="Times New Roman" w:hAnsi="Times New Roman" w:cs="Times New Roman" w:eastAsia="Times New Roman" w:hint="default"/>
        </w:rPr>
        <w:t>4</w:t>
      </w:r>
      <w:r>
        <w:rPr/>
        <w:t>、成都兰途网络科技有限公司 成都兰途是公司参股公司，注册资本</w:t>
      </w:r>
      <w:r>
        <w:rPr>
          <w:rFonts w:ascii="Times New Roman" w:hAnsi="Times New Roman" w:cs="Times New Roman" w:eastAsia="Times New Roman" w:hint="default"/>
        </w:rPr>
        <w:t>120</w:t>
      </w:r>
      <w:r>
        <w:rPr/>
        <w:t>万元，公司持有其</w:t>
      </w:r>
      <w:r>
        <w:rPr>
          <w:rFonts w:ascii="Times New Roman" w:hAnsi="Times New Roman" w:cs="Times New Roman" w:eastAsia="Times New Roman" w:hint="default"/>
        </w:rPr>
        <w:t>35%</w:t>
      </w:r>
      <w:r>
        <w:rPr/>
        <w:t>的股份。公司主要经营范围是：开发、</w:t>
      </w:r>
    </w:p>
    <w:p>
      <w:pPr>
        <w:pStyle w:val="BodyText"/>
        <w:spacing w:line="408" w:lineRule="auto" w:before="35"/>
        <w:ind w:right="102"/>
        <w:jc w:val="left"/>
      </w:pPr>
      <w:r>
        <w:rPr>
          <w:spacing w:val="-1"/>
        </w:rPr>
        <w:t>销售计算机软硬件；计算机系统集成；网络布线工程施工（凭资质许可证从事经营）；网页设计；商务咨</w:t>
      </w:r>
      <w:r>
        <w:rPr>
          <w:spacing w:val="-83"/>
        </w:rPr>
        <w:t> </w:t>
      </w:r>
      <w:r>
        <w:rPr>
          <w:spacing w:val="-83"/>
        </w:rPr>
      </w:r>
      <w:r>
        <w:rPr/>
        <w:t>询（不含前置许可项目，涉及后置许可的凭许可证从事经营）。</w:t>
      </w:r>
    </w:p>
    <w:p>
      <w:pPr>
        <w:pStyle w:val="BodyText"/>
        <w:spacing w:line="386" w:lineRule="auto"/>
        <w:ind w:right="221" w:firstLine="423"/>
        <w:jc w:val="left"/>
      </w:pPr>
      <w:r>
        <w:rPr/>
        <w:t>成都兰途</w:t>
      </w:r>
      <w:r>
        <w:rPr>
          <w:rFonts w:ascii="Times New Roman" w:hAnsi="Times New Roman" w:cs="Times New Roman" w:eastAsia="Times New Roman" w:hint="default"/>
        </w:rPr>
        <w:t>2017</w:t>
      </w:r>
      <w:r>
        <w:rPr/>
        <w:t>年度实现营业收入</w:t>
      </w:r>
      <w:r>
        <w:rPr>
          <w:rFonts w:ascii="Times New Roman" w:hAnsi="Times New Roman" w:cs="Times New Roman" w:eastAsia="Times New Roman" w:hint="default"/>
        </w:rPr>
        <w:t>788.68</w:t>
      </w:r>
      <w:r>
        <w:rPr/>
        <w:t>万元，实现净利润</w:t>
      </w:r>
      <w:r>
        <w:rPr>
          <w:rFonts w:ascii="Times New Roman" w:hAnsi="Times New Roman" w:cs="Times New Roman" w:eastAsia="Times New Roman" w:hint="default"/>
        </w:rPr>
        <w:t>-140.04</w:t>
      </w:r>
      <w:r>
        <w:rPr/>
        <w:t>万元（未经审计），报告期内为公司 贡献利润</w:t>
      </w:r>
      <w:r>
        <w:rPr>
          <w:rFonts w:ascii="Times New Roman" w:hAnsi="Times New Roman" w:cs="Times New Roman" w:eastAsia="Times New Roman" w:hint="default"/>
        </w:rPr>
        <w:t>-49.01</w:t>
      </w:r>
      <w:r>
        <w:rPr/>
        <w:t>万元。</w:t>
      </w:r>
    </w:p>
    <w:p>
      <w:pPr>
        <w:pStyle w:val="BodyText"/>
        <w:spacing w:line="386" w:lineRule="auto" w:before="35"/>
        <w:ind w:left="577" w:right="254" w:hanging="1"/>
        <w:jc w:val="left"/>
      </w:pPr>
      <w:r>
        <w:rPr>
          <w:rFonts w:ascii="Times New Roman" w:hAnsi="Times New Roman" w:cs="Times New Roman" w:eastAsia="Times New Roman" w:hint="default"/>
        </w:rPr>
        <w:t>5</w:t>
      </w:r>
      <w:r>
        <w:rPr/>
        <w:t>、北京希嘉创智教育科技有限公司 希嘉教育是公司的参股公司，注册资本</w:t>
      </w:r>
      <w:r>
        <w:rPr>
          <w:rFonts w:ascii="Times New Roman" w:hAnsi="Times New Roman" w:cs="Times New Roman" w:eastAsia="Times New Roman" w:hint="default"/>
        </w:rPr>
        <w:t>11,357,890.00</w:t>
      </w:r>
      <w:r>
        <w:rPr/>
        <w:t>元，公司持有其</w:t>
      </w:r>
      <w:r>
        <w:rPr>
          <w:rFonts w:ascii="Times New Roman" w:hAnsi="Times New Roman" w:cs="Times New Roman" w:eastAsia="Times New Roman" w:hint="default"/>
        </w:rPr>
        <w:t>24%</w:t>
      </w:r>
      <w:r>
        <w:rPr/>
        <w:t>的股份。公司主要经营范围</w:t>
      </w:r>
    </w:p>
    <w:p>
      <w:pPr>
        <w:pStyle w:val="BodyText"/>
        <w:spacing w:line="240" w:lineRule="auto" w:before="35"/>
        <w:ind w:right="102"/>
        <w:jc w:val="left"/>
      </w:pPr>
      <w:r>
        <w:rPr/>
        <w:t>是：技术推广服务；技术开发、技术转让、技术咨询、技术推广、技术服务、计算机系统服务；数据处理</w:t>
      </w:r>
    </w:p>
    <w:p>
      <w:pPr>
        <w:spacing w:line="240" w:lineRule="auto" w:before="10"/>
        <w:rPr>
          <w:rFonts w:ascii="宋体" w:hAnsi="宋体" w:cs="宋体" w:eastAsia="宋体" w:hint="default"/>
          <w:sz w:val="14"/>
          <w:szCs w:val="14"/>
        </w:rPr>
      </w:pPr>
    </w:p>
    <w:p>
      <w:pPr>
        <w:pStyle w:val="BodyText"/>
        <w:spacing w:line="403" w:lineRule="auto" w:before="0"/>
        <w:ind w:right="102" w:hanging="1"/>
        <w:jc w:val="left"/>
      </w:pPr>
      <w:r>
        <w:rPr>
          <w:spacing w:val="-6"/>
        </w:rPr>
        <w:t>（数据处理中的银行卡中心、</w:t>
      </w:r>
      <w:r>
        <w:rPr>
          <w:rFonts w:ascii="Times New Roman" w:hAnsi="Times New Roman" w:cs="Times New Roman" w:eastAsia="Times New Roman" w:hint="default"/>
          <w:spacing w:val="-6"/>
        </w:rPr>
        <w:t>PUE</w:t>
      </w:r>
      <w:r>
        <w:rPr>
          <w:spacing w:val="-6"/>
        </w:rPr>
        <w:t>值在</w:t>
      </w:r>
      <w:r>
        <w:rPr>
          <w:rFonts w:ascii="Times New Roman" w:hAnsi="Times New Roman" w:cs="Times New Roman" w:eastAsia="Times New Roman" w:hint="default"/>
          <w:spacing w:val="-6"/>
        </w:rPr>
        <w:t>1.5</w:t>
      </w:r>
      <w:r>
        <w:rPr>
          <w:spacing w:val="-6"/>
        </w:rPr>
        <w:t>以上的云计算数据中心除外）；基础软件服务；应用软件服务（不</w:t>
      </w:r>
      <w:r>
        <w:rPr>
          <w:spacing w:val="-72"/>
        </w:rPr>
        <w:t> </w:t>
      </w:r>
      <w:r>
        <w:rPr>
          <w:spacing w:val="-72"/>
        </w:rPr>
      </w:r>
      <w:r>
        <w:rPr/>
        <w:t>含医用软件）；软件开发；设计、制作、代理、发布广告；教育咨询（不含出国留学咨询及中介服务）；</w:t>
      </w:r>
      <w:r>
        <w:rPr>
          <w:spacing w:val="-37"/>
        </w:rPr>
        <w:t> </w:t>
      </w:r>
      <w:r>
        <w:rPr>
          <w:spacing w:val="-37"/>
        </w:rPr>
      </w:r>
      <w:r>
        <w:rPr>
          <w:spacing w:val="-5"/>
        </w:rPr>
        <w:t>经济贸易咨询；销售电子产品、日用品、文具用品、社会公共安全设备及器材、计算机、软件及辅助设备、</w:t>
      </w:r>
      <w:r>
        <w:rPr/>
        <w:t> 机械设备、通讯设备。（企业依法自主选择经营项目，开展经营活动；依法须经批准的项目，经相关部门 批准后依批准的内容开展经营活动；不得从事本市产业政策禁止和限制类项目的经营活动。）</w:t>
      </w:r>
    </w:p>
    <w:p>
      <w:pPr>
        <w:pStyle w:val="BodyText"/>
        <w:spacing w:line="386" w:lineRule="auto" w:before="50"/>
        <w:ind w:right="102" w:firstLine="423"/>
        <w:jc w:val="left"/>
      </w:pPr>
      <w:r>
        <w:rPr>
          <w:spacing w:val="-4"/>
        </w:rPr>
        <w:t>希嘉教育</w:t>
      </w:r>
      <w:r>
        <w:rPr>
          <w:rFonts w:ascii="Times New Roman" w:hAnsi="Times New Roman" w:cs="Times New Roman" w:eastAsia="Times New Roman" w:hint="default"/>
          <w:spacing w:val="-4"/>
        </w:rPr>
        <w:t>2017</w:t>
      </w:r>
      <w:r>
        <w:rPr>
          <w:spacing w:val="-4"/>
        </w:rPr>
        <w:t>年度实现营业收入</w:t>
      </w:r>
      <w:r>
        <w:rPr>
          <w:rFonts w:ascii="Times New Roman" w:hAnsi="Times New Roman" w:cs="Times New Roman" w:eastAsia="Times New Roman" w:hint="default"/>
          <w:spacing w:val="-4"/>
        </w:rPr>
        <w:t>3,994.10</w:t>
      </w:r>
      <w:r>
        <w:rPr>
          <w:spacing w:val="-4"/>
        </w:rPr>
        <w:t>万元，实现净利润</w:t>
      </w:r>
      <w:r>
        <w:rPr>
          <w:rFonts w:ascii="Times New Roman" w:hAnsi="Times New Roman" w:cs="Times New Roman" w:eastAsia="Times New Roman" w:hint="default"/>
          <w:spacing w:val="-4"/>
        </w:rPr>
        <w:t>1,035.24</w:t>
      </w:r>
      <w:r>
        <w:rPr>
          <w:spacing w:val="-4"/>
        </w:rPr>
        <w:t>万元。报告期为公司贡献利润</w:t>
      </w:r>
      <w:r>
        <w:rPr>
          <w:rFonts w:ascii="Times New Roman" w:hAnsi="Times New Roman" w:cs="Times New Roman" w:eastAsia="Times New Roman" w:hint="default"/>
          <w:spacing w:val="-4"/>
        </w:rPr>
        <w:t>248.46</w:t>
      </w:r>
      <w:r>
        <w:rPr>
          <w:rFonts w:ascii="Times New Roman" w:hAnsi="Times New Roman" w:cs="Times New Roman" w:eastAsia="Times New Roman" w:hint="default"/>
        </w:rPr>
        <w:t> </w:t>
      </w:r>
      <w:r>
        <w:rPr/>
        <w:t>万元。</w:t>
      </w:r>
    </w:p>
    <w:p>
      <w:pPr>
        <w:pStyle w:val="BodyText"/>
        <w:spacing w:line="386" w:lineRule="auto" w:before="65"/>
        <w:ind w:left="577" w:right="102" w:hanging="1"/>
        <w:jc w:val="left"/>
      </w:pPr>
      <w:r>
        <w:rPr>
          <w:rFonts w:ascii="Times New Roman" w:hAnsi="Times New Roman" w:cs="Times New Roman" w:eastAsia="Times New Roman" w:hint="default"/>
        </w:rPr>
        <w:t>6</w:t>
      </w:r>
      <w:r>
        <w:rPr/>
        <w:t>、北京乐智科技有限公司 </w:t>
      </w:r>
      <w:r>
        <w:rPr>
          <w:spacing w:val="-2"/>
        </w:rPr>
        <w:t>北京乐智是公司参股公司，注册资本</w:t>
      </w:r>
      <w:r>
        <w:rPr>
          <w:rFonts w:ascii="Times New Roman" w:hAnsi="Times New Roman" w:cs="Times New Roman" w:eastAsia="Times New Roman" w:hint="default"/>
          <w:spacing w:val="-2"/>
        </w:rPr>
        <w:t>100</w:t>
      </w:r>
      <w:r>
        <w:rPr>
          <w:spacing w:val="-2"/>
        </w:rPr>
        <w:t>万元，公司持有其</w:t>
      </w:r>
      <w:r>
        <w:rPr>
          <w:rFonts w:ascii="Times New Roman" w:hAnsi="Times New Roman" w:cs="Times New Roman" w:eastAsia="Times New Roman" w:hint="default"/>
          <w:spacing w:val="-2"/>
        </w:rPr>
        <w:t>19.5%</w:t>
      </w:r>
      <w:r>
        <w:rPr>
          <w:spacing w:val="-2"/>
        </w:rPr>
        <w:t>的股份。公司主要经营范围是：技术</w:t>
      </w:r>
    </w:p>
    <w:p>
      <w:pPr>
        <w:pStyle w:val="BodyText"/>
        <w:spacing w:line="408" w:lineRule="auto" w:before="35"/>
        <w:ind w:right="102"/>
        <w:jc w:val="left"/>
      </w:pPr>
      <w:r>
        <w:rPr/>
        <w:t>开发、技术转让、技术咨询、技术服务、技术推广；计算机系统服务；软件开发；数据处理；企业管理咨 询；市场调查；经济贸易咨询；组织文化艺术交流活动（不含营业性演出）；产品设计；电脑动画设计；</w:t>
      </w:r>
      <w:r>
        <w:rPr>
          <w:spacing w:val="-36"/>
        </w:rPr>
        <w:t> </w:t>
      </w:r>
      <w:r>
        <w:rPr>
          <w:spacing w:val="-36"/>
        </w:rPr>
      </w:r>
      <w:r>
        <w:rPr/>
        <w:t>设计、制作、代理、发布广告；销售自行开发的产品。（企业依法自主选择经营项目，开展经营活动；依</w:t>
      </w:r>
      <w:r>
        <w:rPr/>
        <w:t> 法须经批准的项目，经相关部门批准后依批准的内容开展经营活动；不得从事本市产业政策禁止和限制类 项目的经营活动。）</w:t>
      </w:r>
    </w:p>
    <w:p>
      <w:pPr>
        <w:pStyle w:val="BodyText"/>
        <w:spacing w:line="386" w:lineRule="auto"/>
        <w:ind w:right="211" w:firstLine="423"/>
        <w:jc w:val="left"/>
      </w:pPr>
      <w:r>
        <w:rPr>
          <w:spacing w:val="-1"/>
        </w:rPr>
        <w:t>北京乐智</w:t>
      </w:r>
      <w:r>
        <w:rPr>
          <w:rFonts w:ascii="Times New Roman" w:hAnsi="Times New Roman" w:cs="Times New Roman" w:eastAsia="Times New Roman" w:hint="default"/>
          <w:spacing w:val="-1"/>
        </w:rPr>
        <w:t>2017</w:t>
      </w:r>
      <w:r>
        <w:rPr>
          <w:spacing w:val="-1"/>
        </w:rPr>
        <w:t>年度实现营业收入</w:t>
      </w:r>
      <w:r>
        <w:rPr>
          <w:rFonts w:ascii="Times New Roman" w:hAnsi="Times New Roman" w:cs="Times New Roman" w:eastAsia="Times New Roman" w:hint="default"/>
          <w:spacing w:val="-1"/>
        </w:rPr>
        <w:t>30.98</w:t>
      </w:r>
      <w:r>
        <w:rPr>
          <w:spacing w:val="-1"/>
        </w:rPr>
        <w:t>万元，实现净利润</w:t>
      </w:r>
      <w:r>
        <w:rPr>
          <w:rFonts w:ascii="Times New Roman" w:hAnsi="Times New Roman" w:cs="Times New Roman" w:eastAsia="Times New Roman" w:hint="default"/>
          <w:spacing w:val="-1"/>
        </w:rPr>
        <w:t>-25.66</w:t>
      </w:r>
      <w:r>
        <w:rPr>
          <w:spacing w:val="-1"/>
        </w:rPr>
        <w:t>万元（未经审计）</w:t>
      </w:r>
      <w:r>
        <w:rPr>
          <w:rFonts w:ascii="Times New Roman" w:hAnsi="Times New Roman" w:cs="Times New Roman" w:eastAsia="Times New Roman" w:hint="default"/>
          <w:spacing w:val="-1"/>
        </w:rPr>
        <w:t>,</w:t>
      </w:r>
      <w:r>
        <w:rPr>
          <w:spacing w:val="-1"/>
        </w:rPr>
        <w:t>报告期内为公司贡献</w:t>
      </w:r>
      <w:r>
        <w:rPr/>
        <w:t> 利润</w:t>
      </w:r>
      <w:r>
        <w:rPr>
          <w:rFonts w:ascii="Times New Roman" w:hAnsi="Times New Roman" w:cs="Times New Roman" w:eastAsia="Times New Roman" w:hint="default"/>
        </w:rPr>
        <w:t>-5.00</w:t>
      </w:r>
      <w:r>
        <w:rPr/>
        <w:t>万元。</w:t>
      </w:r>
    </w:p>
    <w:p>
      <w:pPr>
        <w:pStyle w:val="BodyText"/>
        <w:spacing w:line="386" w:lineRule="auto" w:before="35"/>
        <w:ind w:left="577" w:right="254" w:hanging="1"/>
        <w:jc w:val="left"/>
      </w:pPr>
      <w:r>
        <w:rPr>
          <w:rFonts w:ascii="Times New Roman" w:hAnsi="Times New Roman" w:cs="Times New Roman" w:eastAsia="Times New Roman" w:hint="default"/>
        </w:rPr>
        <w:t>7</w:t>
      </w:r>
      <w:r>
        <w:rPr/>
        <w:t>、上海微令信息科技有限公司 上海微令是公司参股公司，注册资本</w:t>
      </w:r>
      <w:r>
        <w:rPr>
          <w:rFonts w:ascii="Times New Roman" w:hAnsi="Times New Roman" w:cs="Times New Roman" w:eastAsia="Times New Roman" w:hint="default"/>
        </w:rPr>
        <w:t>1,077.1811</w:t>
      </w:r>
      <w:r>
        <w:rPr/>
        <w:t>万元，公司持有其</w:t>
      </w:r>
      <w:r>
        <w:rPr>
          <w:rFonts w:ascii="Times New Roman" w:hAnsi="Times New Roman" w:cs="Times New Roman" w:eastAsia="Times New Roman" w:hint="default"/>
        </w:rPr>
        <w:t>17.80%</w:t>
      </w:r>
      <w:r>
        <w:rPr/>
        <w:t>的股份。公司主要经营范围</w:t>
      </w:r>
    </w:p>
    <w:p>
      <w:pPr>
        <w:spacing w:after="0" w:line="386" w:lineRule="auto"/>
        <w:jc w:val="left"/>
        <w:sectPr>
          <w:footerReference w:type="default" r:id="rId18"/>
          <w:pgSz w:w="11910" w:h="16840"/>
          <w:pgMar w:footer="982" w:header="877" w:top="1100" w:bottom="1180" w:left="980" w:right="920"/>
          <w:pgNumType w:start="42"/>
        </w:sectPr>
      </w:pPr>
    </w:p>
    <w:p>
      <w:pPr>
        <w:spacing w:line="240" w:lineRule="auto" w:before="8"/>
        <w:rPr>
          <w:rFonts w:ascii="宋体" w:hAnsi="宋体" w:cs="宋体" w:eastAsia="宋体" w:hint="default"/>
          <w:sz w:val="26"/>
          <w:szCs w:val="26"/>
        </w:rPr>
      </w:pPr>
    </w:p>
    <w:p>
      <w:pPr>
        <w:pStyle w:val="BodyText"/>
        <w:spacing w:line="408" w:lineRule="auto" w:before="35"/>
        <w:ind w:right="209"/>
        <w:jc w:val="both"/>
      </w:pPr>
      <w:r>
        <w:rPr>
          <w:spacing w:val="-1"/>
        </w:rPr>
        <w:t>是：从事信息科技、网络科技、计算机科技领域内的技术开发、技术转让、技术咨询、技术服务；计算机</w:t>
      </w:r>
      <w:r>
        <w:rPr>
          <w:spacing w:val="-85"/>
        </w:rPr>
        <w:t> </w:t>
      </w:r>
      <w:r>
        <w:rPr>
          <w:spacing w:val="-85"/>
        </w:rPr>
      </w:r>
      <w:r>
        <w:rPr>
          <w:spacing w:val="-1"/>
        </w:rPr>
        <w:t>及网络设备的研究、开发、安装与维护；计算机系统集成、销售；设计、制作、发布、代理各类广告；计</w:t>
      </w:r>
      <w:r>
        <w:rPr>
          <w:spacing w:val="-86"/>
        </w:rPr>
        <w:t> </w:t>
      </w:r>
      <w:r>
        <w:rPr>
          <w:spacing w:val="-86"/>
        </w:rPr>
      </w:r>
      <w:r>
        <w:rPr>
          <w:spacing w:val="-1"/>
        </w:rPr>
        <w:t>算机软件的开发、销售；电脑网络工程；电子产品、数码产品、计算机及辅助设备（除计算机信息系统安</w:t>
      </w:r>
      <w:r>
        <w:rPr>
          <w:spacing w:val="-83"/>
        </w:rPr>
        <w:t> </w:t>
      </w:r>
      <w:r>
        <w:rPr>
          <w:spacing w:val="-83"/>
        </w:rPr>
      </w:r>
      <w:r>
        <w:rPr>
          <w:spacing w:val="-1"/>
        </w:rPr>
        <w:t>全专用产品）的销售；企业管理咨询；商务信息咨询；房屋建筑工程。（依法须经批准的项目，经相关部</w:t>
      </w:r>
      <w:r>
        <w:rPr>
          <w:spacing w:val="-85"/>
        </w:rPr>
        <w:t> </w:t>
      </w:r>
      <w:r>
        <w:rPr>
          <w:spacing w:val="-85"/>
        </w:rPr>
      </w:r>
      <w:r>
        <w:rPr/>
        <w:t>门批准后方可开展经营活动）</w:t>
      </w:r>
    </w:p>
    <w:p>
      <w:pPr>
        <w:pStyle w:val="BodyText"/>
        <w:spacing w:line="386" w:lineRule="auto"/>
        <w:ind w:left="153" w:right="273" w:firstLine="423"/>
        <w:jc w:val="left"/>
      </w:pPr>
      <w:r>
        <w:rPr/>
        <w:t>上海微令</w:t>
      </w:r>
      <w:r>
        <w:rPr>
          <w:rFonts w:ascii="Times New Roman" w:hAnsi="Times New Roman" w:cs="Times New Roman" w:eastAsia="Times New Roman" w:hint="default"/>
        </w:rPr>
        <w:t>2017</w:t>
      </w:r>
      <w:r>
        <w:rPr/>
        <w:t>年度实现营业收入</w:t>
      </w:r>
      <w:r>
        <w:rPr>
          <w:rFonts w:ascii="Times New Roman" w:hAnsi="Times New Roman" w:cs="Times New Roman" w:eastAsia="Times New Roman" w:hint="default"/>
        </w:rPr>
        <w:t>538.76</w:t>
      </w:r>
      <w:r>
        <w:rPr/>
        <w:t>万元，实现净利润</w:t>
      </w:r>
      <w:r>
        <w:rPr>
          <w:rFonts w:ascii="Times New Roman" w:hAnsi="Times New Roman" w:cs="Times New Roman" w:eastAsia="Times New Roman" w:hint="default"/>
        </w:rPr>
        <w:t>-1,022.24</w:t>
      </w:r>
      <w:r>
        <w:rPr/>
        <w:t>万元（未经审计）。报告期末经减 值测试，公司计提减值</w:t>
      </w:r>
      <w:r>
        <w:rPr>
          <w:rFonts w:ascii="Times New Roman" w:hAnsi="Times New Roman" w:cs="Times New Roman" w:eastAsia="Times New Roman" w:hint="default"/>
        </w:rPr>
        <w:t>-48.38</w:t>
      </w:r>
      <w:r>
        <w:rPr/>
        <w:t>万元。</w:t>
      </w:r>
    </w:p>
    <w:p>
      <w:pPr>
        <w:spacing w:line="240" w:lineRule="auto" w:before="0"/>
        <w:rPr>
          <w:rFonts w:ascii="宋体" w:hAnsi="宋体" w:cs="宋体" w:eastAsia="宋体" w:hint="default"/>
          <w:sz w:val="18"/>
          <w:szCs w:val="18"/>
        </w:rPr>
      </w:pPr>
    </w:p>
    <w:p>
      <w:pPr>
        <w:pStyle w:val="Heading2"/>
        <w:spacing w:line="240" w:lineRule="auto"/>
        <w:ind w:right="0"/>
        <w:jc w:val="both"/>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九、公司未来发展的展望</w:t>
      </w:r>
      <w:r>
        <w:rPr>
          <w:b w:val="0"/>
          <w:bCs w:val="0"/>
        </w:rPr>
      </w:r>
    </w:p>
    <w:p>
      <w:pPr>
        <w:spacing w:line="240" w:lineRule="auto" w:before="9"/>
        <w:rPr>
          <w:rFonts w:ascii="宋体" w:hAnsi="宋体" w:cs="宋体" w:eastAsia="宋体" w:hint="default"/>
          <w:b/>
          <w:bCs/>
          <w:sz w:val="30"/>
          <w:szCs w:val="30"/>
        </w:rPr>
      </w:pPr>
    </w:p>
    <w:p>
      <w:pPr>
        <w:pStyle w:val="BodyText"/>
        <w:spacing w:line="240" w:lineRule="auto" w:before="0"/>
        <w:ind w:left="577" w:right="102"/>
        <w:jc w:val="left"/>
      </w:pPr>
      <w:r>
        <w:rPr/>
        <w:t>（一）行业发展趋势及公司发展的机遇</w:t>
      </w:r>
    </w:p>
    <w:p>
      <w:pPr>
        <w:spacing w:line="240" w:lineRule="auto" w:before="10"/>
        <w:rPr>
          <w:rFonts w:ascii="宋体" w:hAnsi="宋体" w:cs="宋体" w:eastAsia="宋体" w:hint="default"/>
          <w:sz w:val="17"/>
          <w:szCs w:val="17"/>
        </w:rPr>
      </w:pPr>
    </w:p>
    <w:p>
      <w:pPr>
        <w:pStyle w:val="BodyText"/>
        <w:spacing w:line="420" w:lineRule="auto" w:before="0"/>
        <w:ind w:left="577" w:right="102" w:hanging="1"/>
        <w:jc w:val="left"/>
      </w:pPr>
      <w:r>
        <w:rPr>
          <w:rFonts w:ascii="Times New Roman" w:hAnsi="Times New Roman" w:cs="Times New Roman" w:eastAsia="Times New Roman" w:hint="default"/>
        </w:rPr>
        <w:t>1</w:t>
      </w:r>
      <w:r>
        <w:rPr/>
        <w:t>、校园一卡通的内涵正在不断丰富，移动互联引发集中迭代 </w:t>
      </w:r>
      <w:r>
        <w:rPr>
          <w:spacing w:val="-1"/>
        </w:rPr>
        <w:t>随着国家在校园信息化领域的不断投入及学校对管理便捷性的需求不断提高，校园一卡通的内涵正在</w:t>
      </w:r>
    </w:p>
    <w:p>
      <w:pPr>
        <w:pStyle w:val="BodyText"/>
        <w:spacing w:line="410" w:lineRule="auto" w:before="35"/>
        <w:ind w:right="208"/>
        <w:jc w:val="both"/>
      </w:pPr>
      <w:r>
        <w:rPr>
          <w:spacing w:val="-10"/>
        </w:rPr>
        <w:t>不断扩容，从起始阶段只指代售饭系统，到现在覆盖支付、认证（电子门禁、课堂考勤、电子班牌、借书）、</w:t>
      </w:r>
      <w:r>
        <w:rPr>
          <w:spacing w:val="-66"/>
        </w:rPr>
        <w:t> </w:t>
      </w:r>
      <w:r>
        <w:rPr>
          <w:spacing w:val="-66"/>
        </w:rPr>
      </w:r>
      <w:r>
        <w:rPr/>
        <w:t>物联网终端、学生数据分析等不同应用场景的综合解决方案。</w:t>
      </w:r>
    </w:p>
    <w:p>
      <w:pPr>
        <w:pStyle w:val="BodyText"/>
        <w:spacing w:line="408" w:lineRule="auto" w:before="82"/>
        <w:ind w:right="102" w:firstLine="423"/>
        <w:jc w:val="left"/>
      </w:pPr>
      <w:r>
        <w:rPr/>
        <w:t>与此同时，随着移动支付、人工智能、大数据、物联网等新技术的发展，为校园一卡通注入了新的应 用模式和体验模式；人脸识别、扫码付逐步开始代替校园卡成为新的支付和认证模式，这直接促进了校园 卡系统新形态、新模式，同时会带来新一轮校园卡系统集中升级；从一卡通到一码通是其重要方向之一，</w:t>
      </w:r>
      <w:r>
        <w:rPr>
          <w:spacing w:val="-36"/>
        </w:rPr>
        <w:t> </w:t>
      </w:r>
      <w:r>
        <w:rPr>
          <w:spacing w:val="-36"/>
        </w:rPr>
      </w:r>
      <w:r>
        <w:rPr/>
        <w:t>即结合移动支付的二维码扫码付技术，从刷卡到刷码的转变，对于此，公司已经做好了准备。</w:t>
      </w:r>
    </w:p>
    <w:p>
      <w:pPr>
        <w:pStyle w:val="BodyText"/>
        <w:spacing w:line="410" w:lineRule="auto" w:before="84"/>
        <w:ind w:right="209" w:firstLine="423"/>
        <w:jc w:val="both"/>
      </w:pPr>
      <w:r>
        <w:rPr>
          <w:spacing w:val="-1"/>
        </w:rPr>
        <w:t>如上两个趋势都意味着市场空间的扩容，在趋势的带动下，公司依托覆盖校园一卡通各个细分领域的</w:t>
      </w:r>
      <w:r>
        <w:rPr/>
        <w:t> </w:t>
      </w:r>
      <w:r>
        <w:rPr>
          <w:spacing w:val="-1"/>
        </w:rPr>
        <w:t>业界领先的产品线，通过现有客户的产品线逐步全覆盖及开拓新客户将获得进一步的增长空间。而一卡通</w:t>
      </w:r>
      <w:r>
        <w:rPr>
          <w:spacing w:val="-81"/>
        </w:rPr>
        <w:t> </w:t>
      </w:r>
      <w:r>
        <w:rPr>
          <w:spacing w:val="-81"/>
        </w:rPr>
      </w:r>
      <w:r>
        <w:rPr/>
        <w:t>到一码通的转型，也将给公司带来升级系统的广大市场。</w:t>
      </w:r>
    </w:p>
    <w:p>
      <w:pPr>
        <w:pStyle w:val="BodyText"/>
        <w:spacing w:line="417" w:lineRule="auto" w:before="85"/>
        <w:ind w:left="577" w:right="102" w:hanging="1"/>
        <w:jc w:val="left"/>
      </w:pPr>
      <w:r>
        <w:rPr>
          <w:rFonts w:ascii="Times New Roman" w:hAnsi="Times New Roman" w:cs="Times New Roman" w:eastAsia="Times New Roman" w:hint="default"/>
        </w:rPr>
        <w:t>2</w:t>
      </w:r>
      <w:r>
        <w:rPr/>
        <w:t>、校园一卡通建设范围越来越广，正由高等教育院校向基础教育院校普及 </w:t>
      </w:r>
      <w:r>
        <w:rPr>
          <w:spacing w:val="-1"/>
        </w:rPr>
        <w:t>经过多年推广和应用，校园一卡通在重点本科院校已经较为普及，但由于办学规模、建设资金等方面</w:t>
      </w:r>
    </w:p>
    <w:p>
      <w:pPr>
        <w:pStyle w:val="BodyText"/>
        <w:spacing w:line="410" w:lineRule="auto" w:before="38"/>
        <w:ind w:right="209"/>
        <w:jc w:val="both"/>
      </w:pPr>
      <w:r>
        <w:rPr>
          <w:spacing w:val="-1"/>
        </w:rPr>
        <w:t>的限制，中等教育学校、基础教育学校还存在着信息化比较落后管理的情况，随着国家对中等教育和基础</w:t>
      </w:r>
      <w:r>
        <w:rPr>
          <w:spacing w:val="-83"/>
        </w:rPr>
        <w:t> </w:t>
      </w:r>
      <w:r>
        <w:rPr>
          <w:spacing w:val="-83"/>
        </w:rPr>
      </w:r>
      <w:r>
        <w:rPr/>
        <w:t>教育办学的重视，信息化管理和教学已经成为学校提升实力的基本条件。</w:t>
      </w:r>
    </w:p>
    <w:p>
      <w:pPr>
        <w:pStyle w:val="BodyText"/>
        <w:spacing w:line="240" w:lineRule="auto" w:before="82"/>
        <w:ind w:left="577" w:right="102"/>
        <w:jc w:val="left"/>
      </w:pPr>
      <w:r>
        <w:rPr/>
        <w:t>截至</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17</w:t>
      </w:r>
      <w:r>
        <w:rPr>
          <w:spacing w:val="-2"/>
        </w:rPr>
        <w:t>年</w:t>
      </w:r>
      <w:r>
        <w:rPr>
          <w:rFonts w:ascii="Times New Roman" w:hAnsi="Times New Roman" w:cs="Times New Roman" w:eastAsia="Times New Roman" w:hint="default"/>
          <w:spacing w:val="-1"/>
        </w:rPr>
        <w:t>5</w:t>
      </w:r>
      <w:r>
        <w:rPr/>
        <w:t>月</w:t>
      </w:r>
      <w:r>
        <w:rPr>
          <w:rFonts w:ascii="Times New Roman" w:hAnsi="Times New Roman" w:cs="Times New Roman" w:eastAsia="Times New Roman" w:hint="default"/>
        </w:rPr>
        <w:t>31</w:t>
      </w:r>
      <w:r>
        <w:rPr/>
        <w:t>日</w:t>
      </w:r>
      <w:r>
        <w:rPr>
          <w:spacing w:val="-27"/>
        </w:rPr>
        <w:t>，</w:t>
      </w:r>
      <w:r>
        <w:rPr>
          <w:spacing w:val="-2"/>
        </w:rPr>
        <w:t>我</w:t>
      </w:r>
      <w:r>
        <w:rPr/>
        <w:t>国普通高等学校</w:t>
      </w:r>
      <w:r>
        <w:rPr>
          <w:rFonts w:ascii="Times New Roman" w:hAnsi="Times New Roman" w:cs="Times New Roman" w:eastAsia="Times New Roman" w:hint="default"/>
        </w:rPr>
        <w:t>2</w:t>
      </w:r>
      <w:r>
        <w:rPr>
          <w:rFonts w:ascii="Times New Roman" w:hAnsi="Times New Roman" w:cs="Times New Roman" w:eastAsia="Times New Roman" w:hint="default"/>
          <w:spacing w:val="-1"/>
        </w:rPr>
        <w:t>6</w:t>
      </w:r>
      <w:r>
        <w:rPr>
          <w:rFonts w:ascii="Times New Roman" w:hAnsi="Times New Roman" w:cs="Times New Roman" w:eastAsia="Times New Roman" w:hint="default"/>
        </w:rPr>
        <w:t>31</w:t>
      </w:r>
      <w:r>
        <w:rPr>
          <w:spacing w:val="-28"/>
        </w:rPr>
        <w:t>所</w:t>
      </w:r>
      <w:r>
        <w:rPr/>
        <w:t>（含独立学院</w:t>
      </w:r>
      <w:r>
        <w:rPr>
          <w:rFonts w:ascii="Times New Roman" w:hAnsi="Times New Roman" w:cs="Times New Roman" w:eastAsia="Times New Roman" w:hint="default"/>
        </w:rPr>
        <w:t>2</w:t>
      </w:r>
      <w:r>
        <w:rPr>
          <w:rFonts w:ascii="Times New Roman" w:hAnsi="Times New Roman" w:cs="Times New Roman" w:eastAsia="Times New Roman" w:hint="default"/>
          <w:spacing w:val="-1"/>
        </w:rPr>
        <w:t>6</w:t>
      </w:r>
      <w:r>
        <w:rPr>
          <w:rFonts w:ascii="Times New Roman" w:hAnsi="Times New Roman" w:cs="Times New Roman" w:eastAsia="Times New Roman" w:hint="default"/>
        </w:rPr>
        <w:t>5</w:t>
      </w:r>
      <w:r>
        <w:rPr/>
        <w:t>所</w:t>
      </w:r>
      <w:r>
        <w:rPr>
          <w:spacing w:val="-105"/>
        </w:rPr>
        <w:t>）</w:t>
      </w:r>
      <w:r>
        <w:rPr>
          <w:spacing w:val="-28"/>
        </w:rPr>
        <w:t>，</w:t>
      </w:r>
      <w:r>
        <w:rPr/>
        <w:t>其中本科院校</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43</w:t>
      </w:r>
      <w:r>
        <w:rPr/>
        <w:t>所</w:t>
      </w:r>
      <w:r>
        <w:rPr>
          <w:spacing w:val="-28"/>
        </w:rPr>
        <w:t>，</w:t>
      </w:r>
      <w:r>
        <w:rPr/>
        <w:t>高</w:t>
      </w:r>
      <w:r>
        <w:rPr>
          <w:spacing w:val="-27"/>
        </w:rPr>
        <w:t>职</w:t>
      </w:r>
      <w:r>
        <w:rPr>
          <w:spacing w:val="1"/>
        </w:rPr>
        <w:t>（</w:t>
      </w:r>
      <w:r>
        <w:rPr/>
        <w:t>专</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86" w:lineRule="auto" w:before="35"/>
        <w:ind w:left="153" w:right="305"/>
        <w:jc w:val="left"/>
      </w:pPr>
      <w:r>
        <w:rPr>
          <w:spacing w:val="-1"/>
        </w:rPr>
        <w:t>科）院校</w:t>
      </w:r>
      <w:r>
        <w:rPr>
          <w:rFonts w:ascii="Times New Roman" w:hAnsi="Times New Roman" w:cs="Times New Roman" w:eastAsia="Times New Roman" w:hint="default"/>
          <w:spacing w:val="-1"/>
        </w:rPr>
        <w:t>1388</w:t>
      </w:r>
      <w:r>
        <w:rPr>
          <w:spacing w:val="-1"/>
        </w:rPr>
        <w:t>所；高中、中等职业教育、初中合计达</w:t>
      </w:r>
      <w:r>
        <w:rPr>
          <w:rFonts w:ascii="Times New Roman" w:hAnsi="Times New Roman" w:cs="Times New Roman" w:eastAsia="Times New Roman" w:hint="default"/>
          <w:spacing w:val="-1"/>
        </w:rPr>
        <w:t>78,421</w:t>
      </w:r>
      <w:r>
        <w:rPr>
          <w:spacing w:val="-1"/>
        </w:rPr>
        <w:t>所；普通小学数量则达</w:t>
      </w:r>
      <w:r>
        <w:rPr>
          <w:rFonts w:ascii="Times New Roman" w:hAnsi="Times New Roman" w:cs="Times New Roman" w:eastAsia="Times New Roman" w:hint="default"/>
          <w:spacing w:val="-1"/>
        </w:rPr>
        <w:t>190,525</w:t>
      </w:r>
      <w:r>
        <w:rPr>
          <w:spacing w:val="-1"/>
        </w:rPr>
        <w:t>所。从建设广度</w:t>
      </w:r>
      <w:r>
        <w:rPr>
          <w:spacing w:val="-86"/>
        </w:rPr>
        <w:t> </w:t>
      </w:r>
      <w:r>
        <w:rPr>
          <w:spacing w:val="-86"/>
        </w:rPr>
      </w:r>
      <w:r>
        <w:rPr/>
        <w:t>来看，校园一卡通的未来市场潜力巨大。</w:t>
      </w:r>
    </w:p>
    <w:p>
      <w:pPr>
        <w:pStyle w:val="BodyText"/>
        <w:spacing w:line="398" w:lineRule="auto" w:before="103"/>
        <w:ind w:left="153" w:right="390" w:firstLine="423"/>
        <w:jc w:val="both"/>
      </w:pPr>
      <w:r>
        <w:rPr/>
        <w:t>公司在</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w:t>
      </w:r>
      <w:r>
        <w:rPr>
          <w:rFonts w:ascii="Times New Roman" w:hAnsi="Times New Roman" w:cs="Times New Roman" w:eastAsia="Times New Roman" w:hint="default"/>
          <w:spacing w:val="-1"/>
        </w:rPr>
        <w:t>7</w:t>
      </w:r>
      <w:r>
        <w:rPr/>
        <w:t>年已经针对中职、高中、中学等学校推出了以电子班牌（走班制</w:t>
      </w:r>
      <w:r>
        <w:rPr>
          <w:spacing w:val="-105"/>
        </w:rPr>
        <w:t>）</w:t>
      </w:r>
      <w:r>
        <w:rPr/>
        <w:t>、</w:t>
      </w:r>
      <w:r>
        <w:rPr>
          <w:spacing w:val="-2"/>
        </w:rPr>
        <w:t>学</w:t>
      </w:r>
      <w:r>
        <w:rPr/>
        <w:t>生营养膳食精细化</w:t>
      </w:r>
      <w:r>
        <w:rPr/>
        <w:t> 管理（智慧点餐</w:t>
      </w:r>
      <w:r>
        <w:rPr>
          <w:spacing w:val="-105"/>
        </w:rPr>
        <w:t>）</w:t>
      </w:r>
      <w:r>
        <w:rPr/>
        <w:t>、学</w:t>
      </w:r>
      <w:r>
        <w:rPr>
          <w:spacing w:val="-2"/>
        </w:rPr>
        <w:t>生</w:t>
      </w:r>
      <w:r>
        <w:rPr/>
        <w:t>人员定位分析、微服务号（连接学生和家长）等为核心的校园一卡通解决方案。</w:t>
      </w:r>
      <w:r>
        <w:rPr/>
        <w:t> 在部分经济发达地区的中小学校（包括高中、中等职业教育、初中及普通小学等</w:t>
      </w:r>
      <w:r>
        <w:rPr>
          <w:spacing w:val="-106"/>
        </w:rPr>
        <w:t>）</w:t>
      </w:r>
      <w:r>
        <w:rPr/>
        <w:t>，已开始逐步推广。</w:t>
      </w:r>
    </w:p>
    <w:p>
      <w:pPr>
        <w:pStyle w:val="BodyText"/>
        <w:spacing w:line="386" w:lineRule="auto" w:before="94"/>
        <w:ind w:right="390" w:firstLine="423"/>
        <w:jc w:val="both"/>
      </w:pPr>
      <w:r>
        <w:rPr>
          <w:rFonts w:ascii="Times New Roman" w:hAnsi="Times New Roman" w:cs="Times New Roman" w:eastAsia="Times New Roman" w:hint="default"/>
        </w:rPr>
        <w:t>3</w:t>
      </w:r>
      <w:r>
        <w:rPr/>
        <w:t>、集合智能一卡通、数字化校园平台及应用、教务系统、能源管控系统等于一体的智慧校园建设正 在学校如火如荼地展开，</w:t>
      </w:r>
    </w:p>
    <w:p>
      <w:pPr>
        <w:pStyle w:val="BodyText"/>
        <w:spacing w:line="405" w:lineRule="auto" w:before="103"/>
        <w:ind w:right="311" w:firstLine="423"/>
        <w:jc w:val="left"/>
      </w:pPr>
      <w:r>
        <w:rPr>
          <w:spacing w:val="-1"/>
        </w:rPr>
        <w:t>高校信息化经过十几年的发展，从开始的各个部门自建独立应用系统，到后来发展成以三大平台为核</w:t>
      </w:r>
      <w:r>
        <w:rPr/>
        <w:t> </w:t>
      </w:r>
      <w:r>
        <w:rPr>
          <w:spacing w:val="-1"/>
        </w:rPr>
        <w:t>心的数字化平台；到现在已经发展成数据和服务为核心的智慧校园平台。智慧校园的定义是指以物联网为</w:t>
      </w:r>
      <w:r>
        <w:rPr>
          <w:spacing w:val="-81"/>
        </w:rPr>
        <w:t> </w:t>
      </w:r>
      <w:r>
        <w:rPr>
          <w:spacing w:val="-81"/>
        </w:rPr>
      </w:r>
      <w:r>
        <w:rPr>
          <w:spacing w:val="-1"/>
        </w:rPr>
        <w:t>基础的智慧化的校园工作、学习和生活一体化环境，以各种应用服务系统为载体，将教学、科研、管理和</w:t>
      </w:r>
      <w:r>
        <w:rPr>
          <w:spacing w:val="-83"/>
        </w:rPr>
        <w:t> </w:t>
      </w:r>
      <w:r>
        <w:rPr>
          <w:spacing w:val="-83"/>
        </w:rPr>
      </w:r>
      <w:r>
        <w:rPr>
          <w:spacing w:val="-6"/>
        </w:rPr>
        <w:t>校园生活进行充分融合。教育部印发了《教育信息化十年发展规划（</w:t>
      </w:r>
      <w:r>
        <w:rPr>
          <w:rFonts w:ascii="Times New Roman" w:hAnsi="Times New Roman" w:cs="Times New Roman" w:eastAsia="Times New Roman" w:hint="default"/>
          <w:spacing w:val="-6"/>
        </w:rPr>
        <w:t>2011-2020</w:t>
      </w:r>
      <w:r>
        <w:rPr>
          <w:spacing w:val="-6"/>
        </w:rPr>
        <w:t>）》，明确提出各院校要“大</w:t>
      </w:r>
      <w:r>
        <w:rPr>
          <w:spacing w:val="-102"/>
        </w:rPr>
        <w:t> </w:t>
      </w:r>
      <w:r>
        <w:rPr>
          <w:spacing w:val="-102"/>
        </w:rPr>
      </w:r>
      <w:r>
        <w:rPr>
          <w:spacing w:val="-3"/>
        </w:rPr>
        <w:t>力推进普通高校数字校园建设”，各院校也相继制定了智慧校园的发展规划，开始如火如荼地推进建设工</w:t>
      </w:r>
      <w:r>
        <w:rPr>
          <w:spacing w:val="-74"/>
        </w:rPr>
        <w:t> </w:t>
      </w:r>
      <w:r>
        <w:rPr>
          <w:spacing w:val="-74"/>
        </w:rPr>
      </w:r>
      <w:r>
        <w:rPr/>
        <w:t>作。</w:t>
      </w:r>
    </w:p>
    <w:p>
      <w:pPr>
        <w:pStyle w:val="BodyText"/>
        <w:spacing w:line="408" w:lineRule="auto" w:before="86"/>
        <w:ind w:right="308" w:firstLine="423"/>
        <w:jc w:val="both"/>
      </w:pPr>
      <w:r>
        <w:rPr>
          <w:spacing w:val="-1"/>
        </w:rPr>
        <w:t>《国家教育事业发展“十三五”规划》中明确提出，积极推动各级各类学校建设基于统一数据标准的</w:t>
      </w:r>
      <w:r>
        <w:rPr/>
        <w:t> </w:t>
      </w:r>
      <w:r>
        <w:rPr>
          <w:spacing w:val="-1"/>
        </w:rPr>
        <w:t>信息管理平台，实现各类数据伴随式收集和集成化管理，形成支撑教育教学和管理的教育服务体系；支持</w:t>
      </w:r>
      <w:r>
        <w:rPr>
          <w:spacing w:val="-83"/>
        </w:rPr>
        <w:t> </w:t>
      </w:r>
      <w:r>
        <w:rPr>
          <w:spacing w:val="-83"/>
        </w:rPr>
      </w:r>
      <w:r>
        <w:rPr>
          <w:spacing w:val="-1"/>
        </w:rPr>
        <w:t>各级各类学校建设智慧校园，综合利用互联网、大数据、人工智能和虚拟现实技术探索未来教育教学新模</w:t>
      </w:r>
      <w:r>
        <w:rPr>
          <w:spacing w:val="-83"/>
        </w:rPr>
        <w:t> </w:t>
      </w:r>
      <w:r>
        <w:rPr>
          <w:spacing w:val="-83"/>
        </w:rPr>
      </w:r>
      <w:r>
        <w:rPr/>
        <w:t>式。同时也明确提出建设绿色校园，加强节约型校园建设。</w:t>
      </w:r>
    </w:p>
    <w:p>
      <w:pPr>
        <w:pStyle w:val="BodyText"/>
        <w:spacing w:line="408" w:lineRule="auto" w:before="85"/>
        <w:ind w:right="308" w:firstLine="423"/>
        <w:jc w:val="both"/>
      </w:pPr>
      <w:r>
        <w:rPr>
          <w:spacing w:val="-6"/>
        </w:rPr>
        <w:t>公司以数据治理、流程服务、大数据分析为核心平台，集一卡通、数字化校园平台及应用、在线缴费、</w:t>
      </w:r>
      <w:r>
        <w:rPr/>
        <w:t> </w:t>
      </w:r>
      <w:r>
        <w:rPr>
          <w:spacing w:val="-1"/>
        </w:rPr>
        <w:t>教务、节能监管等综合产品构建了全新的智慧校园平台。同时根据各个学校具体需求实施部署基于学校自</w:t>
      </w:r>
      <w:r>
        <w:rPr>
          <w:spacing w:val="-81"/>
        </w:rPr>
        <w:t> </w:t>
      </w:r>
      <w:r>
        <w:rPr>
          <w:spacing w:val="-81"/>
        </w:rPr>
      </w:r>
      <w:r>
        <w:rPr>
          <w:spacing w:val="-1"/>
        </w:rPr>
        <w:t>身发展需要的智慧校园建设方案，将有助于让公司抓住智慧校园建设整体机会，学分制改革带来的教务系</w:t>
      </w:r>
      <w:r>
        <w:rPr>
          <w:spacing w:val="-81"/>
        </w:rPr>
        <w:t> </w:t>
      </w:r>
      <w:r>
        <w:rPr>
          <w:spacing w:val="-81"/>
        </w:rPr>
      </w:r>
      <w:r>
        <w:rPr/>
        <w:t>统需求喷发等细分领域机会。</w:t>
      </w:r>
    </w:p>
    <w:p>
      <w:pPr>
        <w:pStyle w:val="BodyText"/>
        <w:spacing w:line="417" w:lineRule="auto" w:before="85"/>
        <w:ind w:left="577" w:right="305" w:hanging="1"/>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、我国移动互联网产业迅速发展，与智能一卡通行业的融合带来了新的盈利空间 </w:t>
      </w:r>
      <w:r>
        <w:rPr>
          <w:spacing w:val="-1"/>
        </w:rPr>
        <w:t>近年来，我国移动互联网用户规模快速增长，智能移动终端迅速普及，根据</w:t>
      </w:r>
      <w:r>
        <w:rPr>
          <w:rFonts w:ascii="Times New Roman" w:hAnsi="Times New Roman" w:cs="Times New Roman" w:eastAsia="Times New Roman" w:hint="default"/>
          <w:spacing w:val="-1"/>
        </w:rPr>
        <w:t>Wind</w:t>
      </w:r>
      <w:r>
        <w:rPr>
          <w:spacing w:val="-1"/>
        </w:rPr>
        <w:t>的数据，截至</w:t>
      </w:r>
      <w:r>
        <w:rPr>
          <w:rFonts w:ascii="Times New Roman" w:hAnsi="Times New Roman" w:cs="Times New Roman" w:eastAsia="Times New Roman" w:hint="default"/>
          <w:spacing w:val="-1"/>
        </w:rPr>
        <w:t>2017</w:t>
      </w:r>
    </w:p>
    <w:p>
      <w:pPr>
        <w:pStyle w:val="BodyText"/>
        <w:spacing w:line="420" w:lineRule="auto" w:before="6"/>
        <w:ind w:left="577" w:right="305" w:hanging="424"/>
        <w:jc w:val="left"/>
      </w:pPr>
      <w:r>
        <w:rPr/>
        <w:t>年</w:t>
      </w:r>
      <w:r>
        <w:rPr>
          <w:rFonts w:ascii="Times New Roman" w:hAnsi="Times New Roman" w:cs="Times New Roman" w:eastAsia="Times New Roman" w:hint="default"/>
        </w:rPr>
        <w:t>2</w:t>
      </w:r>
      <w:r>
        <w:rPr/>
        <w:t>月，我国手机上网用户数累计规模为</w:t>
      </w:r>
      <w:r>
        <w:rPr>
          <w:rFonts w:ascii="Times New Roman" w:hAnsi="Times New Roman" w:cs="Times New Roman" w:eastAsia="Times New Roman" w:hint="default"/>
        </w:rPr>
        <w:t>10.58</w:t>
      </w:r>
      <w:r>
        <w:rPr/>
        <w:t>亿，这为我国移动互联网产业的崛起奠定了坚实的基础。 </w:t>
      </w:r>
      <w:r>
        <w:rPr>
          <w:spacing w:val="-1"/>
        </w:rPr>
        <w:t>学生群体正逐渐成为移动互联网的主导力量，市场潜力巨大。根据国家统计局的数据，截至</w:t>
      </w:r>
      <w:r>
        <w:rPr>
          <w:rFonts w:ascii="Times New Roman" w:hAnsi="Times New Roman" w:cs="Times New Roman" w:eastAsia="Times New Roman" w:hint="default"/>
          <w:spacing w:val="-1"/>
        </w:rPr>
        <w:t>2017</w:t>
      </w:r>
      <w:r>
        <w:rPr>
          <w:spacing w:val="-1"/>
        </w:rPr>
        <w:t>年我</w:t>
      </w:r>
    </w:p>
    <w:p>
      <w:pPr>
        <w:pStyle w:val="BodyText"/>
        <w:spacing w:line="386" w:lineRule="auto" w:before="3"/>
        <w:ind w:right="375"/>
        <w:jc w:val="left"/>
      </w:pPr>
      <w:r>
        <w:rPr/>
        <w:t>国普通高等学校在校生人数为</w:t>
      </w:r>
      <w:r>
        <w:rPr>
          <w:rFonts w:ascii="Times New Roman" w:hAnsi="Times New Roman" w:cs="Times New Roman" w:eastAsia="Times New Roman" w:hint="default"/>
        </w:rPr>
        <w:t>3,017.05</w:t>
      </w:r>
      <w:r>
        <w:rPr/>
        <w:t>万人，随着移动互联网影响的不断深入，校园移动互联的市场潜力 将被不断挖掘，公司“高校互联网</w:t>
      </w:r>
      <w:r>
        <w:rPr>
          <w:rFonts w:ascii="Times New Roman" w:hAnsi="Times New Roman" w:cs="Times New Roman" w:eastAsia="Times New Roman" w:hint="default"/>
        </w:rPr>
        <w:t>+</w:t>
      </w:r>
      <w:r>
        <w:rPr/>
        <w:t>”战略有助于公司抢占时机，快速切入校园移动互联市场。</w:t>
      </w:r>
    </w:p>
    <w:p>
      <w:pPr>
        <w:pStyle w:val="BodyText"/>
        <w:spacing w:line="386" w:lineRule="auto" w:before="74"/>
        <w:ind w:right="94" w:firstLine="423"/>
        <w:jc w:val="left"/>
      </w:pPr>
      <w:r>
        <w:rPr>
          <w:spacing w:val="-2"/>
        </w:rPr>
        <w:t>随着互联网用户从</w:t>
      </w:r>
      <w:r>
        <w:rPr>
          <w:rFonts w:ascii="Times New Roman" w:hAnsi="Times New Roman" w:cs="Times New Roman" w:eastAsia="Times New Roman" w:hint="default"/>
          <w:spacing w:val="-2"/>
        </w:rPr>
        <w:t>PC</w:t>
      </w:r>
      <w:r>
        <w:rPr>
          <w:spacing w:val="-2"/>
        </w:rPr>
        <w:t>端逐渐向移动端转移，作为用户接入移动互联网并借以获取内容和服务的第一站，</w:t>
      </w:r>
      <w:r>
        <w:rPr/>
        <w:t> </w:t>
      </w:r>
      <w:r>
        <w:rPr>
          <w:spacing w:val="-3"/>
        </w:rPr>
        <w:t>移动互联网入口成为行业竞争的焦点，所谓“得入口者得天下”，掌握了移动互联网入口就意味着可能通</w:t>
      </w:r>
    </w:p>
    <w:p>
      <w:pPr>
        <w:spacing w:after="0" w:line="386" w:lineRule="auto"/>
        <w:jc w:val="left"/>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410" w:lineRule="auto" w:before="35"/>
        <w:ind w:right="102"/>
        <w:jc w:val="left"/>
      </w:pPr>
      <w:r>
        <w:rPr>
          <w:spacing w:val="-1"/>
        </w:rPr>
        <w:t>过高黏度的内容和服务将产品优势转化为用户规模优势和流量优势，并带来源源不断的数据、信息、业务</w:t>
      </w:r>
      <w:r>
        <w:rPr>
          <w:spacing w:val="-83"/>
        </w:rPr>
        <w:t> </w:t>
      </w:r>
      <w:r>
        <w:rPr>
          <w:spacing w:val="-83"/>
        </w:rPr>
      </w:r>
      <w:r>
        <w:rPr/>
        <w:t>和收入。</w:t>
      </w:r>
    </w:p>
    <w:p>
      <w:pPr>
        <w:pStyle w:val="BodyText"/>
        <w:spacing w:line="386" w:lineRule="auto" w:before="82"/>
        <w:ind w:left="153" w:right="102" w:firstLine="423"/>
        <w:jc w:val="left"/>
      </w:pPr>
      <w:r>
        <w:rPr/>
        <w:t>在一卡通和移动互联结合的领域，公司通过“完美校园”</w:t>
      </w:r>
      <w:r>
        <w:rPr>
          <w:rFonts w:ascii="Times New Roman" w:hAnsi="Times New Roman" w:cs="Times New Roman" w:eastAsia="Times New Roman" w:hint="default"/>
        </w:rPr>
        <w:t>APP</w:t>
      </w:r>
      <w:r>
        <w:rPr/>
        <w:t>和公众号提供线上校区服务和社会服务 多年的积累，具有较强的先发优势、校园学生入口优势。目前，完美校园已经覆盖了</w:t>
      </w:r>
      <w:r>
        <w:rPr>
          <w:rFonts w:ascii="Times New Roman" w:hAnsi="Times New Roman" w:cs="Times New Roman" w:eastAsia="Times New Roman" w:hint="default"/>
        </w:rPr>
        <w:t>1000</w:t>
      </w:r>
      <w:r>
        <w:rPr/>
        <w:t>万名学生用户，</w:t>
      </w:r>
      <w:r>
        <w:rPr>
          <w:spacing w:val="-35"/>
        </w:rPr>
        <w:t> </w:t>
      </w:r>
      <w:r>
        <w:rPr>
          <w:spacing w:val="-35"/>
        </w:rPr>
      </w:r>
      <w:r>
        <w:rPr/>
        <w:t>公司校园移动互联网业务的未来值得期待。</w:t>
      </w:r>
    </w:p>
    <w:p>
      <w:pPr>
        <w:pStyle w:val="BodyText"/>
        <w:spacing w:line="417" w:lineRule="auto" w:before="106"/>
        <w:ind w:left="577" w:right="102" w:hanging="1"/>
        <w:jc w:val="left"/>
      </w:pPr>
      <w:r>
        <w:rPr>
          <w:rFonts w:ascii="Times New Roman" w:hAnsi="Times New Roman" w:cs="Times New Roman" w:eastAsia="Times New Roman" w:hint="default"/>
        </w:rPr>
        <w:t>5</w:t>
      </w:r>
      <w:r>
        <w:rPr/>
        <w:t>、国家政策大力推进产教融合，智慧教育产业潜在市场规模巨大 </w:t>
      </w:r>
      <w:r>
        <w:rPr>
          <w:spacing w:val="-3"/>
        </w:rPr>
        <w:t>在</w:t>
      </w:r>
      <w:r>
        <w:rPr>
          <w:rFonts w:ascii="Times New Roman" w:hAnsi="Times New Roman" w:cs="Times New Roman" w:eastAsia="Times New Roman" w:hint="default"/>
          <w:spacing w:val="-3"/>
        </w:rPr>
        <w:t>2014</w:t>
      </w:r>
      <w:r>
        <w:rPr>
          <w:spacing w:val="-3"/>
        </w:rPr>
        <w:t>年，国务院印发《关于加快发展现代职业教育的决定》，提出“深化阐教融合，鼓励行业和企</w:t>
      </w:r>
    </w:p>
    <w:p>
      <w:pPr>
        <w:pStyle w:val="BodyText"/>
        <w:spacing w:line="396" w:lineRule="auto" w:before="5"/>
        <w:ind w:left="153" w:right="206"/>
        <w:jc w:val="left"/>
      </w:pPr>
      <w:r>
        <w:rPr>
          <w:spacing w:val="-3"/>
        </w:rPr>
        <w:t>业举办或参与举办职业教育，发挥企业重要办学主题作用”。</w:t>
      </w:r>
      <w:r>
        <w:rPr>
          <w:rFonts w:ascii="Times New Roman" w:hAnsi="Times New Roman" w:cs="Times New Roman" w:eastAsia="Times New Roman" w:hint="default"/>
          <w:spacing w:val="-3"/>
        </w:rPr>
        <w:t>2015</w:t>
      </w:r>
      <w:r>
        <w:rPr>
          <w:spacing w:val="-3"/>
        </w:rPr>
        <w:t>年，国务院印发《统筹推进世界一流大</w:t>
      </w:r>
      <w:r>
        <w:rPr>
          <w:spacing w:val="-70"/>
        </w:rPr>
        <w:t> </w:t>
      </w:r>
      <w:r>
        <w:rPr>
          <w:spacing w:val="-70"/>
        </w:rPr>
      </w:r>
      <w:r>
        <w:rPr>
          <w:spacing w:val="-3"/>
        </w:rPr>
        <w:t>学和一流学科建设总体方案》，强调“深化产教融合，将一流大学和一流学科建设与推动经济社会发展密</w:t>
      </w:r>
      <w:r>
        <w:rPr>
          <w:spacing w:val="-74"/>
        </w:rPr>
        <w:t> </w:t>
      </w:r>
      <w:r>
        <w:rPr>
          <w:spacing w:val="-74"/>
        </w:rPr>
      </w:r>
      <w:r>
        <w:rPr>
          <w:spacing w:val="-3"/>
        </w:rPr>
        <w:t>切结合，着力提高高校对产业转型升级的贡献率”，对高等教育和“双一流”建设提出深化产教融合明确</w:t>
      </w:r>
      <w:r>
        <w:rPr>
          <w:spacing w:val="-74"/>
        </w:rPr>
        <w:t> </w:t>
      </w:r>
      <w:r>
        <w:rPr>
          <w:spacing w:val="-74"/>
        </w:rPr>
      </w:r>
      <w:r>
        <w:rPr>
          <w:spacing w:val="-5"/>
        </w:rPr>
        <w:t>要求。</w:t>
      </w:r>
      <w:r>
        <w:rPr>
          <w:rFonts w:ascii="Times New Roman" w:hAnsi="Times New Roman" w:cs="Times New Roman" w:eastAsia="Times New Roman" w:hint="default"/>
          <w:spacing w:val="-5"/>
        </w:rPr>
        <w:t>2016</w:t>
      </w:r>
      <w:r>
        <w:rPr>
          <w:spacing w:val="-5"/>
        </w:rPr>
        <w:t>年，党中央印发《关于深化人才发展体制机制改革的意见》，进一步明确要求“建立产教融合、</w:t>
      </w:r>
      <w:r>
        <w:rPr>
          <w:spacing w:val="-98"/>
        </w:rPr>
        <w:t> </w:t>
      </w:r>
      <w:r>
        <w:rPr>
          <w:spacing w:val="-98"/>
        </w:rPr>
      </w:r>
      <w:r>
        <w:rPr>
          <w:spacing w:val="-5"/>
        </w:rPr>
        <w:t>校企合作的技术技能人才培养模式”，在</w:t>
      </w:r>
      <w:r>
        <w:rPr>
          <w:rFonts w:ascii="Times New Roman" w:hAnsi="Times New Roman" w:cs="Times New Roman" w:eastAsia="Times New Roman" w:hint="default"/>
          <w:spacing w:val="-5"/>
        </w:rPr>
        <w:t>2017</w:t>
      </w:r>
      <w:r>
        <w:rPr>
          <w:spacing w:val="-5"/>
        </w:rPr>
        <w:t>年底国务院办公厅出台《关于深化产教融合的若干意见》，意</w:t>
      </w:r>
      <w:r>
        <w:rPr>
          <w:spacing w:val="-8"/>
        </w:rPr>
        <w:t> </w:t>
      </w:r>
      <w:r>
        <w:rPr>
          <w:spacing w:val="-1"/>
        </w:rPr>
        <w:t>味着产教融合发展进入新阶段，高等院校要根据学生特点和学情分析，采用更先进的技术手段筑造产教深</w:t>
      </w:r>
      <w:r>
        <w:rPr>
          <w:spacing w:val="-81"/>
        </w:rPr>
        <w:t> </w:t>
      </w:r>
      <w:r>
        <w:rPr>
          <w:spacing w:val="-81"/>
        </w:rPr>
      </w:r>
      <w:r>
        <w:rPr>
          <w:spacing w:val="-2"/>
        </w:rPr>
        <w:t>度融合的未来大学，这标志着产教融合</w:t>
      </w:r>
      <w:r>
        <w:rPr>
          <w:rFonts w:ascii="Times New Roman" w:hAnsi="Times New Roman" w:cs="Times New Roman" w:eastAsia="Times New Roman" w:hint="default"/>
          <w:spacing w:val="-2"/>
        </w:rPr>
        <w:t>2.0</w:t>
      </w:r>
      <w:r>
        <w:rPr>
          <w:spacing w:val="-2"/>
        </w:rPr>
        <w:t>时代的到来。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日，教育部等六部门关于印发了《职业</w:t>
      </w:r>
      <w:r>
        <w:rPr>
          <w:spacing w:val="-88"/>
        </w:rPr>
        <w:t> </w:t>
      </w:r>
      <w:r>
        <w:rPr>
          <w:spacing w:val="-88"/>
        </w:rPr>
      </w:r>
      <w:r>
        <w:rPr>
          <w:spacing w:val="-3"/>
        </w:rPr>
        <w:t>学校校企合作促进办法》，明确了职业学校与企业合作的</w:t>
      </w:r>
      <w:r>
        <w:rPr>
          <w:rFonts w:ascii="Times New Roman" w:hAnsi="Times New Roman" w:cs="Times New Roman" w:eastAsia="Times New Roman" w:hint="default"/>
          <w:spacing w:val="-3"/>
        </w:rPr>
        <w:t>6</w:t>
      </w:r>
      <w:r>
        <w:rPr>
          <w:spacing w:val="-3"/>
        </w:rPr>
        <w:t>种形式，并明确了对合作企业在信贷、融资、税</w:t>
      </w:r>
      <w:r>
        <w:rPr>
          <w:spacing w:val="-95"/>
        </w:rPr>
        <w:t> </w:t>
      </w:r>
      <w:r>
        <w:rPr>
          <w:spacing w:val="-95"/>
        </w:rPr>
      </w:r>
      <w:r>
        <w:rPr/>
        <w:t>收等方面的支持，更加印证了国家对于做好校企合作、产教融合的决心。</w:t>
      </w:r>
    </w:p>
    <w:p>
      <w:pPr>
        <w:pStyle w:val="BodyText"/>
        <w:spacing w:line="408" w:lineRule="auto" w:before="95"/>
        <w:ind w:left="153" w:right="102" w:firstLine="423"/>
        <w:jc w:val="left"/>
      </w:pPr>
      <w:r>
        <w:rPr/>
        <w:t>相关政策在多个方面强化企业参与教育的重要主体作用：支持引导企业深度参与职业学校、高等学校 教育教学改革，多种方式参与学校专业规划、教材开发、教学设计、课程设置、实习实训，促进企业需求 融入人才培养环节。推行面向企业真实生产环境的任务式培养模式。职业学校新设专业原则上应有相关行 业企业参与。鼓励企业依托或联合职业学校、高等学校设立产业学院和企业工作室、实验室、创新基地、</w:t>
      </w:r>
      <w:r>
        <w:rPr>
          <w:spacing w:val="-36"/>
        </w:rPr>
        <w:t> </w:t>
      </w:r>
      <w:r>
        <w:rPr>
          <w:spacing w:val="-36"/>
        </w:rPr>
      </w:r>
      <w:r>
        <w:rPr/>
        <w:t>实践基地开展生产性实习实训。健全学生到企业实习实训制度。鼓励以引企驻校、引校进企、校企一体等</w:t>
      </w:r>
      <w:r>
        <w:rPr/>
        <w:t> 方式，吸引优势企业与学校共建共享生产性实训基地。支持各地依托学校建设行业或区域性实训基地，带 </w:t>
      </w:r>
      <w:r>
        <w:rPr>
          <w:spacing w:val="-5"/>
        </w:rPr>
        <w:t>动中小微企业参与校企合作。通过探索购买服务、落实税收政策等方式，鼓励企业直接接收学生实习实训。</w:t>
      </w:r>
      <w:r>
        <w:rPr>
          <w:spacing w:val="-101"/>
        </w:rPr>
        <w:t> </w:t>
      </w:r>
      <w:r>
        <w:rPr>
          <w:spacing w:val="-101"/>
        </w:rPr>
      </w:r>
      <w:r>
        <w:rPr/>
        <w:t>鼓励企业以独资、合资、合作等方式依法参与举办职业教育、高等教育。坚持准入条件透明化、审批范围</w:t>
      </w:r>
      <w:r>
        <w:rPr/>
        <w:t> 最小化，细化标准、简化流程、优化服务，改进办学准入条件和审批环节。通过购买服务、委托管理等，</w:t>
      </w:r>
      <w:r>
        <w:rPr>
          <w:spacing w:val="-36"/>
        </w:rPr>
        <w:t> </w:t>
      </w:r>
      <w:r>
        <w:rPr>
          <w:spacing w:val="-36"/>
        </w:rPr>
      </w:r>
      <w:r>
        <w:rPr/>
        <w:t>支持企业参与公办职业学校办学。鼓励有条件的地区探索推进职业学校股份制、混合所有制改革，允许企</w:t>
      </w:r>
      <w:r>
        <w:rPr/>
        <w:t> 业以资本、技术、管理等要素依法参与办学并享有相应权利。</w:t>
      </w:r>
    </w:p>
    <w:p>
      <w:pPr>
        <w:pStyle w:val="BodyText"/>
        <w:spacing w:line="386" w:lineRule="auto" w:before="85"/>
        <w:ind w:left="153" w:right="102" w:firstLine="423"/>
        <w:jc w:val="left"/>
      </w:pPr>
      <w:r>
        <w:rPr/>
        <w:t>在国家产业升级，新旧动能转换的背景下，教育部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月以来积极推进了新工科建设，大力发展 </w:t>
      </w:r>
      <w:r>
        <w:rPr>
          <w:spacing w:val="-6"/>
        </w:rPr>
        <w:t>大数据、云计算、物联网应用、人工智能、虚拟现实、基因工程、核技术等新技术和智能制造、集成电路、</w:t>
      </w:r>
    </w:p>
    <w:p>
      <w:pPr>
        <w:spacing w:after="0" w:line="386"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10" w:lineRule="auto" w:before="35"/>
        <w:ind w:right="193"/>
        <w:jc w:val="left"/>
      </w:pPr>
      <w:r>
        <w:rPr/>
        <w:t>空天海洋</w:t>
      </w:r>
      <w:r>
        <w:rPr>
          <w:spacing w:val="-47"/>
        </w:rPr>
        <w:t>、</w:t>
      </w:r>
      <w:r>
        <w:rPr/>
        <w:t>生物医药</w:t>
      </w:r>
      <w:r>
        <w:rPr>
          <w:spacing w:val="-47"/>
        </w:rPr>
        <w:t>、</w:t>
      </w:r>
      <w:r>
        <w:rPr/>
        <w:t>新材料等新产业相关的新兴工科专业和特色专业集群</w:t>
      </w:r>
      <w:r>
        <w:rPr>
          <w:spacing w:val="-47"/>
        </w:rPr>
        <w:t>，</w:t>
      </w:r>
      <w:r>
        <w:rPr/>
        <w:t>先后形成</w:t>
      </w:r>
      <w:r>
        <w:rPr>
          <w:spacing w:val="-47"/>
        </w:rPr>
        <w:t>了</w:t>
      </w:r>
      <w:r>
        <w:rPr/>
        <w:t>“复旦共识</w:t>
      </w:r>
      <w:r>
        <w:rPr>
          <w:spacing w:val="-105"/>
        </w:rPr>
        <w:t>”</w:t>
      </w:r>
      <w:r>
        <w:rPr>
          <w:spacing w:val="-152"/>
        </w:rPr>
        <w:t>、</w:t>
      </w:r>
      <w:r>
        <w:rPr>
          <w:spacing w:val="1"/>
        </w:rPr>
        <w:t>“天</w:t>
      </w:r>
      <w:r>
        <w:rPr>
          <w:spacing w:val="1"/>
        </w:rPr>
        <w:t> </w:t>
      </w:r>
      <w:r>
        <w:rPr/>
        <w:t>大行动”和“北京指南</w:t>
      </w:r>
      <w:r>
        <w:rPr>
          <w:spacing w:val="-106"/>
        </w:rPr>
        <w:t>”</w:t>
      </w:r>
      <w:r>
        <w:rPr/>
        <w:t>，并发布了《关于开展新工科研究与实践的通知</w:t>
      </w:r>
      <w:r>
        <w:rPr>
          <w:spacing w:val="-105"/>
        </w:rPr>
        <w:t>》、</w:t>
      </w:r>
      <w:r>
        <w:rPr/>
        <w:t>《关</w:t>
      </w:r>
      <w:r>
        <w:rPr>
          <w:spacing w:val="-2"/>
        </w:rPr>
        <w:t>于</w:t>
      </w:r>
      <w:r>
        <w:rPr/>
        <w:t>推进新工科研究与实践</w:t>
      </w:r>
      <w:r>
        <w:rPr/>
        <w:t> 项目的通知</w:t>
      </w:r>
      <w:r>
        <w:rPr>
          <w:spacing w:val="-106"/>
        </w:rPr>
        <w:t>》</w:t>
      </w:r>
      <w:r>
        <w:rPr/>
        <w:t>，其中，新工科教育需要政府部门大力支持、社会力量积极参与等已形成共识。</w:t>
      </w:r>
    </w:p>
    <w:p>
      <w:pPr>
        <w:pStyle w:val="BodyText"/>
        <w:spacing w:line="410" w:lineRule="auto" w:before="82"/>
        <w:ind w:right="102" w:firstLine="423"/>
        <w:jc w:val="left"/>
      </w:pPr>
      <w:r>
        <w:rPr/>
        <w:t>如上分析都表明，智慧教育的趋势整体利好公司主要针对新工科，以参与教学改革、设计课程体系、</w:t>
      </w:r>
      <w:r>
        <w:rPr>
          <w:spacing w:val="2"/>
        </w:rPr>
        <w:t> </w:t>
      </w:r>
      <w:r>
        <w:rPr/>
        <w:t>销售教学软硬件设备、提供职业教育服务的智慧教育板块的快速发展。</w:t>
      </w:r>
    </w:p>
    <w:p>
      <w:pPr>
        <w:pStyle w:val="BodyText"/>
        <w:spacing w:line="417" w:lineRule="auto" w:before="85"/>
        <w:ind w:left="577" w:right="102" w:hanging="1"/>
        <w:jc w:val="left"/>
      </w:pPr>
      <w:r>
        <w:rPr>
          <w:rFonts w:ascii="Times New Roman" w:hAnsi="Times New Roman" w:cs="Times New Roman" w:eastAsia="Times New Roman" w:hint="default"/>
        </w:rPr>
        <w:t>6</w:t>
      </w:r>
      <w:r>
        <w:rPr/>
        <w:t>、企事业一卡通将获得大发展 </w:t>
      </w:r>
      <w:r>
        <w:rPr>
          <w:spacing w:val="-1"/>
        </w:rPr>
        <w:t>针对企事业应用领域，一卡通在企业信息化建设中的人、财、物的数据入口和管道融合的需求正在逐</w:t>
      </w:r>
    </w:p>
    <w:p>
      <w:pPr>
        <w:pStyle w:val="BodyText"/>
        <w:spacing w:line="403" w:lineRule="auto" w:before="38"/>
        <w:ind w:right="211"/>
        <w:jc w:val="both"/>
      </w:pPr>
      <w:r>
        <w:rPr>
          <w:spacing w:val="-1"/>
        </w:rPr>
        <w:t>步增强，且该行业呈现出市场空间巨大、用户需求定制化意愿强烈、行业发展迅猛、参与者众多且参与者</w:t>
      </w:r>
      <w:r>
        <w:rPr>
          <w:spacing w:val="-82"/>
        </w:rPr>
        <w:t> </w:t>
      </w:r>
      <w:r>
        <w:rPr>
          <w:spacing w:val="-82"/>
        </w:rPr>
      </w:r>
      <w:r>
        <w:rPr>
          <w:spacing w:val="-1"/>
        </w:rPr>
        <w:t>行业独立性较强、竞争相对充分等特点，因此，该行业的发展也呈现出较大的地域特性及行业龙头的引领</w:t>
      </w:r>
      <w:r>
        <w:rPr>
          <w:spacing w:val="-83"/>
        </w:rPr>
        <w:t> </w:t>
      </w:r>
      <w:r>
        <w:rPr>
          <w:spacing w:val="-83"/>
        </w:rPr>
      </w:r>
      <w:r>
        <w:rPr>
          <w:spacing w:val="-1"/>
        </w:rPr>
        <w:t>及各行业协作融合的巨大市场空间。对一卡通在企业信息化的发展，可分为两个领域，即从企业管理及效</w:t>
      </w:r>
      <w:r>
        <w:rPr>
          <w:spacing w:val="-83"/>
        </w:rPr>
        <w:t> </w:t>
      </w:r>
      <w:r>
        <w:rPr>
          <w:spacing w:val="-83"/>
        </w:rPr>
      </w:r>
      <w:r>
        <w:rPr>
          <w:spacing w:val="-1"/>
        </w:rPr>
        <w:t>益入手的大型集团及互联网属性的企业信息化建设体系、以制造业为主，融合中国制造</w:t>
      </w:r>
      <w:r>
        <w:rPr>
          <w:rFonts w:ascii="Times New Roman" w:hAnsi="Times New Roman" w:cs="Times New Roman" w:eastAsia="Times New Roman" w:hint="default"/>
          <w:spacing w:val="-1"/>
        </w:rPr>
        <w:t>2025</w:t>
      </w:r>
      <w:r>
        <w:rPr>
          <w:spacing w:val="-1"/>
        </w:rPr>
        <w:t>标准的智造信</w:t>
      </w:r>
      <w:r>
        <w:rPr>
          <w:spacing w:val="-82"/>
        </w:rPr>
        <w:t> </w:t>
      </w:r>
      <w:r>
        <w:rPr/>
        <w:t>息化建设体系。</w:t>
      </w:r>
    </w:p>
    <w:p>
      <w:pPr>
        <w:pStyle w:val="BodyText"/>
        <w:spacing w:line="403" w:lineRule="auto" w:before="88"/>
        <w:ind w:right="102" w:firstLine="423"/>
        <w:jc w:val="left"/>
      </w:pPr>
      <w:r>
        <w:rPr/>
        <w:t>新开普基于这两个体系进行了布局，成立了企业一卡通解决方案中心，以企业信息化融合和中国制造 </w:t>
      </w:r>
      <w:r>
        <w:rPr>
          <w:rFonts w:ascii="Times New Roman" w:hAnsi="Times New Roman" w:cs="Times New Roman" w:eastAsia="Times New Roman" w:hint="default"/>
        </w:rPr>
        <w:t>2025</w:t>
      </w:r>
      <w:r>
        <w:rPr/>
        <w:t>的信息化建设为导向进行企业行业的解决方案设计和整体解决方案的供应。基于大型集团及互联网企 业为首的企业信息化多行业融合，新开普充分发挥自己在一卡通行业的龙头地位和行业引领目标，针对各 行业进行深入的企业特性研究、企业地域特性关联研究等，以一卡通为切入点，用行业顶尖和领先的聚合 支付体系为核心，融合新开普自研的智能识别终端，并整合行业先进的</w:t>
      </w:r>
      <w:r>
        <w:rPr>
          <w:rFonts w:ascii="Times New Roman" w:hAnsi="Times New Roman" w:cs="Times New Roman" w:eastAsia="Times New Roman" w:hint="default"/>
        </w:rPr>
        <w:t>AI</w:t>
      </w:r>
      <w:r>
        <w:rPr/>
        <w:t>系统和终端，为企业的人、财、</w:t>
      </w:r>
      <w:r>
        <w:rPr>
          <w:spacing w:val="-47"/>
        </w:rPr>
        <w:t> </w:t>
      </w:r>
      <w:r>
        <w:rPr>
          <w:spacing w:val="-47"/>
        </w:rPr>
      </w:r>
      <w:r>
        <w:rPr/>
        <w:t>物打造一个线性的支付和识别体系，为企业的办公自动化系统、财务系统等提供关联数据和唯一的权鉴认</w:t>
      </w:r>
      <w:r>
        <w:rPr/>
        <w:t> 证体系，并以新开普特有的行业深度定制开发以满足用户需求为特性，为各企业用户在园区安防、人员管 理、能耗监控分析、企业人员财务属性分析等各个层面提供服务，并可根据用户需求，整合各方数据，为 企业建造大数据分析平台，助力企业的经营管理和分析决策。</w:t>
      </w:r>
    </w:p>
    <w:p>
      <w:pPr>
        <w:pStyle w:val="BodyText"/>
        <w:spacing w:line="386" w:lineRule="auto" w:before="90"/>
        <w:ind w:right="102" w:firstLine="423"/>
        <w:jc w:val="left"/>
      </w:pPr>
      <w:r>
        <w:rPr>
          <w:spacing w:val="-1"/>
        </w:rPr>
        <w:t>基于中国制造</w:t>
      </w:r>
      <w:r>
        <w:rPr>
          <w:rFonts w:ascii="Times New Roman" w:hAnsi="Times New Roman" w:cs="Times New Roman" w:eastAsia="Times New Roman" w:hint="default"/>
          <w:spacing w:val="-1"/>
        </w:rPr>
        <w:t>2025</w:t>
      </w:r>
      <w:r>
        <w:rPr>
          <w:spacing w:val="-1"/>
        </w:rPr>
        <w:t>的智造信息化，新开普正以一卡通平台为基础提供人、财、物的线性数据，以新开</w:t>
      </w:r>
      <w:r>
        <w:rPr/>
        <w:t> 普研发的</w:t>
      </w:r>
      <w:r>
        <w:rPr>
          <w:rFonts w:ascii="Times New Roman" w:hAnsi="Times New Roman" w:cs="Times New Roman" w:eastAsia="Times New Roman" w:hint="default"/>
        </w:rPr>
        <w:t>RFID</w:t>
      </w:r>
      <w:r>
        <w:rPr/>
        <w:t>产品为识别前端，根据中国制造</w:t>
      </w:r>
      <w:r>
        <w:rPr>
          <w:rFonts w:ascii="Times New Roman" w:hAnsi="Times New Roman" w:cs="Times New Roman" w:eastAsia="Times New Roman" w:hint="default"/>
        </w:rPr>
        <w:t>2025</w:t>
      </w:r>
      <w:r>
        <w:rPr/>
        <w:t>的标准，在智能传感、</w:t>
      </w:r>
      <w:r>
        <w:rPr>
          <w:rFonts w:ascii="Times New Roman" w:hAnsi="Times New Roman" w:cs="Times New Roman" w:eastAsia="Times New Roman" w:hint="default"/>
        </w:rPr>
        <w:t>RFID</w:t>
      </w:r>
      <w:r>
        <w:rPr/>
        <w:t>生产数据采集分析、产品 </w:t>
      </w:r>
      <w:r>
        <w:rPr>
          <w:spacing w:val="-1"/>
        </w:rPr>
        <w:t>溯源体系、智能仓储、智慧产线定制化生产、产业链流程化再造等各方面基于行业标准和中国制造</w:t>
      </w:r>
      <w:r>
        <w:rPr>
          <w:rFonts w:ascii="Times New Roman" w:hAnsi="Times New Roman" w:cs="Times New Roman" w:eastAsia="Times New Roman" w:hint="default"/>
          <w:spacing w:val="-1"/>
        </w:rPr>
        <w:t>2025</w:t>
      </w:r>
      <w:r>
        <w:rPr>
          <w:spacing w:val="-1"/>
        </w:rPr>
        <w:t>的</w:t>
      </w:r>
      <w:r>
        <w:rPr>
          <w:spacing w:val="-83"/>
        </w:rPr>
        <w:t> </w:t>
      </w:r>
      <w:r>
        <w:rPr/>
        <w:t>标准和要求，为各大型制造业客户提供量身定制的制造系统和大数据服务。</w:t>
      </w:r>
    </w:p>
    <w:p>
      <w:pPr>
        <w:pStyle w:val="BodyText"/>
        <w:spacing w:line="417" w:lineRule="auto" w:before="104"/>
        <w:ind w:left="577" w:right="102" w:hanging="1"/>
        <w:jc w:val="left"/>
      </w:pPr>
      <w:r>
        <w:rPr>
          <w:rFonts w:ascii="Times New Roman" w:hAnsi="Times New Roman" w:cs="Times New Roman" w:eastAsia="Times New Roman" w:hint="default"/>
        </w:rPr>
        <w:t>7</w:t>
      </w:r>
      <w:r>
        <w:rPr/>
        <w:t>、智慧住区、智慧养老，随国家新型智慧城市建设，从标准到体系逐步健全 </w:t>
      </w:r>
      <w:r>
        <w:rPr>
          <w:spacing w:val="-1"/>
        </w:rPr>
        <w:t>国家住建部、民政部随着国家新型智慧城市建设的发展，均对居住领域、养老领域做了从标准到项目</w:t>
      </w:r>
    </w:p>
    <w:p>
      <w:pPr>
        <w:pStyle w:val="BodyText"/>
        <w:spacing w:line="408" w:lineRule="auto" w:before="38"/>
        <w:ind w:right="102"/>
        <w:jc w:val="left"/>
      </w:pPr>
      <w:r>
        <w:rPr>
          <w:spacing w:val="-1"/>
        </w:rPr>
        <w:t>的广泛论证和布局。我国的居住环境将告别为了住而购房的时代，未来房地产也将进入服务时代，从家庭</w:t>
      </w:r>
      <w:r>
        <w:rPr>
          <w:spacing w:val="-83"/>
        </w:rPr>
        <w:t> </w:t>
      </w:r>
      <w:r>
        <w:rPr>
          <w:spacing w:val="-83"/>
        </w:rPr>
      </w:r>
      <w:r>
        <w:rPr>
          <w:spacing w:val="-1"/>
        </w:rPr>
        <w:t>智能环境到社区以及周边，均会借助各类智能硬件设备，确保环境安全、支付便利、信息共享，智慧住区</w:t>
      </w:r>
    </w:p>
    <w:p>
      <w:pPr>
        <w:spacing w:after="0" w:line="40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3" w:lineRule="auto" w:before="35"/>
        <w:ind w:left="153" w:right="211"/>
        <w:jc w:val="both"/>
      </w:pPr>
      <w:r>
        <w:rPr>
          <w:spacing w:val="-1"/>
        </w:rPr>
        <w:t>的发展体量是与我国房地产房屋体量相当的，以新型租赁地产为代表以及新建的房屋为例，市场规模就已</w:t>
      </w:r>
      <w:r>
        <w:rPr>
          <w:spacing w:val="-81"/>
        </w:rPr>
        <w:t> </w:t>
      </w:r>
      <w:r>
        <w:rPr>
          <w:spacing w:val="-81"/>
        </w:rPr>
      </w:r>
      <w:r>
        <w:rPr>
          <w:spacing w:val="-2"/>
        </w:rPr>
        <w:t>相当具备规模。我国的老龄化正在加剧，全国将近</w:t>
      </w:r>
      <w:r>
        <w:rPr>
          <w:rFonts w:ascii="Times New Roman" w:hAnsi="Times New Roman" w:cs="Times New Roman" w:eastAsia="Times New Roman" w:hint="default"/>
          <w:spacing w:val="-2"/>
        </w:rPr>
        <w:t>1.6</w:t>
      </w:r>
      <w:r>
        <w:rPr>
          <w:spacing w:val="-2"/>
        </w:rPr>
        <w:t>亿的老人是具备行为能力和清醒意识的，智慧养老着</w:t>
      </w:r>
      <w:r>
        <w:rPr>
          <w:spacing w:val="-89"/>
        </w:rPr>
        <w:t> </w:t>
      </w:r>
      <w:r>
        <w:rPr>
          <w:spacing w:val="-89"/>
        </w:rPr>
      </w:r>
      <w:r>
        <w:rPr>
          <w:spacing w:val="-1"/>
        </w:rPr>
        <w:t>眼于通过整体化解决方案以及顶层软件架构体系，利用物联网技术实现为老年群体提供地产、社区、居家</w:t>
      </w:r>
      <w:r>
        <w:rPr>
          <w:spacing w:val="-83"/>
        </w:rPr>
        <w:t> </w:t>
      </w:r>
      <w:r>
        <w:rPr>
          <w:spacing w:val="-83"/>
        </w:rPr>
      </w:r>
      <w:r>
        <w:rPr>
          <w:spacing w:val="-1"/>
        </w:rPr>
        <w:t>养老服务的目标，随着国内人群老龄化结构的变化，该类市场对服务商提供了相对较长时间周期、较广发</w:t>
      </w:r>
      <w:r>
        <w:rPr>
          <w:spacing w:val="-83"/>
        </w:rPr>
        <w:t> </w:t>
      </w:r>
      <w:r>
        <w:rPr>
          <w:spacing w:val="-83"/>
        </w:rPr>
      </w:r>
      <w:r>
        <w:rPr/>
        <w:t>展规模的可期空间。</w:t>
      </w:r>
    </w:p>
    <w:p>
      <w:pPr>
        <w:pStyle w:val="BodyText"/>
        <w:spacing w:line="432" w:lineRule="auto" w:before="90"/>
        <w:ind w:left="577" w:right="102" w:hanging="1"/>
        <w:jc w:val="left"/>
      </w:pPr>
      <w:r>
        <w:rPr>
          <w:rFonts w:ascii="Times New Roman" w:hAnsi="Times New Roman" w:cs="Times New Roman" w:eastAsia="Times New Roman" w:hint="default"/>
        </w:rPr>
        <w:t>8</w:t>
      </w:r>
      <w:r>
        <w:rPr/>
        <w:t>、智慧能源、智慧水利正涌现出多方面的机会 智慧能源、智慧水利跟随着行业、政策和技术的发展，正涌现出多方面的机会。 </w:t>
      </w:r>
      <w:r>
        <w:rPr>
          <w:spacing w:val="-1"/>
        </w:rPr>
        <w:t>电力领域，随着国家电网公司载波通讯新技术标准的推出及应用，将会为电网公司智能电表改造项目</w:t>
      </w:r>
    </w:p>
    <w:p>
      <w:pPr>
        <w:pStyle w:val="BodyText"/>
        <w:spacing w:line="393" w:lineRule="auto" w:before="25"/>
        <w:ind w:right="102"/>
        <w:jc w:val="left"/>
      </w:pPr>
      <w:r>
        <w:rPr>
          <w:spacing w:val="-5"/>
        </w:rPr>
        <w:t>升级带来新的机遇。燃气领域，中国环境严重污染倒逼我国能源结构转型，天然气需求保持年均</w:t>
      </w:r>
      <w:r>
        <w:rPr>
          <w:rFonts w:ascii="Times New Roman" w:hAnsi="Times New Roman" w:cs="Times New Roman" w:eastAsia="Times New Roman" w:hint="default"/>
          <w:spacing w:val="-5"/>
        </w:rPr>
        <w:t>19%</w:t>
      </w:r>
      <w:r>
        <w:rPr>
          <w:spacing w:val="-5"/>
        </w:rPr>
        <w:t>增速，</w:t>
      </w:r>
      <w:r>
        <w:rPr>
          <w:spacing w:val="-64"/>
        </w:rPr>
        <w:t> </w:t>
      </w:r>
      <w:r>
        <w:rPr/>
        <w:t>预计 </w:t>
      </w:r>
      <w:r>
        <w:rPr>
          <w:rFonts w:ascii="Times New Roman" w:hAnsi="Times New Roman" w:cs="Times New Roman" w:eastAsia="Times New Roman" w:hint="default"/>
        </w:rPr>
        <w:t>2020 </w:t>
      </w:r>
      <w:r>
        <w:rPr/>
        <w:t>年将达到</w:t>
      </w:r>
      <w:r>
        <w:rPr>
          <w:rFonts w:ascii="Times New Roman" w:hAnsi="Times New Roman" w:cs="Times New Roman" w:eastAsia="Times New Roman" w:hint="default"/>
        </w:rPr>
        <w:t>4000</w:t>
      </w:r>
      <w:r>
        <w:rPr/>
        <w:t>亿立方米。国家和各省市对于积极调整能源消费结构、大力推进清洁能源供热、</w:t>
      </w:r>
      <w:r>
        <w:rPr>
          <w:spacing w:val="-91"/>
        </w:rPr>
        <w:t> </w:t>
      </w:r>
      <w:r>
        <w:rPr>
          <w:spacing w:val="-91"/>
        </w:rPr>
      </w:r>
      <w:r>
        <w:rPr/>
        <w:t>改善和提高大气环境质量的态度是坚决的。当前正处于天然气行业快速增长时期，下游天然气表应用也将</w:t>
      </w:r>
      <w:r>
        <w:rPr/>
        <w:t> 在政策推动下有更加广阔的发展空间。</w:t>
      </w:r>
    </w:p>
    <w:p>
      <w:pPr>
        <w:pStyle w:val="BodyText"/>
        <w:spacing w:line="410" w:lineRule="auto" w:before="97"/>
        <w:ind w:right="102" w:firstLine="423"/>
        <w:jc w:val="left"/>
      </w:pPr>
      <w:r>
        <w:rPr>
          <w:spacing w:val="-1"/>
        </w:rPr>
        <w:t>智慧水利方面，随着国家推行水资源费改税、农村水价综合改革、河长制及湖长制，近期，将会呈现</w:t>
      </w:r>
      <w:r>
        <w:rPr/>
        <w:t> 不错的市场机会。而公司在智慧能源和智慧水利方面已经做好了多方面的准备。</w:t>
      </w:r>
    </w:p>
    <w:p>
      <w:pPr>
        <w:pStyle w:val="BodyText"/>
        <w:spacing w:line="240" w:lineRule="auto" w:before="85"/>
        <w:ind w:left="577" w:right="102"/>
        <w:jc w:val="left"/>
      </w:pPr>
      <w:r>
        <w:rPr/>
        <w:t>（三）</w:t>
      </w:r>
      <w:r>
        <w:rPr>
          <w:rFonts w:ascii="Times New Roman" w:hAnsi="Times New Roman" w:cs="Times New Roman" w:eastAsia="Times New Roman" w:hint="default"/>
        </w:rPr>
        <w:t>2018</w:t>
      </w:r>
      <w:r>
        <w:rPr/>
        <w:t>年度展望及经营规划</w:t>
      </w:r>
    </w:p>
    <w:p>
      <w:pPr>
        <w:spacing w:line="240" w:lineRule="auto" w:before="6"/>
        <w:rPr>
          <w:rFonts w:ascii="宋体" w:hAnsi="宋体" w:cs="宋体" w:eastAsia="宋体" w:hint="default"/>
          <w:sz w:val="16"/>
          <w:szCs w:val="16"/>
        </w:rPr>
      </w:pPr>
    </w:p>
    <w:p>
      <w:pPr>
        <w:pStyle w:val="BodyText"/>
        <w:spacing w:line="386" w:lineRule="auto" w:before="0"/>
        <w:ind w:right="102" w:firstLine="423"/>
        <w:jc w:val="left"/>
      </w:pPr>
      <w:r>
        <w:rPr>
          <w:rFonts w:ascii="Times New Roman" w:hAnsi="Times New Roman" w:cs="Times New Roman" w:eastAsia="Times New Roman" w:hint="default"/>
        </w:rPr>
        <w:t>2018</w:t>
      </w:r>
      <w:r>
        <w:rPr/>
        <w:t>年，公司将通过一卡通产品内涵拓展（多产品延伸）及应用迭代升级（从一卡通升级为一码通）</w:t>
      </w:r>
      <w:r>
        <w:rPr>
          <w:spacing w:val="2"/>
        </w:rPr>
        <w:t> </w:t>
      </w:r>
      <w:r>
        <w:rPr/>
        <w:t>的方式在校园管理信息化即智慧校园领域保持快速增长，与此同时，公司将战略性地继续向智慧教育领域</w:t>
      </w:r>
    </w:p>
    <w:p>
      <w:pPr>
        <w:pStyle w:val="BodyText"/>
        <w:spacing w:line="396" w:lineRule="auto" w:before="65"/>
        <w:ind w:right="102"/>
        <w:jc w:val="left"/>
      </w:pPr>
      <w:r>
        <w:rPr/>
        <w:t>（智能教学软硬件信息化产品</w:t>
      </w:r>
      <w:r>
        <w:rPr>
          <w:rFonts w:ascii="Times New Roman" w:hAnsi="Times New Roman" w:cs="Times New Roman" w:eastAsia="Times New Roman" w:hint="default"/>
        </w:rPr>
        <w:t>+</w:t>
      </w:r>
      <w:r>
        <w:rPr/>
        <w:t>职业教育服务）延伸，利用资源优势快速抢占市场，构建起这一领域的竞 争力。同时，携长期在校园（封闭社区）内积累的技术、经验、能力，以机制创新和开放合作等举措继续 往其他行业的信息化领域覆盖，成为多行业信息化智慧解决方案的提供商，在造福更多受众的同时，不断 打开公司的增长空间。公司多年以来形成的身份识别、小额支付、能源管控领域等</w:t>
      </w:r>
      <w:r>
        <w:rPr>
          <w:rFonts w:ascii="Times New Roman" w:hAnsi="Times New Roman" w:cs="Times New Roman" w:eastAsia="Times New Roman" w:hint="default"/>
        </w:rPr>
        <w:t>IT</w:t>
      </w:r>
      <w:r>
        <w:rPr/>
        <w:t>技术的优势；业已形 成良好合作关系</w:t>
      </w:r>
      <w:r>
        <w:rPr>
          <w:rFonts w:ascii="Times New Roman" w:hAnsi="Times New Roman" w:cs="Times New Roman" w:eastAsia="Times New Roman" w:hint="default"/>
        </w:rPr>
        <w:t>1000</w:t>
      </w:r>
      <w:r>
        <w:rPr/>
        <w:t>多家高校、覆盖的</w:t>
      </w:r>
      <w:r>
        <w:rPr>
          <w:rFonts w:ascii="Times New Roman" w:hAnsi="Times New Roman" w:cs="Times New Roman" w:eastAsia="Times New Roman" w:hint="default"/>
        </w:rPr>
        <w:t>1000</w:t>
      </w:r>
      <w:r>
        <w:rPr/>
        <w:t>多万高校大学生的客户资源；遍布全国的办事处网络资源等，</w:t>
      </w:r>
      <w:r>
        <w:rPr>
          <w:spacing w:val="-40"/>
        </w:rPr>
        <w:t> </w:t>
      </w:r>
      <w:r>
        <w:rPr>
          <w:spacing w:val="-40"/>
        </w:rPr>
      </w:r>
      <w:r>
        <w:rPr/>
        <w:t>配合着明确的增长思路和路径，预计公司</w:t>
      </w:r>
      <w:r>
        <w:rPr>
          <w:rFonts w:ascii="Times New Roman" w:hAnsi="Times New Roman" w:cs="Times New Roman" w:eastAsia="Times New Roman" w:hint="default"/>
        </w:rPr>
        <w:t>2018</w:t>
      </w:r>
      <w:r>
        <w:rPr/>
        <w:t>年度业绩将继续保持快速增长。</w:t>
      </w:r>
    </w:p>
    <w:p>
      <w:pPr>
        <w:pStyle w:val="BodyText"/>
        <w:spacing w:line="240" w:lineRule="auto" w:before="65"/>
        <w:ind w:left="577" w:right="102"/>
        <w:jc w:val="left"/>
      </w:pPr>
      <w:r>
        <w:rPr>
          <w:rFonts w:ascii="Times New Roman" w:hAnsi="Times New Roman" w:cs="Times New Roman" w:eastAsia="Times New Roman" w:hint="default"/>
        </w:rPr>
        <w:t>1</w:t>
      </w:r>
      <w:r>
        <w:rPr/>
        <w:t>、主营业务</w:t>
      </w:r>
    </w:p>
    <w:p>
      <w:pPr>
        <w:spacing w:line="240" w:lineRule="auto" w:before="9"/>
        <w:rPr>
          <w:rFonts w:ascii="宋体" w:hAnsi="宋体" w:cs="宋体" w:eastAsia="宋体" w:hint="default"/>
          <w:sz w:val="16"/>
          <w:szCs w:val="16"/>
        </w:rPr>
      </w:pPr>
    </w:p>
    <w:p>
      <w:pPr>
        <w:pStyle w:val="BodyText"/>
        <w:spacing w:line="417" w:lineRule="auto" w:before="0"/>
        <w:ind w:left="577" w:right="102" w:hanging="1"/>
        <w:jc w:val="left"/>
      </w:pPr>
      <w:r>
        <w:rPr/>
        <w:t>（</w:t>
      </w:r>
      <w:r>
        <w:rPr>
          <w:rFonts w:ascii="Times New Roman" w:hAnsi="Times New Roman" w:cs="Times New Roman" w:eastAsia="Times New Roman" w:hint="default"/>
        </w:rPr>
        <w:t>1</w:t>
      </w:r>
      <w:r>
        <w:rPr/>
        <w:t>）在校园管理信息化即智慧校园领域： </w:t>
      </w:r>
      <w:r>
        <w:rPr>
          <w:spacing w:val="-1"/>
        </w:rPr>
        <w:t>一方面，开拓市场的同时，抓住校园一卡通、校园管理信息化的内涵延展不断拓展业务。公司将会继</w:t>
      </w:r>
    </w:p>
    <w:p>
      <w:pPr>
        <w:pStyle w:val="BodyText"/>
        <w:spacing w:line="408" w:lineRule="auto" w:before="38"/>
        <w:ind w:right="208"/>
        <w:jc w:val="both"/>
      </w:pPr>
      <w:r>
        <w:rPr>
          <w:spacing w:val="-1"/>
        </w:rPr>
        <w:t>续通过开拓新客户（新增高校等学校）获得增长，另外，随着在校园一卡通、高校管理信息化内涵及应用</w:t>
      </w:r>
      <w:r>
        <w:rPr>
          <w:spacing w:val="-83"/>
        </w:rPr>
        <w:t> </w:t>
      </w:r>
      <w:r>
        <w:rPr>
          <w:spacing w:val="-83"/>
        </w:rPr>
      </w:r>
      <w:r>
        <w:rPr>
          <w:spacing w:val="-5"/>
        </w:rPr>
        <w:t>的不断丰富，公司将依托领先、完整的校园一卡通解决方案乃至高校管理信息化、智慧校园的解决方案（涵</w:t>
      </w:r>
      <w:r>
        <w:rPr>
          <w:spacing w:val="-102"/>
        </w:rPr>
        <w:t> </w:t>
      </w:r>
      <w:r>
        <w:rPr>
          <w:spacing w:val="-102"/>
        </w:rPr>
      </w:r>
      <w:r>
        <w:rPr>
          <w:spacing w:val="-3"/>
        </w:rPr>
        <w:t>盖传统一卡通、数字化校园平台及应用、教务系统、在线缴费平台、电子门禁、电子班牌等系列产品），</w:t>
      </w:r>
    </w:p>
    <w:p>
      <w:pPr>
        <w:spacing w:after="0" w:line="40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10" w:lineRule="auto" w:before="35"/>
        <w:ind w:left="153" w:right="208"/>
        <w:jc w:val="both"/>
      </w:pPr>
      <w:r>
        <w:rPr>
          <w:spacing w:val="-1"/>
        </w:rPr>
        <w:t>不断进行新老客户覆盖。公司将在全面推进市场拓展工作时充分关注一些细分领域的行业机会，如完全学</w:t>
      </w:r>
      <w:r>
        <w:rPr>
          <w:spacing w:val="-81"/>
        </w:rPr>
        <w:t> </w:t>
      </w:r>
      <w:r>
        <w:rPr>
          <w:spacing w:val="-81"/>
        </w:rPr>
      </w:r>
      <w:r>
        <w:rPr>
          <w:spacing w:val="-5"/>
        </w:rPr>
        <w:t>分制带来快速增长机会的教务系统、管理精细化带来机会的数字化校园平台及应用、智能门锁、电子班牌、</w:t>
      </w:r>
      <w:r>
        <w:rPr>
          <w:spacing w:val="-101"/>
        </w:rPr>
        <w:t> </w:t>
      </w:r>
      <w:r>
        <w:rPr>
          <w:spacing w:val="-101"/>
        </w:rPr>
      </w:r>
      <w:r>
        <w:rPr/>
        <w:t>在线缴费平台的机会，发挥新开普的渠道和客户优势，不断拓展增长空间</w:t>
      </w:r>
    </w:p>
    <w:p>
      <w:pPr>
        <w:pStyle w:val="BodyText"/>
        <w:spacing w:line="400" w:lineRule="auto" w:before="82"/>
        <w:ind w:left="153" w:right="208" w:firstLine="423"/>
        <w:jc w:val="both"/>
      </w:pPr>
      <w:r>
        <w:rPr>
          <w:spacing w:val="-1"/>
        </w:rPr>
        <w:t>另一方面，抓住新产品应用的迭代机会，开拓市场。校园管理信息化领域拥有很强的升级属性。如在</w:t>
      </w:r>
      <w:r>
        <w:rPr/>
        <w:t> </w:t>
      </w:r>
      <w:r>
        <w:rPr>
          <w:spacing w:val="-1"/>
        </w:rPr>
        <w:t>校园一卡通领域，产品升级、去卡化趋势明显，公司判断近期校园一卡通将陆续进入从一卡通到一码通的</w:t>
      </w:r>
      <w:r>
        <w:rPr>
          <w:spacing w:val="-83"/>
        </w:rPr>
        <w:t> </w:t>
      </w:r>
      <w:r>
        <w:rPr>
          <w:spacing w:val="-83"/>
        </w:rPr>
      </w:r>
      <w:r>
        <w:rPr>
          <w:spacing w:val="-1"/>
        </w:rPr>
        <w:t>升级阶段，公司利用业已在很多学校已经在二十几所高校完成布局的虚拟卡扫码付技术，</w:t>
      </w:r>
      <w:r>
        <w:rPr>
          <w:rFonts w:ascii="Times New Roman" w:hAnsi="Times New Roman" w:cs="Times New Roman" w:eastAsia="Times New Roman" w:hint="default"/>
          <w:spacing w:val="-1"/>
        </w:rPr>
        <w:t>1000</w:t>
      </w:r>
      <w:r>
        <w:rPr>
          <w:spacing w:val="-1"/>
        </w:rPr>
        <w:t>余家具有粘</w:t>
      </w:r>
      <w:r>
        <w:rPr>
          <w:spacing w:val="-81"/>
        </w:rPr>
        <w:t> </w:t>
      </w:r>
      <w:r>
        <w:rPr/>
        <w:t>性的客户的积累，对校园一卡通等各种升级做好准备。</w:t>
      </w:r>
    </w:p>
    <w:p>
      <w:pPr>
        <w:pStyle w:val="BodyText"/>
        <w:spacing w:line="240" w:lineRule="auto" w:before="92"/>
        <w:ind w:left="577" w:right="102"/>
        <w:jc w:val="left"/>
      </w:pPr>
      <w:r>
        <w:rPr/>
        <w:t>一卡通、校园管理信息化的内涵发展及迭代的趋势，将会公司的智慧校园业务提供源源不断的增长动</w:t>
      </w:r>
    </w:p>
    <w:p>
      <w:pPr>
        <w:spacing w:line="240" w:lineRule="auto" w:before="11"/>
        <w:rPr>
          <w:rFonts w:ascii="宋体" w:hAnsi="宋体" w:cs="宋体" w:eastAsia="宋体" w:hint="default"/>
          <w:sz w:val="14"/>
          <w:szCs w:val="14"/>
        </w:rPr>
      </w:pPr>
    </w:p>
    <w:p>
      <w:pPr>
        <w:pStyle w:val="BodyText"/>
        <w:spacing w:line="240" w:lineRule="auto" w:before="0"/>
        <w:ind w:left="153" w:right="0"/>
        <w:jc w:val="both"/>
      </w:pPr>
      <w:r>
        <w:rPr/>
        <w:t>力。</w:t>
      </w:r>
    </w:p>
    <w:p>
      <w:pPr>
        <w:spacing w:line="240" w:lineRule="auto" w:before="10"/>
        <w:rPr>
          <w:rFonts w:ascii="宋体" w:hAnsi="宋体" w:cs="宋体" w:eastAsia="宋体" w:hint="default"/>
          <w:sz w:val="17"/>
          <w:szCs w:val="17"/>
        </w:rPr>
      </w:pPr>
    </w:p>
    <w:p>
      <w:pPr>
        <w:pStyle w:val="BodyText"/>
        <w:spacing w:line="417" w:lineRule="auto" w:before="0"/>
        <w:ind w:left="577" w:right="102" w:hanging="1"/>
        <w:jc w:val="left"/>
      </w:pPr>
      <w:r>
        <w:rPr>
          <w:spacing w:val="-4"/>
        </w:rPr>
        <w:t>（</w:t>
      </w:r>
      <w:r>
        <w:rPr>
          <w:rFonts w:ascii="Times New Roman" w:hAnsi="Times New Roman" w:cs="Times New Roman" w:eastAsia="Times New Roman" w:hint="default"/>
          <w:spacing w:val="-4"/>
        </w:rPr>
        <w:t>2</w:t>
      </w:r>
      <w:r>
        <w:rPr>
          <w:spacing w:val="-4"/>
        </w:rPr>
        <w:t>）在智慧教育领域（智能教学软硬件信息化产品</w:t>
      </w:r>
      <w:r>
        <w:rPr>
          <w:rFonts w:ascii="Times New Roman" w:hAnsi="Times New Roman" w:cs="Times New Roman" w:eastAsia="Times New Roman" w:hint="default"/>
          <w:spacing w:val="-4"/>
        </w:rPr>
        <w:t>+</w:t>
      </w:r>
      <w:r>
        <w:rPr>
          <w:spacing w:val="-4"/>
        </w:rPr>
        <w:t>职业教育服务）：</w:t>
      </w:r>
      <w:r>
        <w:rPr>
          <w:spacing w:val="-84"/>
        </w:rPr>
        <w:t> </w:t>
      </w:r>
      <w:r>
        <w:rPr>
          <w:spacing w:val="-84"/>
        </w:rPr>
      </w:r>
      <w:r>
        <w:rPr>
          <w:spacing w:val="-1"/>
        </w:rPr>
        <w:t>首先，抓住国家倡导社会力举办职业教育、建设新工科教育的号召，借助公司已有积累的</w:t>
      </w:r>
      <w:r>
        <w:rPr>
          <w:rFonts w:ascii="Times New Roman" w:hAnsi="Times New Roman" w:cs="Times New Roman" w:eastAsia="Times New Roman" w:hint="default"/>
          <w:spacing w:val="-1"/>
        </w:rPr>
        <w:t>IT</w:t>
      </w:r>
      <w:r>
        <w:rPr>
          <w:spacing w:val="-1"/>
        </w:rPr>
        <w:t>职业教育</w:t>
      </w:r>
    </w:p>
    <w:p>
      <w:pPr>
        <w:pStyle w:val="BodyText"/>
        <w:spacing w:line="400" w:lineRule="auto" w:before="5"/>
        <w:ind w:left="153" w:right="208"/>
        <w:jc w:val="both"/>
      </w:pPr>
      <w:r>
        <w:rPr>
          <w:spacing w:val="-1"/>
        </w:rPr>
        <w:t>服务能力及工业机器人、</w:t>
      </w:r>
      <w:r>
        <w:rPr>
          <w:rFonts w:ascii="Times New Roman" w:hAnsi="Times New Roman" w:cs="Times New Roman" w:eastAsia="Times New Roman" w:hint="default"/>
          <w:spacing w:val="-1"/>
        </w:rPr>
        <w:t>PCB</w:t>
      </w:r>
      <w:r>
        <w:rPr>
          <w:spacing w:val="-1"/>
        </w:rPr>
        <w:t>激光成型机、专业的电子教学材料、</w:t>
      </w:r>
      <w:r>
        <w:rPr>
          <w:rFonts w:ascii="Times New Roman" w:hAnsi="Times New Roman" w:cs="Times New Roman" w:eastAsia="Times New Roman" w:hint="default"/>
          <w:spacing w:val="-1"/>
        </w:rPr>
        <w:t>VR/AR</w:t>
      </w:r>
      <w:r>
        <w:rPr>
          <w:spacing w:val="-1"/>
        </w:rPr>
        <w:t>教学设备等教学设备和产品，通</w:t>
      </w:r>
      <w:r>
        <w:rPr>
          <w:spacing w:val="-74"/>
        </w:rPr>
        <w:t> </w:t>
      </w:r>
      <w:r>
        <w:rPr>
          <w:spacing w:val="-74"/>
        </w:rPr>
      </w:r>
      <w:r>
        <w:rPr>
          <w:spacing w:val="-1"/>
        </w:rPr>
        <w:t>过销售设备，提供教学服务等与学校进行建设新工科教育为内容的校企合作及专业共建，为学校提供教学</w:t>
      </w:r>
      <w:r>
        <w:rPr>
          <w:spacing w:val="-81"/>
        </w:rPr>
        <w:t> </w:t>
      </w:r>
      <w:r>
        <w:rPr>
          <w:spacing w:val="-81"/>
        </w:rPr>
      </w:r>
      <w:r>
        <w:rPr>
          <w:spacing w:val="-5"/>
        </w:rPr>
        <w:t>内容、教学模式、教学管理系统、实训设备、学习平台及专业化职业教育服务的新工科教育综合解决方案。</w:t>
      </w:r>
      <w:r>
        <w:rPr>
          <w:spacing w:val="-102"/>
        </w:rPr>
        <w:t> </w:t>
      </w:r>
      <w:r>
        <w:rPr>
          <w:spacing w:val="-102"/>
        </w:rPr>
      </w:r>
      <w:r>
        <w:rPr/>
        <w:t>智慧教育具有学科众多，产品拓展性好的特点，将能为公司的发展提升更大的发展空间。</w:t>
      </w:r>
    </w:p>
    <w:p>
      <w:pPr>
        <w:pStyle w:val="BodyText"/>
        <w:spacing w:line="400" w:lineRule="auto" w:before="92"/>
        <w:ind w:left="153" w:right="210" w:firstLine="423"/>
        <w:jc w:val="both"/>
      </w:pPr>
      <w:r>
        <w:rPr>
          <w:spacing w:val="-2"/>
        </w:rPr>
        <w:t>其次，公司</w:t>
      </w:r>
      <w:r>
        <w:rPr>
          <w:rFonts w:ascii="Times New Roman" w:hAnsi="Times New Roman" w:cs="Times New Roman" w:eastAsia="Times New Roman" w:hint="default"/>
          <w:spacing w:val="-2"/>
        </w:rPr>
        <w:t>2018</w:t>
      </w:r>
      <w:r>
        <w:rPr>
          <w:spacing w:val="-2"/>
        </w:rPr>
        <w:t>年将在现有基础不断完善智能教学软硬件信息化产品，提升</w:t>
      </w:r>
      <w:r>
        <w:rPr>
          <w:rFonts w:ascii="Times New Roman" w:hAnsi="Times New Roman" w:cs="Times New Roman" w:eastAsia="Times New Roman" w:hint="default"/>
          <w:spacing w:val="-2"/>
        </w:rPr>
        <w:t>/</w:t>
      </w:r>
      <w:r>
        <w:rPr>
          <w:spacing w:val="-2"/>
        </w:rPr>
        <w:t>拓展职业服务的广度和深</w:t>
      </w:r>
      <w:r>
        <w:rPr/>
        <w:t> </w:t>
      </w:r>
      <w:r>
        <w:rPr>
          <w:spacing w:val="-1"/>
        </w:rPr>
        <w:t>度，优化我们的教学软硬件设备、不断打磨产品，在分析学生的学习轨迹后进行个性化的干预，为学生提</w:t>
      </w:r>
      <w:r>
        <w:rPr>
          <w:spacing w:val="-82"/>
        </w:rPr>
        <w:t> </w:t>
      </w:r>
      <w:r>
        <w:rPr>
          <w:spacing w:val="-82"/>
        </w:rPr>
      </w:r>
      <w:r>
        <w:rPr>
          <w:spacing w:val="-1"/>
        </w:rPr>
        <w:t>供更贴近现实的实训设备，使得学习体验效果更佳。与此同时，提高产品的标准化程度，提高大规模复制</w:t>
      </w:r>
      <w:r>
        <w:rPr>
          <w:spacing w:val="-82"/>
        </w:rPr>
        <w:t> </w:t>
      </w:r>
      <w:r>
        <w:rPr>
          <w:spacing w:val="-82"/>
        </w:rPr>
      </w:r>
      <w:r>
        <w:rPr/>
        <w:t>的能力。</w:t>
      </w:r>
    </w:p>
    <w:p>
      <w:pPr>
        <w:pStyle w:val="BodyText"/>
        <w:spacing w:line="240" w:lineRule="auto" w:before="91"/>
        <w:ind w:left="577" w:right="102"/>
        <w:jc w:val="left"/>
      </w:pPr>
      <w:r>
        <w:rPr/>
        <w:t>最后，借助互联网平台，在完美校园上建立互联网教学、学习体系内容，为学习和教学提供线上的产</w:t>
      </w:r>
    </w:p>
    <w:p>
      <w:pPr>
        <w:spacing w:line="240" w:lineRule="auto" w:before="11"/>
        <w:rPr>
          <w:rFonts w:ascii="宋体" w:hAnsi="宋体" w:cs="宋体" w:eastAsia="宋体" w:hint="default"/>
          <w:sz w:val="14"/>
          <w:szCs w:val="14"/>
        </w:rPr>
      </w:pPr>
    </w:p>
    <w:p>
      <w:pPr>
        <w:pStyle w:val="BodyText"/>
        <w:spacing w:line="240" w:lineRule="auto" w:before="0"/>
        <w:ind w:left="153" w:right="0"/>
        <w:jc w:val="both"/>
      </w:pPr>
      <w:r>
        <w:rPr/>
        <w:t>品。</w:t>
      </w:r>
    </w:p>
    <w:p>
      <w:pPr>
        <w:spacing w:line="240" w:lineRule="auto" w:before="10"/>
        <w:rPr>
          <w:rFonts w:ascii="宋体" w:hAnsi="宋体" w:cs="宋体" w:eastAsia="宋体" w:hint="default"/>
          <w:sz w:val="17"/>
          <w:szCs w:val="17"/>
        </w:rPr>
      </w:pPr>
    </w:p>
    <w:p>
      <w:pPr>
        <w:pStyle w:val="BodyText"/>
        <w:spacing w:line="420" w:lineRule="auto" w:before="0"/>
        <w:ind w:left="577" w:right="102"/>
        <w:jc w:val="left"/>
      </w:pPr>
      <w:r>
        <w:rPr>
          <w:spacing w:val="-4"/>
        </w:rPr>
        <w:t>（</w:t>
      </w:r>
      <w:r>
        <w:rPr>
          <w:rFonts w:ascii="Times New Roman" w:hAnsi="Times New Roman" w:cs="Times New Roman" w:eastAsia="Times New Roman" w:hint="default"/>
          <w:spacing w:val="-4"/>
        </w:rPr>
        <w:t>3</w:t>
      </w:r>
      <w:r>
        <w:rPr>
          <w:spacing w:val="-4"/>
        </w:rPr>
        <w:t>）在校园移动互联领域（智能教学软硬件信息化产品</w:t>
      </w:r>
      <w:r>
        <w:rPr>
          <w:rFonts w:ascii="Times New Roman" w:hAnsi="Times New Roman" w:cs="Times New Roman" w:eastAsia="Times New Roman" w:hint="default"/>
          <w:spacing w:val="-4"/>
        </w:rPr>
        <w:t>+</w:t>
      </w:r>
      <w:r>
        <w:rPr>
          <w:spacing w:val="-4"/>
        </w:rPr>
        <w:t>职业教育服务）：</w:t>
      </w:r>
      <w:r>
        <w:rPr>
          <w:spacing w:val="-77"/>
        </w:rPr>
        <w:t> </w:t>
      </w:r>
      <w:r>
        <w:rPr>
          <w:spacing w:val="-77"/>
        </w:rPr>
      </w:r>
      <w:r>
        <w:rPr>
          <w:spacing w:val="-1"/>
        </w:rPr>
        <w:t>首先，不断强化“完美校园”作为基于校园社区的线上服务工具和社会产品、增值服务链接器的产品</w:t>
      </w:r>
    </w:p>
    <w:p>
      <w:pPr>
        <w:pStyle w:val="BodyText"/>
        <w:spacing w:line="412" w:lineRule="auto" w:before="35"/>
        <w:ind w:left="0" w:right="210"/>
        <w:jc w:val="right"/>
      </w:pPr>
      <w:r>
        <w:rPr>
          <w:spacing w:val="-1"/>
        </w:rPr>
        <w:t>优势，不断提高为校园和用户提供的服务质量。另外，加强运营能力，寻求优秀的团队及合作方合作，以</w:t>
      </w:r>
      <w:r>
        <w:rPr>
          <w:spacing w:val="-94"/>
        </w:rPr>
        <w:t> </w:t>
      </w:r>
      <w:r>
        <w:rPr>
          <w:spacing w:val="-94"/>
        </w:rPr>
      </w:r>
      <w:r>
        <w:rPr>
          <w:spacing w:val="-9"/>
        </w:rPr>
        <w:t>求不断提高完美校园的商业效率（关注消费金融、人才服务、电商及基于校园</w:t>
      </w:r>
      <w:r>
        <w:rPr>
          <w:rFonts w:ascii="Times New Roman" w:hAnsi="Times New Roman" w:cs="Times New Roman" w:eastAsia="Times New Roman" w:hint="default"/>
          <w:spacing w:val="-9"/>
        </w:rPr>
        <w:t>LBS</w:t>
      </w:r>
      <w:r>
        <w:rPr>
          <w:spacing w:val="-9"/>
        </w:rPr>
        <w:t>导流等切实的变现机会）。</w:t>
      </w:r>
      <w:r>
        <w:rPr>
          <w:spacing w:val="-84"/>
        </w:rPr>
        <w:t> </w:t>
      </w:r>
      <w:r>
        <w:rPr>
          <w:spacing w:val="-84"/>
        </w:rPr>
      </w:r>
      <w:r>
        <w:rPr>
          <w:spacing w:val="-1"/>
        </w:rPr>
        <w:t>如上主营业务，将构成新开普强大的学校领域生态链，构筑起覆盖生活、学习等领域的极富粘性的产</w:t>
      </w:r>
    </w:p>
    <w:p>
      <w:pPr>
        <w:pStyle w:val="BodyText"/>
        <w:spacing w:line="240" w:lineRule="auto" w:before="43"/>
        <w:ind w:left="153" w:right="0"/>
        <w:jc w:val="both"/>
      </w:pPr>
      <w:r>
        <w:rPr/>
        <w:t>品线，为学校的管理效率提升、学生的全面成长服务。</w:t>
      </w:r>
    </w:p>
    <w:p>
      <w:pPr>
        <w:spacing w:line="240" w:lineRule="auto" w:before="10"/>
        <w:rPr>
          <w:rFonts w:ascii="宋体" w:hAnsi="宋体" w:cs="宋体" w:eastAsia="宋体" w:hint="default"/>
          <w:sz w:val="17"/>
          <w:szCs w:val="17"/>
        </w:rPr>
      </w:pPr>
    </w:p>
    <w:p>
      <w:pPr>
        <w:pStyle w:val="BodyText"/>
        <w:spacing w:line="420" w:lineRule="auto" w:before="0"/>
        <w:ind w:left="577" w:right="102" w:hanging="1"/>
        <w:jc w:val="left"/>
      </w:pPr>
      <w:r>
        <w:rPr>
          <w:rFonts w:ascii="Times New Roman" w:hAnsi="Times New Roman" w:cs="Times New Roman" w:eastAsia="Times New Roman" w:hint="default"/>
        </w:rPr>
        <w:t>2</w:t>
      </w:r>
      <w:r>
        <w:rPr/>
        <w:t>、成长业务（其他行业信息化领域） 首先，激活现有事业部的活力：现有企业、城市等事业部通过授权等机制创新，充分发挥其积极性、</w:t>
      </w:r>
    </w:p>
    <w:p>
      <w:pPr>
        <w:spacing w:after="0" w:line="420" w:lineRule="auto"/>
        <w:jc w:val="left"/>
        <w:sectPr>
          <w:pgSz w:w="11910" w:h="16840"/>
          <w:pgMar w:header="877" w:footer="982" w:top="1100" w:bottom="1180" w:left="980" w:right="920"/>
        </w:sectPr>
      </w:pPr>
    </w:p>
    <w:p>
      <w:pPr>
        <w:spacing w:line="240" w:lineRule="auto" w:before="9"/>
        <w:rPr>
          <w:rFonts w:ascii="宋体" w:hAnsi="宋体" w:cs="宋体" w:eastAsia="宋体" w:hint="default"/>
          <w:sz w:val="26"/>
          <w:szCs w:val="26"/>
        </w:rPr>
      </w:pPr>
    </w:p>
    <w:p>
      <w:pPr>
        <w:pStyle w:val="BodyText"/>
        <w:spacing w:line="240" w:lineRule="auto" w:before="35"/>
        <w:ind w:right="0"/>
        <w:jc w:val="both"/>
      </w:pPr>
      <w:r>
        <w:rPr/>
        <w:t>自主能动性。</w:t>
      </w:r>
    </w:p>
    <w:p>
      <w:pPr>
        <w:spacing w:line="240" w:lineRule="auto" w:before="9"/>
        <w:rPr>
          <w:rFonts w:ascii="宋体" w:hAnsi="宋体" w:cs="宋体" w:eastAsia="宋体" w:hint="default"/>
          <w:sz w:val="17"/>
          <w:szCs w:val="17"/>
        </w:rPr>
      </w:pPr>
    </w:p>
    <w:p>
      <w:pPr>
        <w:pStyle w:val="BodyText"/>
        <w:spacing w:line="410" w:lineRule="auto" w:before="0"/>
        <w:ind w:left="153" w:right="102" w:firstLine="423"/>
        <w:jc w:val="left"/>
      </w:pPr>
      <w:r>
        <w:rPr/>
        <w:t>其次，积极寻求行业资源方联系及合作：</w:t>
      </w:r>
      <w:r>
        <w:rPr>
          <w:spacing w:val="-2"/>
        </w:rPr>
        <w:t> </w:t>
      </w:r>
      <w:r>
        <w:rPr/>
        <w:t>对于进行行业拓展所缺的行业资质、客户关系等资源，积</w:t>
      </w:r>
      <w:r>
        <w:rPr/>
        <w:t> </w:t>
      </w:r>
      <w:r>
        <w:rPr>
          <w:spacing w:val="-1"/>
        </w:rPr>
        <w:t>极寻求行业资源方的合作（如企业信息化寻求咨询公司、中小企业局合作；住区信息化寻求房地产公司合</w:t>
      </w:r>
      <w:r>
        <w:rPr>
          <w:spacing w:val="-83"/>
        </w:rPr>
        <w:t> </w:t>
      </w:r>
      <w:r>
        <w:rPr>
          <w:spacing w:val="-83"/>
        </w:rPr>
      </w:r>
      <w:r>
        <w:rPr>
          <w:spacing w:val="-27"/>
        </w:rPr>
        <w:t>作等）。</w:t>
      </w:r>
    </w:p>
    <w:p>
      <w:pPr>
        <w:pStyle w:val="BodyText"/>
        <w:spacing w:line="410" w:lineRule="auto" w:before="83"/>
        <w:ind w:right="102" w:firstLine="423"/>
        <w:jc w:val="left"/>
      </w:pPr>
      <w:r>
        <w:rPr>
          <w:spacing w:val="-1"/>
        </w:rPr>
        <w:t>再次，以大客户为标杆不断打磨产品获取行业地位：以大客户为标杆，不断打磨产品，同时获得市场</w:t>
      </w:r>
      <w:r>
        <w:rPr/>
        <w:t> 地位。</w:t>
      </w:r>
    </w:p>
    <w:p>
      <w:pPr>
        <w:pStyle w:val="BodyText"/>
        <w:spacing w:line="386" w:lineRule="auto" w:before="82"/>
        <w:ind w:left="153" w:right="233" w:firstLine="423"/>
        <w:jc w:val="left"/>
      </w:pPr>
      <w:r>
        <w:rPr/>
        <w:t>最后，依托在校园里形成的线下</w:t>
      </w:r>
      <w:r>
        <w:rPr>
          <w:rFonts w:ascii="Times New Roman" w:hAnsi="Times New Roman" w:cs="Times New Roman" w:eastAsia="Times New Roman" w:hint="default"/>
        </w:rPr>
        <w:t>+</w:t>
      </w:r>
      <w:r>
        <w:rPr/>
        <w:t>线上积累下来的能力，在其他行业信息化中构建起硬件</w:t>
      </w:r>
      <w:r>
        <w:rPr>
          <w:rFonts w:ascii="Times New Roman" w:hAnsi="Times New Roman" w:cs="Times New Roman" w:eastAsia="Times New Roman" w:hint="default"/>
        </w:rPr>
        <w:t>+</w:t>
      </w:r>
      <w:r>
        <w:rPr/>
        <w:t>软件</w:t>
      </w:r>
      <w:r>
        <w:rPr>
          <w:rFonts w:ascii="Times New Roman" w:hAnsi="Times New Roman" w:cs="Times New Roman" w:eastAsia="Times New Roman" w:hint="default"/>
        </w:rPr>
        <w:t>+</w:t>
      </w:r>
      <w:r>
        <w:rPr/>
        <w:t>云平 台</w:t>
      </w:r>
      <w:r>
        <w:rPr>
          <w:rFonts w:ascii="Times New Roman" w:hAnsi="Times New Roman" w:cs="Times New Roman" w:eastAsia="Times New Roman" w:hint="default"/>
        </w:rPr>
        <w:t>+</w:t>
      </w:r>
      <w:r>
        <w:rPr/>
        <w:t>大数据的解决方案。</w:t>
      </w:r>
    </w:p>
    <w:p>
      <w:pPr>
        <w:pStyle w:val="BodyText"/>
        <w:spacing w:line="420" w:lineRule="auto" w:before="75"/>
        <w:ind w:left="577" w:right="200" w:hanging="1"/>
        <w:jc w:val="left"/>
      </w:pPr>
      <w:r>
        <w:rPr>
          <w:rFonts w:ascii="Times New Roman" w:hAnsi="Times New Roman" w:cs="Times New Roman" w:eastAsia="Times New Roman" w:hint="default"/>
        </w:rPr>
        <w:t>3</w:t>
      </w:r>
      <w:r>
        <w:rPr/>
        <w:t>、在产品研发、激励机制、人才成长机制上 </w:t>
      </w:r>
      <w:r>
        <w:rPr>
          <w:spacing w:val="-1"/>
        </w:rPr>
        <w:t>公司将紧跟人脸识别、</w:t>
      </w:r>
      <w:r>
        <w:rPr>
          <w:rFonts w:ascii="Times New Roman" w:hAnsi="Times New Roman" w:cs="Times New Roman" w:eastAsia="Times New Roman" w:hint="default"/>
          <w:spacing w:val="-1"/>
        </w:rPr>
        <w:t>AI</w:t>
      </w:r>
      <w:r>
        <w:rPr>
          <w:spacing w:val="-1"/>
        </w:rPr>
        <w:t>、区块链、无人零售等技术趋势的潮流，进行科学的产品规划，以满足客户</w:t>
      </w:r>
    </w:p>
    <w:p>
      <w:pPr>
        <w:pStyle w:val="BodyText"/>
        <w:spacing w:line="393" w:lineRule="auto" w:before="3"/>
        <w:ind w:left="153" w:right="210"/>
        <w:jc w:val="both"/>
      </w:pPr>
      <w:r>
        <w:rPr>
          <w:spacing w:val="-1"/>
        </w:rPr>
        <w:t>不断变动和升级的要求，为公司的下一轮增长做好准备。</w:t>
      </w:r>
      <w:r>
        <w:rPr>
          <w:rFonts w:ascii="Times New Roman" w:hAnsi="Times New Roman" w:cs="Times New Roman" w:eastAsia="Times New Roman" w:hint="default"/>
          <w:spacing w:val="-1"/>
        </w:rPr>
        <w:t>2018</w:t>
      </w:r>
      <w:r>
        <w:rPr>
          <w:spacing w:val="-1"/>
        </w:rPr>
        <w:t>年公司还将在深圳设置智能硬件研究院，进</w:t>
      </w:r>
      <w:r>
        <w:rPr>
          <w:spacing w:val="-85"/>
        </w:rPr>
        <w:t> </w:t>
      </w:r>
      <w:r>
        <w:rPr>
          <w:spacing w:val="-85"/>
        </w:rPr>
      </w:r>
      <w:r>
        <w:rPr>
          <w:spacing w:val="-1"/>
        </w:rPr>
        <w:t>一步提高公司在智能硬件上面的实力。同时，公司将不断完善内部的激励机制和监督机制，通过建立企业</w:t>
      </w:r>
      <w:r>
        <w:rPr>
          <w:spacing w:val="-83"/>
        </w:rPr>
        <w:t> </w:t>
      </w:r>
      <w:r>
        <w:rPr>
          <w:spacing w:val="-83"/>
        </w:rPr>
      </w:r>
      <w:r>
        <w:rPr>
          <w:spacing w:val="-1"/>
        </w:rPr>
        <w:t>大学</w:t>
      </w:r>
      <w:r>
        <w:rPr>
          <w:rFonts w:ascii="Times New Roman" w:hAnsi="Times New Roman" w:cs="Times New Roman" w:eastAsia="Times New Roman" w:hint="default"/>
          <w:spacing w:val="-1"/>
        </w:rPr>
        <w:t>—</w:t>
      </w:r>
      <w:r>
        <w:rPr>
          <w:spacing w:val="-1"/>
        </w:rPr>
        <w:t>新开普商学院等方式加强人才队伍建设，提升公司治理水平，实现规范与发展的同步。此外，公司</w:t>
      </w:r>
      <w:r>
        <w:rPr>
          <w:spacing w:val="-82"/>
        </w:rPr>
        <w:t> </w:t>
      </w:r>
      <w:r>
        <w:rPr>
          <w:spacing w:val="-82"/>
        </w:rPr>
      </w:r>
      <w:r>
        <w:rPr/>
        <w:t>将加快行业并购步伐，通过机会把握和风险规避，不断提升公司的综合竞争力和盈利水平。</w:t>
      </w:r>
    </w:p>
    <w:p>
      <w:pPr>
        <w:pStyle w:val="BodyText"/>
        <w:spacing w:line="432" w:lineRule="auto" w:before="98"/>
        <w:ind w:left="577" w:right="102"/>
        <w:jc w:val="left"/>
      </w:pPr>
      <w:r>
        <w:rPr/>
        <w:t>（四）对公司未来发展战略和经营目标的实现产生不利影响的风险因素分析 </w:t>
      </w:r>
      <w:r>
        <w:rPr>
          <w:rFonts w:ascii="Times New Roman" w:hAnsi="Times New Roman" w:cs="Times New Roman" w:eastAsia="Times New Roman" w:hint="default"/>
        </w:rPr>
        <w:t>1</w:t>
      </w:r>
      <w:r>
        <w:rPr/>
        <w:t>、移动互联网业务运营风险 </w:t>
      </w:r>
      <w:r>
        <w:rPr>
          <w:spacing w:val="-1"/>
        </w:rPr>
        <w:t>当前，移动互联网产业蓬勃发展，成功的产品和服务模式不断向其它产业领域延伸渗透，智能一卡通</w:t>
      </w:r>
    </w:p>
    <w:p>
      <w:pPr>
        <w:pStyle w:val="BodyText"/>
        <w:spacing w:line="403" w:lineRule="auto" w:before="25"/>
        <w:ind w:right="208"/>
        <w:jc w:val="both"/>
      </w:pPr>
      <w:r>
        <w:rPr>
          <w:spacing w:val="-1"/>
        </w:rPr>
        <w:t>行业也开始融入移动互联网元素，呈现出巨大的市场潜力。传统智能一卡通企业主要向学校、企业等客户</w:t>
      </w:r>
      <w:r>
        <w:rPr>
          <w:spacing w:val="-83"/>
        </w:rPr>
        <w:t> </w:t>
      </w:r>
      <w:r>
        <w:rPr>
          <w:spacing w:val="-83"/>
        </w:rPr>
      </w:r>
      <w:r>
        <w:rPr>
          <w:spacing w:val="-1"/>
        </w:rPr>
        <w:t>提供智能一卡通系统及相关软硬件产品的研发设计、系统集成和售后服务，缺乏直接面向大众消费者的自</w:t>
      </w:r>
      <w:r>
        <w:rPr>
          <w:spacing w:val="-81"/>
        </w:rPr>
        <w:t> </w:t>
      </w:r>
      <w:r>
        <w:rPr>
          <w:spacing w:val="-81"/>
        </w:rPr>
      </w:r>
      <w:r>
        <w:rPr>
          <w:spacing w:val="-2"/>
        </w:rPr>
        <w:t>有系统</w:t>
      </w:r>
      <w:r>
        <w:rPr>
          <w:rFonts w:ascii="Times New Roman" w:hAnsi="Times New Roman" w:cs="Times New Roman" w:eastAsia="Times New Roman" w:hint="default"/>
          <w:spacing w:val="-2"/>
        </w:rPr>
        <w:t>/</w:t>
      </w:r>
      <w:r>
        <w:rPr>
          <w:spacing w:val="-2"/>
        </w:rPr>
        <w:t>平台的推广和运营经验，技术、渠道和商业模式与移动互联网行业也相差较大。公司移动互联网运</w:t>
      </w:r>
      <w:r>
        <w:rPr>
          <w:spacing w:val="-92"/>
        </w:rPr>
        <w:t> </w:t>
      </w:r>
      <w:r>
        <w:rPr>
          <w:spacing w:val="-92"/>
        </w:rPr>
      </w:r>
      <w:r>
        <w:rPr>
          <w:spacing w:val="-1"/>
        </w:rPr>
        <w:t>营经验和成熟盈利模式的缺乏将对与移动互联网的深度融合，以及借助移动互联网进一步拓展行业发展空</w:t>
      </w:r>
      <w:r>
        <w:rPr>
          <w:spacing w:val="-81"/>
        </w:rPr>
        <w:t> </w:t>
      </w:r>
      <w:r>
        <w:rPr>
          <w:spacing w:val="-81"/>
        </w:rPr>
      </w:r>
      <w:r>
        <w:rPr/>
        <w:t>间造成不利影响。</w:t>
      </w:r>
    </w:p>
    <w:p>
      <w:pPr>
        <w:pStyle w:val="BodyText"/>
        <w:spacing w:line="417" w:lineRule="auto" w:before="90"/>
        <w:ind w:left="577" w:right="102" w:hanging="1"/>
        <w:jc w:val="left"/>
      </w:pPr>
      <w:r>
        <w:rPr>
          <w:rFonts w:ascii="Times New Roman" w:hAnsi="Times New Roman" w:cs="Times New Roman" w:eastAsia="Times New Roman" w:hint="default"/>
        </w:rPr>
        <w:t>2</w:t>
      </w:r>
      <w:r>
        <w:rPr/>
        <w:t>、职业教育服务业务运营风险 公司自成立以来，一直致力于开发以智能卡及</w:t>
      </w:r>
      <w:r>
        <w:rPr>
          <w:rFonts w:ascii="Times New Roman" w:hAnsi="Times New Roman" w:cs="Times New Roman" w:eastAsia="Times New Roman" w:hint="default"/>
        </w:rPr>
        <w:t>RFID</w:t>
      </w:r>
      <w:r>
        <w:rPr/>
        <w:t>技术为基础的各类行业信息一体化应用解决方案，</w:t>
      </w:r>
    </w:p>
    <w:p>
      <w:pPr>
        <w:pStyle w:val="BodyText"/>
        <w:spacing w:line="403" w:lineRule="auto" w:before="5"/>
        <w:ind w:right="209"/>
        <w:jc w:val="both"/>
      </w:pPr>
      <w:r>
        <w:rPr>
          <w:spacing w:val="-1"/>
        </w:rPr>
        <w:t>从事智能一卡通系统的平台软件、应用软件及各类智能卡终端的研发、生产、集成、销售和服务，并快速</w:t>
      </w:r>
      <w:r>
        <w:rPr>
          <w:spacing w:val="-83"/>
        </w:rPr>
        <w:t> </w:t>
      </w:r>
      <w:r>
        <w:rPr>
          <w:spacing w:val="-83"/>
        </w:rPr>
      </w:r>
      <w:r>
        <w:rPr>
          <w:spacing w:val="-1"/>
        </w:rPr>
        <w:t>推进移动互联网和移动支付在智能一卡通行业中的普及，促进以大数据、移动互联以及智能终端为核心的</w:t>
      </w:r>
      <w:r>
        <w:rPr>
          <w:spacing w:val="-81"/>
        </w:rPr>
        <w:t> </w:t>
      </w:r>
      <w:r>
        <w:rPr>
          <w:spacing w:val="-81"/>
        </w:rPr>
      </w:r>
      <w:r>
        <w:rPr>
          <w:rFonts w:ascii="Times New Roman" w:hAnsi="Times New Roman" w:cs="Times New Roman" w:eastAsia="Times New Roman" w:hint="default"/>
          <w:spacing w:val="-1"/>
        </w:rPr>
        <w:t>O2O</w:t>
      </w:r>
      <w:r>
        <w:rPr>
          <w:spacing w:val="-1"/>
        </w:rPr>
        <w:t>闭环模式的整合与发展。长期的研发服务以及高校客户资源为公司开展职业教育业务提供了充足的技</w:t>
      </w:r>
      <w:r>
        <w:rPr>
          <w:spacing w:val="-72"/>
        </w:rPr>
        <w:t> </w:t>
      </w:r>
      <w:r>
        <w:rPr>
          <w:spacing w:val="-72"/>
        </w:rPr>
      </w:r>
      <w:r>
        <w:rPr>
          <w:spacing w:val="-1"/>
        </w:rPr>
        <w:t>术、人才和客户支持，但作为公司之新业务，职业教育之运营方式、盈利模式与其现有智能一卡通业务完</w:t>
      </w:r>
      <w:r>
        <w:rPr>
          <w:spacing w:val="-82"/>
        </w:rPr>
        <w:t> </w:t>
      </w:r>
      <w:r>
        <w:rPr>
          <w:spacing w:val="-82"/>
        </w:rPr>
      </w:r>
      <w:r>
        <w:rPr/>
        <w:t>全不同，公司面临一定的业务运营风险。</w:t>
      </w:r>
    </w:p>
    <w:p>
      <w:pPr>
        <w:spacing w:after="0" w:line="403" w:lineRule="auto"/>
        <w:jc w:val="both"/>
        <w:sectPr>
          <w:pgSz w:w="11910" w:h="16840"/>
          <w:pgMar w:header="877" w:footer="982" w:top="1100" w:bottom="1180" w:left="980" w:right="920"/>
        </w:sectPr>
      </w:pPr>
    </w:p>
    <w:p>
      <w:pPr>
        <w:spacing w:line="240" w:lineRule="auto" w:before="9"/>
        <w:rPr>
          <w:rFonts w:ascii="宋体" w:hAnsi="宋体" w:cs="宋体" w:eastAsia="宋体" w:hint="default"/>
          <w:sz w:val="26"/>
          <w:szCs w:val="26"/>
        </w:rPr>
      </w:pPr>
    </w:p>
    <w:p>
      <w:pPr>
        <w:pStyle w:val="BodyText"/>
        <w:spacing w:line="417" w:lineRule="auto" w:before="35"/>
        <w:ind w:left="577" w:right="102" w:hanging="1"/>
        <w:jc w:val="left"/>
      </w:pPr>
      <w:r>
        <w:rPr>
          <w:rFonts w:ascii="Times New Roman" w:hAnsi="Times New Roman" w:cs="Times New Roman" w:eastAsia="Times New Roman" w:hint="default"/>
        </w:rPr>
        <w:t>3</w:t>
      </w:r>
      <w:r>
        <w:rPr/>
        <w:t>、研发风险 </w:t>
      </w:r>
      <w:r>
        <w:rPr>
          <w:spacing w:val="-1"/>
        </w:rPr>
        <w:t>由于信息技术行业整体发展速度较快，各类信息技术呈现出更新速度快、应用领域不断深入和拓展的</w:t>
      </w:r>
    </w:p>
    <w:p>
      <w:pPr>
        <w:pStyle w:val="BodyText"/>
        <w:spacing w:line="410" w:lineRule="auto" w:before="38"/>
        <w:ind w:right="209"/>
        <w:jc w:val="both"/>
      </w:pPr>
      <w:r>
        <w:rPr>
          <w:spacing w:val="-1"/>
        </w:rPr>
        <w:t>发展态势，因此，公司需要不断进行新技术、新产品的研发和升级。虽然公司拥有强大的自主研发和技术</w:t>
      </w:r>
      <w:r>
        <w:rPr>
          <w:spacing w:val="-82"/>
        </w:rPr>
        <w:t> </w:t>
      </w:r>
      <w:r>
        <w:rPr>
          <w:spacing w:val="-82"/>
        </w:rPr>
      </w:r>
      <w:r>
        <w:rPr>
          <w:spacing w:val="-1"/>
        </w:rPr>
        <w:t>创新能力，但如果未来不能准确把握信息技术、产品及市场的发展趋势并持续研发出符合市场需求的新产</w:t>
      </w:r>
      <w:r>
        <w:rPr>
          <w:spacing w:val="-81"/>
        </w:rPr>
        <w:t> </w:t>
      </w:r>
      <w:r>
        <w:rPr>
          <w:spacing w:val="-81"/>
        </w:rPr>
      </w:r>
      <w:r>
        <w:rPr/>
        <w:t>品，将会在一定程度上削弱公司的竞争优势，对公司的持续盈利能力造成不利影响。</w:t>
      </w:r>
    </w:p>
    <w:p>
      <w:pPr>
        <w:pStyle w:val="BodyText"/>
        <w:spacing w:line="417" w:lineRule="auto" w:before="85"/>
        <w:ind w:left="577" w:right="102" w:hanging="1"/>
        <w:jc w:val="left"/>
      </w:pPr>
      <w:r>
        <w:rPr>
          <w:rFonts w:ascii="Times New Roman" w:hAnsi="Times New Roman" w:cs="Times New Roman" w:eastAsia="Times New Roman" w:hint="default"/>
        </w:rPr>
        <w:t>4</w:t>
      </w:r>
      <w:r>
        <w:rPr/>
        <w:t>、管理风险 </w:t>
      </w:r>
      <w:r>
        <w:rPr>
          <w:spacing w:val="-1"/>
        </w:rPr>
        <w:t>随着公司资产规模及经营规模将逐步扩大，公司人员亦将相应增加，组织结构和管理体系可能趋于复</w:t>
      </w:r>
    </w:p>
    <w:p>
      <w:pPr>
        <w:pStyle w:val="BodyText"/>
        <w:spacing w:line="408" w:lineRule="auto" w:before="38"/>
        <w:ind w:right="102"/>
        <w:jc w:val="left"/>
      </w:pPr>
      <w:r>
        <w:rPr/>
        <w:t>杂化，公司的经营决策、风险控制的难度大为增加，对公司管理团队的管理水平及驾驭经营风险的能力带 来一定程度的挑战，对公司的内部控制、运营组织、营销服务等各方面都提出了更高的要求，对在管理、</w:t>
      </w:r>
      <w:r>
        <w:rPr>
          <w:spacing w:val="-36"/>
        </w:rPr>
        <w:t> </w:t>
      </w:r>
      <w:r>
        <w:rPr>
          <w:spacing w:val="-36"/>
        </w:rPr>
      </w:r>
      <w:r>
        <w:rPr/>
        <w:t>技术、营销、业务等方面的中高级人才的需求也将日益增加。若公司的技术管理、营销管理、质量控制等</w:t>
      </w:r>
      <w:r>
        <w:rPr/>
        <w:t> 能力不能适应公司规模迅速扩张的要求，人才培养、组织模式和管理制度不能进一步健全和完善，将会导 致相应的管理风险。</w:t>
      </w:r>
    </w:p>
    <w:p>
      <w:pPr>
        <w:pStyle w:val="BodyText"/>
        <w:spacing w:line="240" w:lineRule="auto" w:before="85"/>
        <w:ind w:left="577" w:right="102"/>
        <w:jc w:val="left"/>
      </w:pPr>
      <w:r>
        <w:rPr>
          <w:rFonts w:ascii="Times New Roman" w:hAnsi="Times New Roman" w:cs="Times New Roman" w:eastAsia="Times New Roman" w:hint="default"/>
        </w:rPr>
        <w:t>5</w:t>
      </w:r>
      <w:r>
        <w:rPr/>
        <w:t>、收购整合的风险</w:t>
      </w:r>
    </w:p>
    <w:p>
      <w:pPr>
        <w:spacing w:line="240" w:lineRule="auto" w:before="8"/>
        <w:rPr>
          <w:rFonts w:ascii="宋体" w:hAnsi="宋体" w:cs="宋体" w:eastAsia="宋体" w:hint="default"/>
          <w:sz w:val="16"/>
          <w:szCs w:val="16"/>
        </w:rPr>
      </w:pPr>
    </w:p>
    <w:p>
      <w:pPr>
        <w:pStyle w:val="BodyText"/>
        <w:spacing w:line="400" w:lineRule="auto" w:before="0"/>
        <w:ind w:right="208" w:firstLine="423"/>
        <w:jc w:val="both"/>
      </w:pPr>
      <w:r>
        <w:rPr>
          <w:rFonts w:ascii="Times New Roman" w:hAnsi="Times New Roman" w:cs="Times New Roman" w:eastAsia="Times New Roman" w:hint="default"/>
          <w:spacing w:val="-1"/>
        </w:rPr>
        <w:t>2015</w:t>
      </w:r>
      <w:r>
        <w:rPr>
          <w:spacing w:val="-1"/>
        </w:rPr>
        <w:t>年至今，公司收购完成了对迪科远望、上海树维的收购以及对北京乐智、成都兰途、希嘉教育等</w:t>
      </w:r>
      <w:r>
        <w:rPr/>
        <w:t> </w:t>
      </w:r>
      <w:r>
        <w:rPr>
          <w:spacing w:val="-1"/>
        </w:rPr>
        <w:t>公司的战略投资，公司的资产规模和渠道覆盖均大幅增加，公司与标的公司在企业文化、经营管理、业务</w:t>
      </w:r>
      <w:r>
        <w:rPr>
          <w:spacing w:val="-82"/>
        </w:rPr>
        <w:t> </w:t>
      </w:r>
      <w:r>
        <w:rPr>
          <w:spacing w:val="-82"/>
        </w:rPr>
      </w:r>
      <w:r>
        <w:rPr>
          <w:spacing w:val="-1"/>
        </w:rPr>
        <w:t>拓展等方面能否顺利实现整合存在不确定性，若公司未能及时制定并实施与之相适应的整合措施，可能存</w:t>
      </w:r>
      <w:r>
        <w:rPr>
          <w:spacing w:val="-81"/>
        </w:rPr>
        <w:t> </w:t>
      </w:r>
      <w:r>
        <w:rPr>
          <w:spacing w:val="-81"/>
        </w:rPr>
      </w:r>
      <w:r>
        <w:rPr/>
        <w:t>在无法达到预期整合效应的风险。</w:t>
      </w:r>
    </w:p>
    <w:p>
      <w:pPr>
        <w:pStyle w:val="BodyText"/>
        <w:spacing w:line="417" w:lineRule="auto" w:before="92"/>
        <w:ind w:left="577" w:right="102" w:hanging="1"/>
        <w:jc w:val="left"/>
      </w:pPr>
      <w:r>
        <w:rPr>
          <w:rFonts w:ascii="Times New Roman" w:hAnsi="Times New Roman" w:cs="Times New Roman" w:eastAsia="Times New Roman" w:hint="default"/>
        </w:rPr>
        <w:t>6</w:t>
      </w:r>
      <w:r>
        <w:rPr/>
        <w:t>、商誉减值的风险 </w:t>
      </w:r>
      <w:r>
        <w:rPr>
          <w:spacing w:val="-1"/>
        </w:rPr>
        <w:t>根据企业会计准则，非同一控制下的企业合并中，购买方对合并成本大于合并中取得的被购买方可辨</w:t>
      </w:r>
    </w:p>
    <w:p>
      <w:pPr>
        <w:pStyle w:val="BodyText"/>
        <w:spacing w:line="398" w:lineRule="auto" w:before="38"/>
        <w:ind w:right="207"/>
        <w:jc w:val="both"/>
      </w:pPr>
      <w:r>
        <w:rPr>
          <w:spacing w:val="-5"/>
        </w:rPr>
        <w:t>认净资产公允价值份额的差额，应当确认为商誉，该等商誉需要在未来每个会计年度末进行减值测试。</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1"/>
        </w:rPr>
        <w:t>年公司并购重组确认了较大额度的商誉，若标的公司未来经营中不能较好地实现收益，则收购标的资产所</w:t>
      </w:r>
      <w:r>
        <w:rPr>
          <w:spacing w:val="-81"/>
        </w:rPr>
        <w:t> </w:t>
      </w:r>
      <w:r>
        <w:rPr>
          <w:spacing w:val="-81"/>
        </w:rPr>
      </w:r>
      <w:r>
        <w:rPr/>
        <w:t>形成的商誉将会有减值风险，从而对公司经营业绩产生不利影响。</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9">
              <w:r>
                <w:rPr>
                  <w:rFonts w:ascii="Times New Roman" w:hAnsi="Times New Roman" w:cs="Times New Roman" w:eastAsia="Times New Roman" w:hint="default"/>
                  <w:sz w:val="18"/>
                  <w:szCs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9">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2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9">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right="450"/>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33"/>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51" w:firstLine="420"/>
        <w:jc w:val="both"/>
      </w:pPr>
      <w:r>
        <w:rPr>
          <w:spacing w:val="-1"/>
        </w:rPr>
        <w:t>（一）公司重视对投资者的合理投资回报，根据自身的财务结构、盈利能力和未来的投资、融资发展</w:t>
      </w:r>
      <w:r>
        <w:rPr/>
        <w:t> 规划实施积极的利润分配办法，保持利润分配政策的持续性和稳定性。</w:t>
      </w:r>
    </w:p>
    <w:p>
      <w:pPr>
        <w:pStyle w:val="BodyText"/>
        <w:spacing w:line="240" w:lineRule="auto"/>
        <w:ind w:left="573" w:right="133"/>
        <w:jc w:val="left"/>
      </w:pPr>
      <w:r>
        <w:rPr/>
        <w:t>公司利润分配政策如下：</w:t>
      </w:r>
    </w:p>
    <w:p>
      <w:pPr>
        <w:spacing w:line="240" w:lineRule="auto" w:before="10"/>
        <w:rPr>
          <w:rFonts w:ascii="宋体" w:hAnsi="宋体" w:cs="宋体" w:eastAsia="宋体" w:hint="default"/>
          <w:sz w:val="14"/>
          <w:szCs w:val="14"/>
        </w:rPr>
      </w:pPr>
    </w:p>
    <w:p>
      <w:pPr>
        <w:pStyle w:val="BodyText"/>
        <w:spacing w:line="386" w:lineRule="auto" w:before="0"/>
        <w:ind w:left="153" w:right="244" w:firstLine="420"/>
        <w:jc w:val="both"/>
      </w:pPr>
      <w:r>
        <w:rPr>
          <w:rFonts w:ascii="Times New Roman" w:hAnsi="Times New Roman" w:cs="Times New Roman" w:eastAsia="Times New Roman" w:hint="default"/>
        </w:rPr>
        <w:t>“</w:t>
      </w:r>
      <w:r>
        <w:rPr/>
        <w:t>公司的利润分配政策应重视对投资者的合理投资回报，利润分配政策将保持连续性和稳定性。公司 的利润分配不得超过累计可分配利润的范围，不得损害公司持续经营能力。</w:t>
      </w:r>
    </w:p>
    <w:p>
      <w:pPr>
        <w:pStyle w:val="BodyText"/>
        <w:spacing w:line="240" w:lineRule="auto" w:before="65"/>
        <w:ind w:left="573" w:right="133"/>
        <w:jc w:val="left"/>
      </w:pPr>
      <w:r>
        <w:rPr/>
        <w:t>公司的利润分配政策为：</w:t>
      </w:r>
    </w:p>
    <w:p>
      <w:pPr>
        <w:spacing w:line="240" w:lineRule="auto" w:before="10"/>
        <w:rPr>
          <w:rFonts w:ascii="宋体" w:hAnsi="宋体" w:cs="宋体" w:eastAsia="宋体" w:hint="default"/>
          <w:sz w:val="14"/>
          <w:szCs w:val="14"/>
        </w:rPr>
      </w:pPr>
    </w:p>
    <w:p>
      <w:pPr>
        <w:pStyle w:val="BodyText"/>
        <w:spacing w:line="240" w:lineRule="auto" w:before="0"/>
        <w:ind w:left="573" w:right="133"/>
        <w:jc w:val="left"/>
      </w:pPr>
      <w:r>
        <w:rPr/>
        <w:t>（一）公司可以采取现金或者股票股利方式分配股利，可以进行中期现金分红；</w:t>
      </w:r>
    </w:p>
    <w:p>
      <w:pPr>
        <w:spacing w:line="240" w:lineRule="auto" w:before="10"/>
        <w:rPr>
          <w:rFonts w:ascii="宋体" w:hAnsi="宋体" w:cs="宋体" w:eastAsia="宋体" w:hint="default"/>
          <w:sz w:val="14"/>
          <w:szCs w:val="14"/>
        </w:rPr>
      </w:pPr>
    </w:p>
    <w:p>
      <w:pPr>
        <w:pStyle w:val="BodyText"/>
        <w:spacing w:line="398" w:lineRule="auto" w:before="0"/>
        <w:ind w:left="153" w:right="151" w:firstLine="420"/>
        <w:jc w:val="both"/>
      </w:pPr>
      <w:r>
        <w:rPr>
          <w:spacing w:val="-1"/>
        </w:rPr>
        <w:t>（二）在满足公司正常生产经营的资金需求的前提下，公司每年以现金方式分配的利润不少于当年实</w:t>
      </w:r>
      <w:r>
        <w:rPr/>
        <w:t> 现的可分配利润的</w:t>
      </w:r>
      <w:r>
        <w:rPr>
          <w:rFonts w:ascii="Times New Roman" w:hAnsi="Times New Roman" w:cs="Times New Roman" w:eastAsia="Times New Roman" w:hint="default"/>
        </w:rPr>
        <w:t>10%</w:t>
      </w:r>
      <w:r>
        <w:rPr/>
        <w:t>；对于公司当年的利润分配计划，公司董事会应当在定期报告中披露当年未分配利 润的使用计划、安排或原则。</w:t>
      </w:r>
    </w:p>
    <w:p>
      <w:pPr>
        <w:pStyle w:val="BodyText"/>
        <w:spacing w:line="400" w:lineRule="auto" w:before="54"/>
        <w:ind w:left="153" w:right="151" w:firstLine="420"/>
        <w:jc w:val="both"/>
      </w:pPr>
      <w:r>
        <w:rPr/>
        <w:t>公司董事会未做出年度现金利润分配预案或年度现金利润分配比例不足</w:t>
      </w:r>
      <w:r>
        <w:rPr>
          <w:rFonts w:ascii="Times New Roman" w:hAnsi="Times New Roman" w:cs="Times New Roman" w:eastAsia="Times New Roman" w:hint="default"/>
        </w:rPr>
        <w:t>10%</w:t>
      </w:r>
      <w:r>
        <w:rPr/>
        <w:t>的，应当在定期报告中披 </w:t>
      </w:r>
      <w:r>
        <w:rPr>
          <w:spacing w:val="-1"/>
        </w:rPr>
        <w:t>露原因、公司留存资金的使用计划和安排，该等年度现金利润分配方案须经董事会审议、监事会审核后提</w:t>
      </w:r>
      <w:r>
        <w:rPr>
          <w:spacing w:val="-83"/>
        </w:rPr>
        <w:t> </w:t>
      </w:r>
      <w:r>
        <w:rPr>
          <w:spacing w:val="-83"/>
        </w:rPr>
      </w:r>
      <w:r>
        <w:rPr>
          <w:spacing w:val="-1"/>
        </w:rPr>
        <w:t>交股东大会审议；股东大会审议该等年度现金利润分配方案时，公司应当提供网络投票表决方式为公众股</w:t>
      </w:r>
      <w:r>
        <w:rPr>
          <w:spacing w:val="-81"/>
        </w:rPr>
        <w:t> </w:t>
      </w:r>
      <w:r>
        <w:rPr>
          <w:spacing w:val="-81"/>
        </w:rPr>
      </w:r>
      <w:r>
        <w:rPr/>
        <w:t>东参加股东大会提供便利；对于该等年度现金利润分配方案，独立董事应当发表独立意见；</w:t>
      </w:r>
    </w:p>
    <w:p>
      <w:pPr>
        <w:pStyle w:val="BodyText"/>
        <w:spacing w:line="408" w:lineRule="auto" w:before="52"/>
        <w:ind w:left="153" w:right="151" w:firstLine="420"/>
        <w:jc w:val="both"/>
      </w:pPr>
      <w:r>
        <w:rPr>
          <w:spacing w:val="-1"/>
        </w:rPr>
        <w:t>（三）具备现金分红条件的，应当采用现金分红进行利润分配。若公司营业收入快速增长，并且董事</w:t>
      </w:r>
      <w:r>
        <w:rPr/>
        <w:t> </w:t>
      </w:r>
      <w:r>
        <w:rPr>
          <w:spacing w:val="-1"/>
        </w:rPr>
        <w:t>会认为公司股票价格与公司股本规模不匹配时，可以在满足上述现金股利分配之余，提出实施股票股利分</w:t>
      </w:r>
      <w:r>
        <w:rPr>
          <w:spacing w:val="-81"/>
        </w:rPr>
        <w:t> </w:t>
      </w:r>
      <w:r>
        <w:rPr>
          <w:spacing w:val="-81"/>
        </w:rPr>
      </w:r>
      <w:r>
        <w:rPr>
          <w:spacing w:val="-1"/>
        </w:rPr>
        <w:t>配预案，具体方案需经公司董事会审议后提交公司股东大会批准。采用股票股利进行利润分配的，应当具</w:t>
      </w:r>
      <w:r>
        <w:rPr>
          <w:spacing w:val="-83"/>
        </w:rPr>
        <w:t> </w:t>
      </w:r>
      <w:r>
        <w:rPr>
          <w:spacing w:val="-83"/>
        </w:rPr>
      </w:r>
      <w:r>
        <w:rPr/>
        <w:t>有公司成长性、每股净资产的摊薄等真实合理因素。</w:t>
      </w:r>
    </w:p>
    <w:p>
      <w:pPr>
        <w:pStyle w:val="BodyText"/>
        <w:spacing w:line="408" w:lineRule="auto"/>
        <w:ind w:left="153" w:right="150" w:firstLine="420"/>
        <w:jc w:val="both"/>
      </w:pPr>
      <w:r>
        <w:rPr>
          <w:spacing w:val="-1"/>
        </w:rPr>
        <w:t>公司董事会应当综合考虑所处行业特点、发展阶段、自身经营模式、盈利水平以及是否有重大资金支</w:t>
      </w:r>
      <w:r>
        <w:rPr/>
        <w:t> 出安排等因素，区分下列情形，并按照本章程规定的程序，提出差异化的现金分红政策：</w:t>
      </w:r>
    </w:p>
    <w:p>
      <w:pPr>
        <w:pStyle w:val="BodyText"/>
        <w:spacing w:line="386" w:lineRule="auto"/>
        <w:ind w:left="153" w:right="235" w:firstLine="420"/>
        <w:jc w:val="both"/>
      </w:pPr>
      <w:r>
        <w:rPr>
          <w:rFonts w:ascii="Times New Roman" w:hAnsi="Times New Roman" w:cs="Times New Roman" w:eastAsia="Times New Roman" w:hint="default"/>
        </w:rPr>
        <w:t>1</w:t>
      </w:r>
      <w:r>
        <w:rPr/>
        <w:t>、公司发展阶段属成熟期且无重大资金支出安排的，进行利润分配时，现金分红在本次利润分配中 所占比例最低应达到</w:t>
      </w:r>
      <w:r>
        <w:rPr>
          <w:rFonts w:ascii="Times New Roman" w:hAnsi="Times New Roman" w:cs="Times New Roman" w:eastAsia="Times New Roman" w:hint="default"/>
        </w:rPr>
        <w:t>80%</w:t>
      </w:r>
      <w:r>
        <w:rPr/>
        <w:t>；</w:t>
      </w:r>
    </w:p>
    <w:p>
      <w:pPr>
        <w:pStyle w:val="BodyText"/>
        <w:spacing w:line="386" w:lineRule="auto" w:before="35"/>
        <w:ind w:left="153" w:right="235" w:firstLine="420"/>
        <w:jc w:val="both"/>
      </w:pPr>
      <w:r>
        <w:rPr>
          <w:rFonts w:ascii="Times New Roman" w:hAnsi="Times New Roman" w:cs="Times New Roman" w:eastAsia="Times New Roman" w:hint="default"/>
        </w:rPr>
        <w:t>2</w:t>
      </w:r>
      <w:r>
        <w:rPr/>
        <w:t>、公司发展阶段属成熟期且有重大资金支出安排的，进行利润分配时，现金分红在本次利润分配中 所占比例最低应达到</w:t>
      </w:r>
      <w:r>
        <w:rPr>
          <w:rFonts w:ascii="Times New Roman" w:hAnsi="Times New Roman" w:cs="Times New Roman" w:eastAsia="Times New Roman" w:hint="default"/>
        </w:rPr>
        <w:t>40%</w:t>
      </w:r>
      <w:r>
        <w:rPr/>
        <w:t>；</w:t>
      </w:r>
    </w:p>
    <w:p>
      <w:pPr>
        <w:spacing w:after="0" w:line="386"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right="375" w:firstLine="420"/>
        <w:jc w:val="left"/>
      </w:pPr>
      <w:r>
        <w:rPr>
          <w:rFonts w:ascii="Times New Roman" w:hAnsi="Times New Roman" w:cs="Times New Roman" w:eastAsia="Times New Roman" w:hint="default"/>
        </w:rPr>
        <w:t>3</w:t>
      </w:r>
      <w:r>
        <w:rPr/>
        <w:t>、公司发展阶段属成长期且有重大资金支出安排的，进行利润分配时，现金分红在本次利润分配中 所占比例最低应达到</w:t>
      </w:r>
      <w:r>
        <w:rPr>
          <w:rFonts w:ascii="Times New Roman" w:hAnsi="Times New Roman" w:cs="Times New Roman" w:eastAsia="Times New Roman" w:hint="default"/>
        </w:rPr>
        <w:t>20%</w:t>
      </w:r>
      <w:r>
        <w:rPr/>
        <w:t>；</w:t>
      </w:r>
    </w:p>
    <w:p>
      <w:pPr>
        <w:pStyle w:val="BodyText"/>
        <w:spacing w:line="408" w:lineRule="auto" w:before="35"/>
        <w:ind w:left="573" w:right="305"/>
        <w:jc w:val="left"/>
      </w:pPr>
      <w:r>
        <w:rPr/>
        <w:t>公司发展阶段不易区分但有重大资金支出安排的，可以按照前项规定处理。 </w:t>
      </w:r>
      <w:r>
        <w:rPr>
          <w:spacing w:val="-1"/>
        </w:rPr>
        <w:t>公司的利润分配政策经董事会审议、监事会审核后，报股东大会表决通过。公司制定各期利润分配的</w:t>
      </w:r>
    </w:p>
    <w:p>
      <w:pPr>
        <w:pStyle w:val="BodyText"/>
        <w:spacing w:line="408" w:lineRule="auto"/>
        <w:ind w:left="153" w:right="311"/>
        <w:jc w:val="both"/>
      </w:pPr>
      <w:r>
        <w:rPr>
          <w:spacing w:val="-1"/>
        </w:rPr>
        <w:t>具体规划和计划安排，以及调整规划或计划安排时，应按照有关法律、行政法规、部门规章及本章程的规</w:t>
      </w:r>
      <w:r>
        <w:rPr>
          <w:spacing w:val="-82"/>
        </w:rPr>
        <w:t> </w:t>
      </w:r>
      <w:r>
        <w:rPr>
          <w:spacing w:val="-82"/>
        </w:rPr>
      </w:r>
      <w:r>
        <w:rPr>
          <w:spacing w:val="-1"/>
        </w:rPr>
        <w:t>定，并充分听取独立董事、外部监事和公众股东的意见；公司在制定现金分红具体方案时，董事会应当认</w:t>
      </w:r>
      <w:r>
        <w:rPr>
          <w:spacing w:val="-82"/>
        </w:rPr>
        <w:t> </w:t>
      </w:r>
      <w:r>
        <w:rPr>
          <w:spacing w:val="-82"/>
        </w:rPr>
      </w:r>
      <w:r>
        <w:rPr>
          <w:spacing w:val="-1"/>
        </w:rPr>
        <w:t>真研究和论证公司现金分红的时机、条件和最低比例、调整的条件及其决策程序要求等事宜，独立董事应</w:t>
      </w:r>
      <w:r>
        <w:rPr>
          <w:spacing w:val="-83"/>
        </w:rPr>
        <w:t> </w:t>
      </w:r>
      <w:r>
        <w:rPr>
          <w:spacing w:val="-83"/>
        </w:rPr>
      </w:r>
      <w:r>
        <w:rPr>
          <w:spacing w:val="-1"/>
        </w:rPr>
        <w:t>当发表明确意见。独立董事可以征集中小股东的意见，提出分红提案，并直接提交董事会审议。股东大会</w:t>
      </w:r>
      <w:r>
        <w:rPr>
          <w:spacing w:val="-82"/>
        </w:rPr>
        <w:t> </w:t>
      </w:r>
      <w:r>
        <w:rPr>
          <w:spacing w:val="-82"/>
        </w:rPr>
      </w:r>
      <w:r>
        <w:rPr>
          <w:spacing w:val="-1"/>
        </w:rPr>
        <w:t>对现金分红具体方案进行审议前，公司应当通过多种渠道主动与股东特别是中小股东进行沟通和交流，充</w:t>
      </w:r>
      <w:r>
        <w:rPr>
          <w:spacing w:val="-81"/>
        </w:rPr>
        <w:t> </w:t>
      </w:r>
      <w:r>
        <w:rPr>
          <w:spacing w:val="-81"/>
        </w:rPr>
      </w:r>
      <w:r>
        <w:rPr/>
        <w:t>分听取中小股东的意见和诉求，及时答复中小股东关心的问题。</w:t>
      </w:r>
    </w:p>
    <w:p>
      <w:pPr>
        <w:pStyle w:val="BodyText"/>
        <w:spacing w:line="405" w:lineRule="auto"/>
        <w:ind w:left="153" w:right="94" w:firstLine="420"/>
        <w:jc w:val="left"/>
      </w:pPr>
      <w:r>
        <w:rPr/>
        <w:t>公司应当严格执行公司章程确定的现金分红政策以及股东大会审议批准的现金分红具体方案。确有必 </w:t>
      </w:r>
      <w:r>
        <w:rPr>
          <w:spacing w:val="-1"/>
        </w:rPr>
        <w:t>要对公司章程确定的利润分配政策特别是现金分红政策进行调整或者变更的，应以股东权益保护为出发点，</w:t>
      </w:r>
      <w:r>
        <w:rPr>
          <w:spacing w:val="-80"/>
        </w:rPr>
        <w:t> </w:t>
      </w:r>
      <w:r>
        <w:rPr>
          <w:spacing w:val="-80"/>
        </w:rPr>
      </w:r>
      <w:r>
        <w:rPr/>
        <w:t>由公司董事会、监事会进行研究论证并在股东大会提案中详细论证和说明原因，经调整的利润分配政策应</w:t>
      </w:r>
      <w:r>
        <w:rPr/>
        <w:t> 当符合有关法律、行政法规、部门规章及本章程的规定并须经董事会审议、监事会审核后提交股东大会审 议，并经出席股东大会的股东所持表决权的</w:t>
      </w:r>
      <w:r>
        <w:rPr>
          <w:rFonts w:ascii="Times New Roman" w:hAnsi="Times New Roman" w:cs="Times New Roman" w:eastAsia="Times New Roman" w:hint="default"/>
        </w:rPr>
        <w:t>2/3</w:t>
      </w:r>
      <w:r>
        <w:rPr/>
        <w:t>以上通过。股东大会审议该等议案时，公司应当提供网络投 票表决方式为公众股东参加股东大会提供便利。对于公司利润分配政策的调整或者变更事项，独立董事应 当发表独立意见。</w:t>
      </w:r>
    </w:p>
    <w:p>
      <w:pPr>
        <w:pStyle w:val="BodyText"/>
        <w:spacing w:line="408" w:lineRule="auto" w:before="48"/>
        <w:ind w:right="305" w:firstLine="420"/>
        <w:jc w:val="left"/>
        <w:rPr>
          <w:rFonts w:ascii="Times New Roman" w:hAnsi="Times New Roman" w:cs="Times New Roman" w:eastAsia="Times New Roman" w:hint="default"/>
        </w:rPr>
      </w:pPr>
      <w:r>
        <w:rPr>
          <w:spacing w:val="-1"/>
        </w:rPr>
        <w:t>公司制定分红回报规划应当着眼于公司的长远和可持续发展，在综合分析企业经营发展实际、股东要</w:t>
      </w:r>
      <w:r>
        <w:rPr/>
        <w:t> </w:t>
      </w:r>
      <w:r>
        <w:rPr>
          <w:spacing w:val="-3"/>
        </w:rPr>
        <w:t>求和意愿、社会资金成本、外部融资环境等因素的基础上，建立对投资者持续、稳定、科学的回报机制。</w:t>
      </w:r>
      <w:r>
        <w:rPr>
          <w:rFonts w:ascii="Times New Roman" w:hAnsi="Times New Roman" w:cs="Times New Roman" w:eastAsia="Times New Roman" w:hint="default"/>
          <w:spacing w:val="-3"/>
        </w:rPr>
        <w:t>”</w:t>
      </w:r>
    </w:p>
    <w:p>
      <w:pPr>
        <w:pStyle w:val="BodyText"/>
        <w:spacing w:line="408" w:lineRule="auto" w:before="14"/>
        <w:ind w:left="574" w:right="690"/>
        <w:jc w:val="left"/>
      </w:pPr>
      <w:r>
        <w:rPr/>
        <w:t>（二）报告期内公司分红派息执行情况 经立信会计师事务所（特殊普通合伙）审计：公司</w:t>
      </w:r>
      <w:r>
        <w:rPr>
          <w:rFonts w:ascii="Times New Roman" w:hAnsi="Times New Roman" w:cs="Times New Roman" w:eastAsia="Times New Roman" w:hint="default"/>
        </w:rPr>
        <w:t>2016</w:t>
      </w:r>
      <w:r>
        <w:rPr/>
        <w:t>年度实现归属于上市公司股东的净利润为</w:t>
      </w:r>
    </w:p>
    <w:p>
      <w:pPr>
        <w:pStyle w:val="BodyText"/>
        <w:spacing w:line="386" w:lineRule="auto" w:before="14"/>
        <w:ind w:left="574" w:right="304" w:hanging="421"/>
        <w:jc w:val="left"/>
      </w:pPr>
      <w:r>
        <w:rPr>
          <w:rFonts w:ascii="Times New Roman" w:hAnsi="Times New Roman" w:cs="Times New Roman" w:eastAsia="Times New Roman" w:hint="default"/>
        </w:rPr>
        <w:t>84,850,220.15</w:t>
      </w:r>
      <w:r>
        <w:rPr/>
        <w:t>元，母公司实现的净利润为</w:t>
      </w:r>
      <w:r>
        <w:rPr>
          <w:rFonts w:ascii="Times New Roman" w:hAnsi="Times New Roman" w:cs="Times New Roman" w:eastAsia="Times New Roman" w:hint="default"/>
        </w:rPr>
        <w:t>50,850,053.10</w:t>
      </w:r>
      <w:r>
        <w:rPr/>
        <w:t>元。 </w:t>
      </w:r>
      <w:r>
        <w:rPr>
          <w:spacing w:val="-1"/>
        </w:rPr>
        <w:t>根据《公司章程》的有关规定，母公司应当提取利润的</w:t>
      </w:r>
      <w:r>
        <w:rPr>
          <w:rFonts w:ascii="Times New Roman" w:hAnsi="Times New Roman" w:cs="Times New Roman" w:eastAsia="Times New Roman" w:hint="default"/>
          <w:spacing w:val="-1"/>
        </w:rPr>
        <w:t>10%</w:t>
      </w:r>
      <w:r>
        <w:rPr>
          <w:spacing w:val="-1"/>
        </w:rPr>
        <w:t>，即</w:t>
      </w:r>
      <w:r>
        <w:rPr>
          <w:rFonts w:ascii="Times New Roman" w:hAnsi="Times New Roman" w:cs="Times New Roman" w:eastAsia="Times New Roman" w:hint="default"/>
          <w:spacing w:val="-1"/>
        </w:rPr>
        <w:t>5,085,005.31</w:t>
      </w:r>
      <w:r>
        <w:rPr>
          <w:spacing w:val="-1"/>
        </w:rPr>
        <w:t>元作为法定公积金。截至</w:t>
      </w:r>
    </w:p>
    <w:p>
      <w:pPr>
        <w:pStyle w:val="BodyText"/>
        <w:spacing w:line="386" w:lineRule="auto" w:before="35"/>
        <w:ind w:left="574" w:right="94" w:hanging="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214,027,026.04</w:t>
      </w:r>
      <w:r>
        <w:rPr/>
        <w:t>元，资本公积余额为</w:t>
      </w:r>
      <w:r>
        <w:rPr>
          <w:rFonts w:ascii="Times New Roman" w:hAnsi="Times New Roman" w:cs="Times New Roman" w:eastAsia="Times New Roman" w:hint="default"/>
        </w:rPr>
        <w:t>689,027,663.38</w:t>
      </w:r>
      <w:r>
        <w:rPr/>
        <w:t>元。 考虑到公司未来业务发展需要，为使公司股本规模和经营规模相匹配，使公司的价值能够更加公允、</w:t>
      </w:r>
    </w:p>
    <w:p>
      <w:pPr>
        <w:pStyle w:val="BodyText"/>
        <w:spacing w:line="398" w:lineRule="auto" w:before="65"/>
        <w:ind w:right="94"/>
        <w:jc w:val="left"/>
      </w:pPr>
      <w:r>
        <w:rPr/>
        <w:t>客观的体现，同时能为投资者提供更多的保障，从长远角度回报投资者，保护中小投资者的利益，使全体 </w:t>
      </w:r>
      <w:r>
        <w:rPr>
          <w:spacing w:val="-3"/>
        </w:rPr>
        <w:t>股东分享公司成长的经营成果，</w:t>
      </w:r>
      <w:r>
        <w:rPr>
          <w:rFonts w:ascii="Times New Roman" w:hAnsi="Times New Roman" w:cs="Times New Roman" w:eastAsia="Times New Roman" w:hint="default"/>
          <w:spacing w:val="-3"/>
        </w:rPr>
        <w:t>2016</w:t>
      </w:r>
      <w:r>
        <w:rPr>
          <w:spacing w:val="-3"/>
        </w:rPr>
        <w:t>年度公司利润分配预案如下：以公司现有总股本</w:t>
      </w:r>
      <w:r>
        <w:rPr>
          <w:rFonts w:ascii="Times New Roman" w:hAnsi="Times New Roman" w:cs="Times New Roman" w:eastAsia="Times New Roman" w:hint="default"/>
          <w:spacing w:val="-3"/>
        </w:rPr>
        <w:t>324,624,301</w:t>
      </w:r>
      <w:r>
        <w:rPr>
          <w:spacing w:val="-3"/>
        </w:rPr>
        <w:t>股为基数，</w:t>
      </w:r>
      <w:r>
        <w:rPr>
          <w:spacing w:val="-76"/>
        </w:rPr>
        <w:t> </w:t>
      </w:r>
      <w:r>
        <w:rPr>
          <w:spacing w:val="-76"/>
        </w:rPr>
      </w:r>
      <w:r>
        <w:rPr/>
        <w:t>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0.55</w:t>
      </w:r>
      <w:r>
        <w:rPr/>
        <w:t>元人民币现金（含税）。</w:t>
      </w:r>
    </w:p>
    <w:p>
      <w:pPr>
        <w:pStyle w:val="BodyText"/>
        <w:spacing w:line="408" w:lineRule="auto" w:before="24"/>
        <w:ind w:right="305" w:firstLine="420"/>
        <w:jc w:val="left"/>
      </w:pPr>
      <w:r>
        <w:rPr>
          <w:spacing w:val="-1"/>
        </w:rPr>
        <w:t>公司第四届董事会第二次会议及第四届监事会第二次会议审议通过，公司独立董事发表了同意的独立</w:t>
      </w:r>
      <w:r>
        <w:rPr/>
        <w:t> 意见。公司</w:t>
      </w:r>
      <w:r>
        <w:rPr>
          <w:rFonts w:ascii="Times New Roman" w:hAnsi="Times New Roman" w:cs="Times New Roman" w:eastAsia="Times New Roman" w:hint="default"/>
        </w:rPr>
        <w:t>2016</w:t>
      </w:r>
      <w:r>
        <w:rPr/>
        <w:t>年度利润分配预案已经由</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日召开的公司</w:t>
      </w:r>
      <w:r>
        <w:rPr>
          <w:rFonts w:ascii="Times New Roman" w:hAnsi="Times New Roman" w:cs="Times New Roman" w:eastAsia="Times New Roman" w:hint="default"/>
        </w:rPr>
        <w:t>2016</w:t>
      </w:r>
      <w:r>
        <w:rPr/>
        <w:t>年年度股东大会审议通过。本次</w:t>
      </w:r>
    </w:p>
    <w:p>
      <w:pPr>
        <w:spacing w:after="0" w:line="408" w:lineRule="auto"/>
        <w:jc w:val="left"/>
        <w:sectPr>
          <w:footerReference w:type="default" r:id="rId20"/>
          <w:pgSz w:w="11910" w:h="16840"/>
          <w:pgMar w:footer="982" w:header="877" w:top="1100" w:bottom="1180" w:left="980" w:right="820"/>
          <w:pgNumType w:start="53"/>
        </w:sectPr>
      </w:pPr>
    </w:p>
    <w:p>
      <w:pPr>
        <w:spacing w:line="240" w:lineRule="auto" w:before="8"/>
        <w:rPr>
          <w:rFonts w:ascii="宋体" w:hAnsi="宋体" w:cs="宋体" w:eastAsia="宋体" w:hint="default"/>
          <w:sz w:val="26"/>
          <w:szCs w:val="26"/>
        </w:rPr>
      </w:pPr>
    </w:p>
    <w:p>
      <w:pPr>
        <w:pStyle w:val="BodyText"/>
        <w:spacing w:line="408" w:lineRule="auto" w:before="35"/>
        <w:ind w:right="133"/>
        <w:jc w:val="left"/>
      </w:pPr>
      <w:r>
        <w:rPr>
          <w:spacing w:val="-1"/>
        </w:rPr>
        <w:t>股东大会公司采用了现场投票与网络投票相结合的方式，为中小股东提供了充分表达意见和诉求的便利机</w:t>
      </w:r>
      <w:r>
        <w:rPr>
          <w:spacing w:val="-81"/>
        </w:rPr>
        <w:t> </w:t>
      </w:r>
      <w:r>
        <w:rPr>
          <w:spacing w:val="-81"/>
        </w:rPr>
      </w:r>
      <w:r>
        <w:rPr/>
        <w:t>会，维护了中小股东的合法权益。</w:t>
      </w:r>
    </w:p>
    <w:p>
      <w:pPr>
        <w:pStyle w:val="BodyText"/>
        <w:spacing w:line="240" w:lineRule="auto" w:before="87"/>
        <w:ind w:left="574"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日，公司在《巨潮资讯网》上刊登了《</w:t>
      </w:r>
      <w:r>
        <w:rPr>
          <w:rFonts w:ascii="Times New Roman" w:hAnsi="Times New Roman" w:cs="Times New Roman" w:eastAsia="Times New Roman" w:hint="default"/>
        </w:rPr>
        <w:t>2016</w:t>
      </w:r>
      <w:r>
        <w:rPr/>
        <w:t>年年度权益分派实施公告》，截至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p>
    <w:p>
      <w:pPr>
        <w:pStyle w:val="BodyText"/>
        <w:spacing w:line="240" w:lineRule="auto" w:before="177"/>
        <w:ind w:left="153" w:right="133"/>
        <w:jc w:val="left"/>
      </w:pPr>
      <w:r>
        <w:rPr>
          <w:rFonts w:ascii="Times New Roman" w:hAnsi="Times New Roman" w:cs="Times New Roman" w:eastAsia="Times New Roman" w:hint="default"/>
        </w:rPr>
        <w:t>22</w:t>
      </w:r>
      <w:r>
        <w:rPr/>
        <w:t>日，公司</w:t>
      </w:r>
      <w:r>
        <w:rPr>
          <w:rFonts w:ascii="Times New Roman" w:hAnsi="Times New Roman" w:cs="Times New Roman" w:eastAsia="Times New Roman" w:hint="default"/>
        </w:rPr>
        <w:t>2016</w:t>
      </w:r>
      <w:r>
        <w:rPr/>
        <w:t>年年度权益分派已实施完毕。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44"/>
        <w:ind w:left="0" w:right="158" w:firstLine="0"/>
        <w:jc w:val="right"/>
        <w:rPr>
          <w:rFonts w:ascii="宋体" w:hAnsi="宋体" w:cs="宋体" w:eastAsia="宋体" w:hint="default"/>
          <w:sz w:val="18"/>
          <w:szCs w:val="18"/>
        </w:rPr>
      </w:pPr>
      <w:r>
        <w:rPr/>
        <w:pict>
          <v:shape style="position:absolute;margin-left:56.459999pt;margin-top:-272.888031pt;width:479.1pt;height:375.2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3"/>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1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报告期内，公司严格按照《公司章程》的相关利润分配政策 和审议程序实施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年度利润分配方案，并在规定时间内实</w:t>
                        </w:r>
                        <w:r>
                          <w:rPr>
                            <w:rFonts w:ascii="宋体" w:hAnsi="宋体" w:cs="宋体" w:eastAsia="宋体" w:hint="default"/>
                            <w:sz w:val="18"/>
                            <w:szCs w:val="18"/>
                          </w:rPr>
                          <w:t> 施了权益分派。</w:t>
                        </w:r>
                      </w:p>
                    </w:tc>
                  </w:tr>
                  <w:tr>
                    <w:trPr>
                      <w:trHeight w:val="39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vMerge/>
                        <w:tcBorders>
                          <w:left w:val="single" w:sz="4" w:space="0" w:color="000000"/>
                          <w:right w:val="single" w:sz="4" w:space="0" w:color="000000"/>
                        </w:tcBorders>
                      </w:tcPr>
                      <w:p>
                        <w:pPr/>
                      </w:p>
                    </w:tc>
                  </w:tr>
                  <w:tr>
                    <w:trPr>
                      <w:trHeight w:val="31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vMerge/>
                        <w:tcBorders>
                          <w:left w:val="single" w:sz="4" w:space="0" w:color="000000"/>
                          <w:bottom w:val="single" w:sz="4" w:space="0" w:color="000000"/>
                          <w:right w:val="single" w:sz="4" w:space="0" w:color="000000"/>
                        </w:tcBorders>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《公司章程》中规定的分红标准和分红比例明确清晰。</w:t>
                        </w:r>
                      </w:p>
                    </w:tc>
                  </w:tr>
                  <w:tr>
                    <w:trPr>
                      <w:trHeight w:val="31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年度利润分配方案经由董事会、监事会审议通过后 提交股东大会审议，独立董事发表了独立意见，相关决策程 序和机制完备。</w:t>
                        </w:r>
                      </w:p>
                    </w:tc>
                  </w:tr>
                  <w:tr>
                    <w:trPr>
                      <w:trHeight w:val="39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vMerge/>
                        <w:tcBorders>
                          <w:left w:val="single" w:sz="4" w:space="0" w:color="000000"/>
                          <w:right w:val="single" w:sz="4" w:space="0" w:color="000000"/>
                        </w:tcBorders>
                      </w:tcPr>
                      <w:p>
                        <w:pPr/>
                      </w:p>
                    </w:tc>
                  </w:tr>
                  <w:tr>
                    <w:trPr>
                      <w:trHeight w:val="31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vMerge/>
                        <w:tcBorders>
                          <w:left w:val="single" w:sz="4" w:space="0" w:color="000000"/>
                          <w:bottom w:val="single" w:sz="4" w:space="0" w:color="000000"/>
                          <w:right w:val="single" w:sz="4" w:space="0" w:color="000000"/>
                        </w:tcBorders>
                      </w:tcPr>
                      <w:p>
                        <w:pPr/>
                      </w:p>
                    </w:tc>
                  </w:tr>
                  <w:tr>
                    <w:trPr>
                      <w:trHeight w:val="941"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公司独立董事认为公司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年度利润分配预案符合公司实际 情况，符合公司实际开展业务和未来发展的需要，没有违反</w:t>
                        </w:r>
                      </w:p>
                      <w:p>
                        <w:pPr>
                          <w:pStyle w:val="TableParagraph"/>
                          <w:spacing w:line="319" w:lineRule="auto" w:before="31"/>
                          <w:ind w:left="22" w:right="68"/>
                          <w:jc w:val="both"/>
                          <w:rPr>
                            <w:rFonts w:ascii="宋体" w:hAnsi="宋体" w:cs="宋体" w:eastAsia="宋体" w:hint="default"/>
                            <w:sz w:val="18"/>
                            <w:szCs w:val="18"/>
                          </w:rPr>
                        </w:pPr>
                        <w:r>
                          <w:rPr>
                            <w:rFonts w:ascii="宋体" w:hAnsi="宋体" w:cs="宋体" w:eastAsia="宋体" w:hint="default"/>
                            <w:sz w:val="18"/>
                            <w:szCs w:val="18"/>
                          </w:rPr>
                          <w:t>《公司法》和《公司章程》的有关规定，未损害公司股东尤 其是中小股东的利益，有利于公司的正常经营和健康发展， 有利于公司的价值更加公允、客观地体现，同时能为投资者 提供更多的保障，从长远角度回报投资者，具备合法性、合 规性、合理性。</w:t>
                        </w:r>
                      </w:p>
                    </w:tc>
                  </w:tr>
                  <w:tr>
                    <w:trPr>
                      <w:trHeight w:val="39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vMerge/>
                        <w:tcBorders>
                          <w:left w:val="single" w:sz="4" w:space="0" w:color="000000"/>
                          <w:right w:val="single" w:sz="4" w:space="0" w:color="000000"/>
                        </w:tcBorders>
                      </w:tcPr>
                      <w:p>
                        <w:pPr/>
                      </w:p>
                    </w:tc>
                  </w:tr>
                  <w:tr>
                    <w:trPr>
                      <w:trHeight w:val="941"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vMerge/>
                        <w:tcBorders>
                          <w:left w:val="single" w:sz="4" w:space="0" w:color="000000"/>
                          <w:bottom w:val="single" w:sz="4" w:space="0" w:color="000000"/>
                          <w:right w:val="single" w:sz="4" w:space="0" w:color="000000"/>
                        </w:tcBorders>
                      </w:tcPr>
                      <w:p>
                        <w:pPr/>
                      </w:p>
                    </w:tc>
                  </w:tr>
                  <w:tr>
                    <w:trPr>
                      <w:trHeight w:val="473"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公司在召开修订利润分配政策及审议</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年度利润分配方案 的股东大会时，采取现场投票与网络投票相结合的表决方式 为中小投资者参与本次决策提供了充分的便利。公司利润分 配决策程序和机制完备，充分考虑了广大投资者的合理诉求 其合法权益得到了充分保护。</w:t>
                        </w:r>
                      </w:p>
                    </w:tc>
                  </w:tr>
                  <w:tr>
                    <w:trPr>
                      <w:trHeight w:val="704"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vMerge/>
                        <w:tcBorders>
                          <w:left w:val="single" w:sz="4" w:space="0" w:color="000000"/>
                          <w:right w:val="single" w:sz="4" w:space="0" w:color="000000"/>
                        </w:tcBorders>
                      </w:tcPr>
                      <w:p>
                        <w:pPr/>
                      </w:p>
                    </w:tc>
                  </w:tr>
                  <w:tr>
                    <w:trPr>
                      <w:trHeight w:val="473"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vMerge/>
                        <w:tcBorders>
                          <w:left w:val="single" w:sz="4" w:space="0" w:color="000000"/>
                          <w:bottom w:val="single" w:sz="4" w:space="0" w:color="000000"/>
                          <w:right w:val="single" w:sz="4" w:space="0" w:color="000000"/>
                        </w:tcBorders>
                      </w:tcPr>
                      <w:p>
                        <w:pP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44"/>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4" w:right="32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324,475,501</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19,468,530.06</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281,757,022.93</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44"/>
        <w:ind w:left="0" w:right="242" w:firstLine="0"/>
        <w:jc w:val="right"/>
        <w:rPr>
          <w:rFonts w:ascii="宋体" w:hAnsi="宋体" w:cs="宋体" w:eastAsia="宋体" w:hint="default"/>
          <w:sz w:val="18"/>
          <w:szCs w:val="18"/>
        </w:rPr>
      </w:pPr>
      <w:r>
        <w:rPr/>
        <w:pict>
          <v:shape style="position:absolute;margin-left:56.459999pt;margin-top:-61.148003pt;width:479.1pt;height:305.3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8"/>
                  </w:tblGrid>
                  <w:tr>
                    <w:trPr>
                      <w:trHeight w:val="402" w:hRule="exact"/>
                    </w:trPr>
                    <w:tc>
                      <w:tcPr>
                        <w:tcW w:w="9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890"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经立信会计师事务所（特殊普通合伙）审计：公司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年度实现归属于上市公司股东的净利润为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119,671,217.16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母公司实现的净利润为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95,093,703.83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根据《公司章程》的有关规定，母公司应当提取利润的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9,509,370.38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元作为法定公积金。截至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38" w:lineRule="auto" w:before="64"/>
                          <w:ind w:left="382" w:right="-5"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日，母公司可供分配的利润为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281,757,022.93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元，资本公积余额为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702,083,069.98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考虑到公司业务持续发展，且经营现金流同步增长，在符合利润分配原则、保证公司正常经营和长远发展的前提下，</w:t>
                        </w:r>
                      </w:p>
                      <w:p>
                        <w:pPr>
                          <w:pStyle w:val="TableParagraph"/>
                          <w:spacing w:line="316" w:lineRule="auto" w:before="2"/>
                          <w:ind w:left="22" w:right="21"/>
                          <w:jc w:val="both"/>
                          <w:rPr>
                            <w:rFonts w:ascii="宋体" w:hAnsi="宋体" w:cs="宋体" w:eastAsia="宋体" w:hint="default"/>
                            <w:sz w:val="18"/>
                            <w:szCs w:val="18"/>
                          </w:rPr>
                        </w:pPr>
                        <w:r>
                          <w:rPr>
                            <w:rFonts w:ascii="宋体" w:hAnsi="宋体" w:cs="宋体" w:eastAsia="宋体" w:hint="default"/>
                            <w:spacing w:val="-1"/>
                            <w:sz w:val="18"/>
                            <w:szCs w:val="18"/>
                          </w:rPr>
                          <w:t>为了更好的兼顾股东的即期利益和长远利益，使公司的价值能够更加公允、客观的体现，从长远角度回报投资者，使全体</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股东分享公司成长的经营成果，</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年度公司利润分配预案如下：以截止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324,475,501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基数，向全体股东每</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股派发现金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，合计派发现金股利为人民币</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19,468,530.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。同时，</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162,237,751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股，转增后公司总股本增加至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486,713,252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2"/>
                          <w:ind w:left="382" w:right="0"/>
                          <w:jc w:val="left"/>
                          <w:rPr>
                            <w:rFonts w:ascii="宋体" w:hAnsi="宋体" w:cs="宋体" w:eastAsia="宋体" w:hint="default"/>
                            <w:sz w:val="18"/>
                            <w:szCs w:val="18"/>
                          </w:rPr>
                        </w:pPr>
                        <w:r>
                          <w:rPr>
                            <w:rFonts w:ascii="宋体" w:hAnsi="宋体" w:cs="宋体" w:eastAsia="宋体" w:hint="default"/>
                            <w:sz w:val="18"/>
                            <w:szCs w:val="18"/>
                          </w:rPr>
                          <w:t>由于公司于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日召开的第四届董事会第九次会议及第四届监事会第八次会议审议通过了《关于回购注销</w:t>
                        </w:r>
                      </w:p>
                      <w:p>
                        <w:pPr>
                          <w:pStyle w:val="TableParagraph"/>
                          <w:spacing w:line="304" w:lineRule="auto" w:before="63"/>
                          <w:ind w:left="22" w:right="19"/>
                          <w:jc w:val="both"/>
                          <w:rPr>
                            <w:rFonts w:ascii="宋体" w:hAnsi="宋体" w:cs="宋体" w:eastAsia="宋体" w:hint="default"/>
                            <w:sz w:val="18"/>
                            <w:szCs w:val="18"/>
                          </w:rPr>
                        </w:pPr>
                        <w:r>
                          <w:rPr>
                            <w:rFonts w:ascii="宋体" w:hAnsi="宋体" w:cs="宋体" w:eastAsia="宋体" w:hint="default"/>
                            <w:spacing w:val="-5"/>
                            <w:sz w:val="18"/>
                            <w:szCs w:val="18"/>
                          </w:rPr>
                          <w:t>不符合激励条件的激励对象所持已获授但尚未解锁的限制性股票的议案》、《关于终止实施</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年限制性股票激励计划暨 </w:t>
                        </w:r>
                        <w:r>
                          <w:rPr>
                            <w:rFonts w:ascii="宋体" w:hAnsi="宋体" w:cs="宋体" w:eastAsia="宋体" w:hint="default"/>
                            <w:spacing w:val="-4"/>
                            <w:sz w:val="18"/>
                            <w:szCs w:val="18"/>
                          </w:rPr>
                          <w:t>回购注销已获授但尚未解锁的限制性股票的议案》、《关于修改新开普电子股份有限公司注册资本的议案》等议案。上述相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关议案已经过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年第一次临时股东大会审议通过。公司目前已启动回购注销限制性股票等相关 工作。如果在权益分派实施前完成了回购注销工作，将导致公司股本发生变化，公司将根据有关规定：按照</w:t>
                        </w:r>
                        <w:r>
                          <w:rPr>
                            <w:rFonts w:ascii="Times New Roman" w:hAnsi="Times New Roman" w:cs="Times New Roman" w:eastAsia="Times New Roman" w:hint="default"/>
                            <w:sz w:val="18"/>
                            <w:szCs w:val="18"/>
                          </w:rPr>
                          <w:t>“</w:t>
                        </w:r>
                        <w:r>
                          <w:rPr>
                            <w:rFonts w:ascii="宋体" w:hAnsi="宋体" w:cs="宋体" w:eastAsia="宋体" w:hint="default"/>
                            <w:sz w:val="18"/>
                            <w:szCs w:val="18"/>
                          </w:rPr>
                          <w:t>现金分红总</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额、送红股总额、转增股本总额固定不变</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的原则对分配比例进行调整。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388" w:lineRule="auto" w:before="0"/>
        <w:ind w:left="574" w:right="590" w:hanging="420"/>
        <w:jc w:val="left"/>
        <w:rPr>
          <w:rFonts w:ascii="宋体" w:hAnsi="宋体" w:cs="宋体" w:eastAsia="宋体" w:hint="default"/>
          <w:sz w:val="21"/>
          <w:szCs w:val="21"/>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年度利润分配方案 经立信会计师事务所（特殊普通合伙）审计：公司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年度实现归属于上市公司股东的净利润为</w:t>
      </w:r>
    </w:p>
    <w:p>
      <w:pPr>
        <w:pStyle w:val="BodyText"/>
        <w:spacing w:line="386" w:lineRule="auto" w:before="33"/>
        <w:ind w:left="574" w:right="204" w:hanging="421"/>
        <w:jc w:val="left"/>
      </w:pPr>
      <w:r>
        <w:rPr>
          <w:rFonts w:ascii="Times New Roman" w:hAnsi="Times New Roman" w:cs="Times New Roman" w:eastAsia="Times New Roman" w:hint="default"/>
        </w:rPr>
        <w:t>60,401,993.08</w:t>
      </w:r>
      <w:r>
        <w:rPr/>
        <w:t>元，母公司实现的净利润为</w:t>
      </w:r>
      <w:r>
        <w:rPr>
          <w:rFonts w:ascii="Times New Roman" w:hAnsi="Times New Roman" w:cs="Times New Roman" w:eastAsia="Times New Roman" w:hint="default"/>
        </w:rPr>
        <w:t>34,835,352.79</w:t>
      </w:r>
      <w:r>
        <w:rPr/>
        <w:t>元。 </w:t>
      </w:r>
      <w:r>
        <w:rPr>
          <w:spacing w:val="-1"/>
        </w:rPr>
        <w:t>根据《公司章程》的有关规定，母公司应当提取利润的</w:t>
      </w:r>
      <w:r>
        <w:rPr>
          <w:rFonts w:ascii="Times New Roman" w:hAnsi="Times New Roman" w:cs="Times New Roman" w:eastAsia="Times New Roman" w:hint="default"/>
          <w:spacing w:val="-1"/>
        </w:rPr>
        <w:t>10%</w:t>
      </w:r>
      <w:r>
        <w:rPr>
          <w:spacing w:val="-1"/>
        </w:rPr>
        <w:t>，即</w:t>
      </w:r>
      <w:r>
        <w:rPr>
          <w:rFonts w:ascii="Times New Roman" w:hAnsi="Times New Roman" w:cs="Times New Roman" w:eastAsia="Times New Roman" w:hint="default"/>
          <w:spacing w:val="-1"/>
        </w:rPr>
        <w:t>3,483,535.28</w:t>
      </w:r>
      <w:r>
        <w:rPr>
          <w:spacing w:val="-1"/>
        </w:rPr>
        <w:t>元作为法定公积金。截至</w:t>
      </w:r>
    </w:p>
    <w:p>
      <w:pPr>
        <w:pStyle w:val="BodyText"/>
        <w:spacing w:line="386" w:lineRule="auto" w:before="35"/>
        <w:ind w:left="574" w:right="102" w:hanging="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183,366,723.30</w:t>
      </w:r>
      <w:r>
        <w:rPr/>
        <w:t>元，资本公积余额为</w:t>
      </w:r>
      <w:r>
        <w:rPr>
          <w:rFonts w:ascii="Times New Roman" w:hAnsi="Times New Roman" w:cs="Times New Roman" w:eastAsia="Times New Roman" w:hint="default"/>
        </w:rPr>
        <w:t>274,048,192.18</w:t>
      </w:r>
      <w:r>
        <w:rPr/>
        <w:t>元。 </w:t>
      </w:r>
      <w:r>
        <w:rPr>
          <w:spacing w:val="-1"/>
        </w:rPr>
        <w:t>考虑到公司业务持续发展，且经营现金流同步增长，在符合利润分配原则、保证公司正常经营和长远</w:t>
      </w:r>
    </w:p>
    <w:p>
      <w:pPr>
        <w:pStyle w:val="BodyText"/>
        <w:spacing w:line="398" w:lineRule="auto" w:before="65"/>
        <w:ind w:right="102"/>
        <w:jc w:val="left"/>
      </w:pPr>
      <w:r>
        <w:rPr/>
        <w:t>发展的前提下，为了更好的兼顾股东的即期利益和长远利益，使公司的价值能够更加公允、客观的体现，</w:t>
      </w:r>
      <w:r>
        <w:rPr>
          <w:spacing w:val="-36"/>
        </w:rPr>
        <w:t> </w:t>
      </w:r>
      <w:r>
        <w:rPr>
          <w:spacing w:val="-36"/>
        </w:rPr>
      </w:r>
      <w:r>
        <w:rPr/>
        <w:t>从长远角度回报投资者，使全体股东分享公司成长的经营成果，</w:t>
      </w:r>
      <w:r>
        <w:rPr>
          <w:rFonts w:ascii="Times New Roman" w:hAnsi="Times New Roman" w:cs="Times New Roman" w:eastAsia="Times New Roman" w:hint="default"/>
        </w:rPr>
        <w:t>2015</w:t>
      </w:r>
      <w:r>
        <w:rPr/>
        <w:t>年度公司利润分配预案如下：以截止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302,094,901</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0.5</w:t>
      </w:r>
      <w:r>
        <w:rPr/>
        <w:t>元人民币（含税）。</w:t>
      </w:r>
    </w:p>
    <w:p>
      <w:pPr>
        <w:pStyle w:val="BodyText"/>
        <w:spacing w:line="400" w:lineRule="auto" w:before="24"/>
        <w:ind w:right="102" w:firstLine="420"/>
        <w:jc w:val="left"/>
      </w:pPr>
      <w:r>
        <w:rPr>
          <w:spacing w:val="-1"/>
        </w:rPr>
        <w:t>公司第三届董事会第二十四次会议及第三届监事会第十六次会议审议通过上述预案，独立董事均发表</w:t>
      </w:r>
      <w:r>
        <w:rPr/>
        <w:t> 了明确的同意意见。公司</w:t>
      </w:r>
      <w:r>
        <w:rPr>
          <w:rFonts w:ascii="Times New Roman" w:hAnsi="Times New Roman" w:cs="Times New Roman" w:eastAsia="Times New Roman" w:hint="default"/>
        </w:rPr>
        <w:t>2015</w:t>
      </w:r>
      <w:r>
        <w:rPr/>
        <w:t>年度利润分配预案已经由</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日召开的公司</w:t>
      </w:r>
      <w:r>
        <w:rPr>
          <w:rFonts w:ascii="Times New Roman" w:hAnsi="Times New Roman" w:cs="Times New Roman" w:eastAsia="Times New Roman" w:hint="default"/>
        </w:rPr>
        <w:t>2015</w:t>
      </w:r>
      <w:r>
        <w:rPr/>
        <w:t>年年度股东大会审 </w:t>
      </w:r>
      <w:r>
        <w:rPr>
          <w:spacing w:val="-1"/>
        </w:rPr>
        <w:t>议通过。本次股东大会公司采用了现场投票与网络投票相结合的方式，为中小股东提供了充分表达意见和</w:t>
      </w:r>
      <w:r>
        <w:rPr>
          <w:spacing w:val="-81"/>
        </w:rPr>
        <w:t> </w:t>
      </w:r>
      <w:r>
        <w:rPr>
          <w:spacing w:val="-81"/>
        </w:rPr>
      </w:r>
      <w:r>
        <w:rPr/>
        <w:t>诉求的便利机会，维护了中小股东的合法权益。</w:t>
      </w:r>
    </w:p>
    <w:p>
      <w:pPr>
        <w:pStyle w:val="BodyText"/>
        <w:spacing w:line="240" w:lineRule="auto" w:before="52"/>
        <w:ind w:left="574" w:right="10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日，公司在《巨潮资讯网》上刊登了《</w:t>
      </w:r>
      <w:r>
        <w:rPr>
          <w:rFonts w:ascii="Times New Roman" w:hAnsi="Times New Roman" w:cs="Times New Roman" w:eastAsia="Times New Roman" w:hint="default"/>
        </w:rPr>
        <w:t>2015</w:t>
      </w:r>
      <w:r>
        <w:rPr/>
        <w:t>年年度权益分派实施公告》，截至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p>
    <w:p>
      <w:pPr>
        <w:pStyle w:val="BodyText"/>
        <w:spacing w:line="240" w:lineRule="auto" w:before="177"/>
        <w:ind w:right="102"/>
        <w:jc w:val="left"/>
      </w:pPr>
      <w:r>
        <w:rPr>
          <w:rFonts w:ascii="Times New Roman" w:hAnsi="Times New Roman" w:cs="Times New Roman" w:eastAsia="Times New Roman" w:hint="default"/>
        </w:rPr>
        <w:t>1</w:t>
      </w:r>
      <w:r>
        <w:rPr/>
        <w:t>日，公司</w:t>
      </w:r>
      <w:r>
        <w:rPr>
          <w:rFonts w:ascii="Times New Roman" w:hAnsi="Times New Roman" w:cs="Times New Roman" w:eastAsia="Times New Roman" w:hint="default"/>
        </w:rPr>
        <w:t>2015</w:t>
      </w:r>
      <w:r>
        <w:rPr/>
        <w:t>年年度权益分派已实施完毕。</w:t>
      </w:r>
    </w:p>
    <w:p>
      <w:pPr>
        <w:pStyle w:val="BodyText"/>
        <w:spacing w:line="240" w:lineRule="auto" w:before="177"/>
        <w:ind w:left="574" w:right="10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年度利润分配方案</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left="574" w:right="102"/>
        <w:jc w:val="left"/>
      </w:pPr>
      <w:r>
        <w:rPr/>
        <w:t>经立信会计师事务所（特殊普通合伙）审计：公司</w:t>
      </w:r>
      <w:r>
        <w:rPr>
          <w:rFonts w:ascii="Times New Roman" w:hAnsi="Times New Roman" w:cs="Times New Roman" w:eastAsia="Times New Roman" w:hint="default"/>
        </w:rPr>
        <w:t>2016</w:t>
      </w:r>
      <w:r>
        <w:rPr/>
        <w:t>年度实现归属于上市公司股东的净利润为</w:t>
      </w:r>
    </w:p>
    <w:p>
      <w:pPr>
        <w:pStyle w:val="BodyText"/>
        <w:spacing w:line="386" w:lineRule="auto" w:before="177"/>
        <w:ind w:left="574" w:right="204" w:hanging="421"/>
        <w:jc w:val="left"/>
      </w:pPr>
      <w:r>
        <w:rPr>
          <w:rFonts w:ascii="Times New Roman" w:hAnsi="Times New Roman" w:cs="Times New Roman" w:eastAsia="Times New Roman" w:hint="default"/>
        </w:rPr>
        <w:t>84,850,220.15</w:t>
      </w:r>
      <w:r>
        <w:rPr/>
        <w:t>元，母公司实现的净利润为</w:t>
      </w:r>
      <w:r>
        <w:rPr>
          <w:rFonts w:ascii="Times New Roman" w:hAnsi="Times New Roman" w:cs="Times New Roman" w:eastAsia="Times New Roman" w:hint="default"/>
        </w:rPr>
        <w:t>50,850,053.10</w:t>
      </w:r>
      <w:r>
        <w:rPr/>
        <w:t>元。 </w:t>
      </w:r>
      <w:r>
        <w:rPr>
          <w:spacing w:val="-1"/>
        </w:rPr>
        <w:t>根据《公司章程》的有关规定，母公司应当提取利润的</w:t>
      </w:r>
      <w:r>
        <w:rPr>
          <w:rFonts w:ascii="Times New Roman" w:hAnsi="Times New Roman" w:cs="Times New Roman" w:eastAsia="Times New Roman" w:hint="default"/>
          <w:spacing w:val="-1"/>
        </w:rPr>
        <w:t>10%</w:t>
      </w:r>
      <w:r>
        <w:rPr>
          <w:spacing w:val="-1"/>
        </w:rPr>
        <w:t>，即</w:t>
      </w:r>
      <w:r>
        <w:rPr>
          <w:rFonts w:ascii="Times New Roman" w:hAnsi="Times New Roman" w:cs="Times New Roman" w:eastAsia="Times New Roman" w:hint="default"/>
          <w:spacing w:val="-1"/>
        </w:rPr>
        <w:t>5,085,005.31</w:t>
      </w:r>
      <w:r>
        <w:rPr>
          <w:spacing w:val="-1"/>
        </w:rPr>
        <w:t>元作为法定公积金。截至</w:t>
      </w:r>
    </w:p>
    <w:p>
      <w:pPr>
        <w:pStyle w:val="BodyText"/>
        <w:spacing w:line="386" w:lineRule="auto" w:before="35"/>
        <w:ind w:left="574" w:right="102" w:hanging="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214,027,026.04</w:t>
      </w:r>
      <w:r>
        <w:rPr/>
        <w:t>元，资本公积余额为</w:t>
      </w:r>
      <w:r>
        <w:rPr>
          <w:rFonts w:ascii="Times New Roman" w:hAnsi="Times New Roman" w:cs="Times New Roman" w:eastAsia="Times New Roman" w:hint="default"/>
        </w:rPr>
        <w:t>689,027,663.38</w:t>
      </w:r>
      <w:r>
        <w:rPr/>
        <w:t>元。 </w:t>
      </w:r>
      <w:r>
        <w:rPr>
          <w:spacing w:val="-1"/>
        </w:rPr>
        <w:t>考虑到公司业务持续发展，且经营现金流同步增长，在符合利润分配原则、保证公司正常经营和长远</w:t>
      </w:r>
    </w:p>
    <w:p>
      <w:pPr>
        <w:pStyle w:val="BodyText"/>
        <w:spacing w:line="398" w:lineRule="auto" w:before="65"/>
        <w:ind w:right="102"/>
        <w:jc w:val="left"/>
      </w:pPr>
      <w:r>
        <w:rPr/>
        <w:t>发展的前提下，为了更好的兼顾股东的即期利益和长远利益，使公司的价值能够更加公允、客观的体现，</w:t>
      </w:r>
      <w:r>
        <w:rPr>
          <w:spacing w:val="-36"/>
        </w:rPr>
        <w:t> </w:t>
      </w:r>
      <w:r>
        <w:rPr>
          <w:spacing w:val="-36"/>
        </w:rPr>
      </w:r>
      <w:r>
        <w:rPr/>
        <w:t>从长远角度回报投资者，使全体股东分享公司成长的经营成果，</w:t>
      </w:r>
      <w:r>
        <w:rPr>
          <w:rFonts w:ascii="Times New Roman" w:hAnsi="Times New Roman" w:cs="Times New Roman" w:eastAsia="Times New Roman" w:hint="default"/>
        </w:rPr>
        <w:t>2016</w:t>
      </w:r>
      <w:r>
        <w:rPr/>
        <w:t>年度公司利润分配预案如下：以截止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324,624,301</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0.55</w:t>
      </w:r>
      <w:r>
        <w:rPr/>
        <w:t>元人民币（含税）。</w:t>
      </w:r>
    </w:p>
    <w:p>
      <w:pPr>
        <w:pStyle w:val="BodyText"/>
        <w:spacing w:line="400" w:lineRule="auto" w:before="64"/>
        <w:ind w:right="102" w:firstLine="420"/>
        <w:jc w:val="left"/>
      </w:pPr>
      <w:r>
        <w:rPr/>
        <w:t>公司第四届董事会第二次会议及第四届监事会第二次会议审议通过上述预案，独立董事均发表了明确 </w:t>
      </w:r>
      <w:r>
        <w:rPr>
          <w:spacing w:val="-1"/>
        </w:rPr>
        <w:t>的同意意见。公司</w:t>
      </w:r>
      <w:r>
        <w:rPr>
          <w:rFonts w:ascii="Times New Roman" w:hAnsi="Times New Roman" w:cs="Times New Roman" w:eastAsia="Times New Roman" w:hint="default"/>
          <w:spacing w:val="-1"/>
        </w:rPr>
        <w:t>2016</w:t>
      </w:r>
      <w:r>
        <w:rPr>
          <w:spacing w:val="-1"/>
        </w:rPr>
        <w:t>年度利润分配预案已经由</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12</w:t>
      </w:r>
      <w:r>
        <w:rPr>
          <w:spacing w:val="-1"/>
        </w:rPr>
        <w:t>日召开的公司</w:t>
      </w:r>
      <w:r>
        <w:rPr>
          <w:rFonts w:ascii="Times New Roman" w:hAnsi="Times New Roman" w:cs="Times New Roman" w:eastAsia="Times New Roman" w:hint="default"/>
          <w:spacing w:val="-1"/>
        </w:rPr>
        <w:t>2016</w:t>
      </w:r>
      <w:r>
        <w:rPr>
          <w:spacing w:val="-1"/>
        </w:rPr>
        <w:t>年年度股东大会审议通过。</w:t>
      </w:r>
      <w:r>
        <w:rPr>
          <w:spacing w:val="-85"/>
        </w:rPr>
        <w:t> </w:t>
      </w:r>
      <w:r>
        <w:rPr>
          <w:spacing w:val="-85"/>
        </w:rPr>
      </w:r>
      <w:r>
        <w:rPr/>
        <w:t>本次股东大会公司采用了现场投票与网络投票相结合的方式，为中小股东提供了充分表达意见和诉求的便</w:t>
      </w:r>
      <w:r>
        <w:rPr/>
        <w:t> 利机会，维护了中小股东的合法权益。</w:t>
      </w:r>
    </w:p>
    <w:p>
      <w:pPr>
        <w:pStyle w:val="BodyText"/>
        <w:spacing w:line="240" w:lineRule="auto" w:before="92"/>
        <w:ind w:left="574" w:right="102"/>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日，公司在《巨潮资讯网》上刊登了《</w:t>
      </w:r>
      <w:r>
        <w:rPr>
          <w:rFonts w:ascii="Times New Roman" w:hAnsi="Times New Roman" w:cs="Times New Roman" w:eastAsia="Times New Roman" w:hint="default"/>
        </w:rPr>
        <w:t>2016</w:t>
      </w:r>
      <w:r>
        <w:rPr/>
        <w:t>年年度权益分派实施公告》，截至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p>
    <w:p>
      <w:pPr>
        <w:pStyle w:val="BodyText"/>
        <w:spacing w:line="240" w:lineRule="auto" w:before="178"/>
        <w:ind w:right="102"/>
        <w:jc w:val="left"/>
      </w:pPr>
      <w:r>
        <w:rPr>
          <w:rFonts w:ascii="Times New Roman" w:hAnsi="Times New Roman" w:cs="Times New Roman" w:eastAsia="Times New Roman" w:hint="default"/>
        </w:rPr>
        <w:t>22</w:t>
      </w:r>
      <w:r>
        <w:rPr/>
        <w:t>日，公司</w:t>
      </w:r>
      <w:r>
        <w:rPr>
          <w:rFonts w:ascii="Times New Roman" w:hAnsi="Times New Roman" w:cs="Times New Roman" w:eastAsia="Times New Roman" w:hint="default"/>
        </w:rPr>
        <w:t>2016</w:t>
      </w:r>
      <w:r>
        <w:rPr/>
        <w:t>年年度权益分派已实施完毕。</w:t>
      </w:r>
    </w:p>
    <w:p>
      <w:pPr>
        <w:spacing w:line="240" w:lineRule="auto" w:before="8"/>
        <w:rPr>
          <w:rFonts w:ascii="宋体" w:hAnsi="宋体" w:cs="宋体" w:eastAsia="宋体" w:hint="default"/>
          <w:sz w:val="16"/>
          <w:szCs w:val="16"/>
        </w:rPr>
      </w:pPr>
    </w:p>
    <w:p>
      <w:pPr>
        <w:pStyle w:val="BodyText"/>
        <w:spacing w:line="417" w:lineRule="auto" w:before="0"/>
        <w:ind w:left="574" w:right="102" w:hanging="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年度利润分配预案 </w:t>
      </w:r>
      <w:r>
        <w:rPr>
          <w:spacing w:val="8"/>
        </w:rPr>
        <w:t>经立信会计师事务所（特殊普通合伙）审计：公司</w:t>
      </w:r>
      <w:r>
        <w:rPr>
          <w:rFonts w:ascii="Times New Roman" w:hAnsi="Times New Roman" w:cs="Times New Roman" w:eastAsia="Times New Roman" w:hint="default"/>
          <w:spacing w:val="8"/>
        </w:rPr>
        <w:t>2017</w:t>
      </w:r>
      <w:r>
        <w:rPr>
          <w:spacing w:val="8"/>
        </w:rPr>
        <w:t>年度实现归属于上市公司股东的净利润为</w:t>
      </w:r>
    </w:p>
    <w:p>
      <w:pPr>
        <w:pStyle w:val="BodyText"/>
        <w:spacing w:line="420" w:lineRule="auto" w:before="6"/>
        <w:ind w:left="574" w:right="204" w:hanging="420"/>
        <w:jc w:val="left"/>
      </w:pPr>
      <w:r>
        <w:rPr>
          <w:rFonts w:ascii="Times New Roman" w:hAnsi="Times New Roman" w:cs="Times New Roman" w:eastAsia="Times New Roman" w:hint="default"/>
        </w:rPr>
        <w:t>119,671,217.16</w:t>
      </w:r>
      <w:r>
        <w:rPr/>
        <w:t>元，母公司实现的净利润为</w:t>
      </w:r>
      <w:r>
        <w:rPr>
          <w:rFonts w:ascii="Times New Roman" w:hAnsi="Times New Roman" w:cs="Times New Roman" w:eastAsia="Times New Roman" w:hint="default"/>
        </w:rPr>
        <w:t>95,093,703.83</w:t>
      </w:r>
      <w:r>
        <w:rPr/>
        <w:t>元。 </w:t>
      </w:r>
      <w:r>
        <w:rPr>
          <w:spacing w:val="-1"/>
        </w:rPr>
        <w:t>根据《公司章程》的有关规定，母公司应当提取利润的</w:t>
      </w:r>
      <w:r>
        <w:rPr>
          <w:rFonts w:ascii="Times New Roman" w:hAnsi="Times New Roman" w:cs="Times New Roman" w:eastAsia="Times New Roman" w:hint="default"/>
          <w:spacing w:val="-1"/>
        </w:rPr>
        <w:t>10%</w:t>
      </w:r>
      <w:r>
        <w:rPr>
          <w:spacing w:val="-1"/>
        </w:rPr>
        <w:t>，即</w:t>
      </w:r>
      <w:r>
        <w:rPr>
          <w:rFonts w:ascii="Times New Roman" w:hAnsi="Times New Roman" w:cs="Times New Roman" w:eastAsia="Times New Roman" w:hint="default"/>
          <w:spacing w:val="-1"/>
        </w:rPr>
        <w:t>9,509,370.38</w:t>
      </w:r>
      <w:r>
        <w:rPr>
          <w:spacing w:val="-1"/>
        </w:rPr>
        <w:t>元作为法定公积金。截至</w:t>
      </w:r>
    </w:p>
    <w:p>
      <w:pPr>
        <w:pStyle w:val="BodyText"/>
        <w:spacing w:line="417" w:lineRule="auto" w:before="4"/>
        <w:ind w:left="574" w:right="102" w:hanging="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日，母公司可供分配的利润为</w:t>
      </w:r>
      <w:r>
        <w:rPr>
          <w:rFonts w:ascii="Times New Roman" w:hAnsi="Times New Roman" w:cs="Times New Roman" w:eastAsia="Times New Roman" w:hint="default"/>
        </w:rPr>
        <w:t>281,757,022.93</w:t>
      </w:r>
      <w:r>
        <w:rPr/>
        <w:t>元，资本公积余额为</w:t>
      </w:r>
      <w:r>
        <w:rPr>
          <w:rFonts w:ascii="Times New Roman" w:hAnsi="Times New Roman" w:cs="Times New Roman" w:eastAsia="Times New Roman" w:hint="default"/>
        </w:rPr>
        <w:t>702,083,069.98</w:t>
      </w:r>
      <w:r>
        <w:rPr/>
        <w:t>元。 </w:t>
      </w:r>
      <w:r>
        <w:rPr>
          <w:spacing w:val="-1"/>
        </w:rPr>
        <w:t>考虑到公司业务持续发展，且经营现金流同步增长，在符合利润分配原则、保证公司正常经营和长远</w:t>
      </w:r>
    </w:p>
    <w:p>
      <w:pPr>
        <w:pStyle w:val="BodyText"/>
        <w:spacing w:line="391" w:lineRule="auto" w:before="38"/>
        <w:ind w:right="102"/>
        <w:jc w:val="left"/>
      </w:pPr>
      <w:r>
        <w:rPr/>
        <w:t>发展的前提下，为了更好的兼顾股东的即期利益和长远利益，使公司的价值能够更加公允、客观的体现，</w:t>
      </w:r>
      <w:r>
        <w:rPr>
          <w:spacing w:val="-34"/>
        </w:rPr>
        <w:t> </w:t>
      </w:r>
      <w:r>
        <w:rPr>
          <w:spacing w:val="-34"/>
        </w:rPr>
      </w:r>
      <w:r>
        <w:rPr/>
        <w:t>从长远角度回报投资者，使全体股东分享公司成长的经营成果，</w:t>
      </w:r>
      <w:r>
        <w:rPr>
          <w:rFonts w:ascii="Times New Roman" w:hAnsi="Times New Roman" w:cs="Times New Roman" w:eastAsia="Times New Roman" w:hint="default"/>
        </w:rPr>
        <w:t>2017</w:t>
      </w:r>
      <w:r>
        <w:rPr/>
        <w:t>年度公司利润分配预案如下：以截止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324,475,501</w:t>
      </w:r>
      <w:r>
        <w:rPr>
          <w:spacing w:val="-2"/>
        </w:rPr>
        <w:t>股为基数，向全体股东每</w:t>
      </w:r>
      <w:r>
        <w:rPr>
          <w:rFonts w:ascii="Times New Roman" w:hAnsi="Times New Roman" w:cs="Times New Roman" w:eastAsia="Times New Roman" w:hint="default"/>
          <w:spacing w:val="-2"/>
        </w:rPr>
        <w:t>10</w:t>
      </w:r>
      <w:r>
        <w:rPr>
          <w:spacing w:val="-2"/>
        </w:rPr>
        <w:t>股派发现金</w:t>
      </w:r>
      <w:r>
        <w:rPr>
          <w:rFonts w:ascii="Times New Roman" w:hAnsi="Times New Roman" w:cs="Times New Roman" w:eastAsia="Times New Roman" w:hint="default"/>
          <w:spacing w:val="-2"/>
        </w:rPr>
        <w:t>0.6</w:t>
      </w:r>
      <w:r>
        <w:rPr>
          <w:spacing w:val="-2"/>
        </w:rPr>
        <w:t>元人民币（含税），合计</w:t>
      </w:r>
      <w:r>
        <w:rPr>
          <w:spacing w:val="-82"/>
        </w:rPr>
        <w:t> </w:t>
      </w:r>
      <w:r>
        <w:rPr>
          <w:spacing w:val="-82"/>
        </w:rPr>
      </w:r>
      <w:r>
        <w:rPr>
          <w:spacing w:val="-2"/>
        </w:rPr>
        <w:t>派发现金股利为人民币</w:t>
      </w:r>
      <w:r>
        <w:rPr>
          <w:rFonts w:ascii="Times New Roman" w:hAnsi="Times New Roman" w:cs="Times New Roman" w:eastAsia="Times New Roman" w:hint="default"/>
          <w:spacing w:val="-2"/>
        </w:rPr>
        <w:t>19,468,530.06</w:t>
      </w:r>
      <w:r>
        <w:rPr>
          <w:spacing w:val="-2"/>
        </w:rPr>
        <w:t>元（含税）。同时，以资本公积金向全体股东每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股，共计转</w:t>
      </w:r>
      <w:r>
        <w:rPr>
          <w:spacing w:val="-80"/>
        </w:rPr>
        <w:t> </w:t>
      </w:r>
      <w:r>
        <w:rPr>
          <w:spacing w:val="-80"/>
        </w:rPr>
      </w:r>
      <w:r>
        <w:rPr/>
        <w:t>增</w:t>
      </w:r>
      <w:r>
        <w:rPr>
          <w:rFonts w:ascii="Times New Roman" w:hAnsi="Times New Roman" w:cs="Times New Roman" w:eastAsia="Times New Roman" w:hint="default"/>
        </w:rPr>
        <w:t>162,237,751</w:t>
      </w:r>
      <w:r>
        <w:rPr/>
        <w:t>股，转增后公司总股本增加至</w:t>
      </w:r>
      <w:r>
        <w:rPr>
          <w:rFonts w:ascii="Times New Roman" w:hAnsi="Times New Roman" w:cs="Times New Roman" w:eastAsia="Times New Roman" w:hint="default"/>
        </w:rPr>
        <w:t>486,713,252</w:t>
      </w:r>
      <w:r>
        <w:rPr/>
        <w:t>股。</w:t>
      </w:r>
    </w:p>
    <w:p>
      <w:pPr>
        <w:pStyle w:val="BodyText"/>
        <w:spacing w:line="410" w:lineRule="auto" w:before="69"/>
        <w:ind w:right="102" w:firstLine="420"/>
        <w:jc w:val="left"/>
      </w:pPr>
      <w:r>
        <w:rPr>
          <w:spacing w:val="-1"/>
        </w:rPr>
        <w:t>公司第四届董事会第十次会议及第四届监事会第九次会议审议通过上述预案，独立董事均发表了明确</w:t>
      </w:r>
      <w:r>
        <w:rPr/>
        <w:t> 的同意意见。</w:t>
      </w:r>
    </w:p>
    <w:p>
      <w:pPr>
        <w:pStyle w:val="BodyText"/>
        <w:spacing w:line="240" w:lineRule="auto" w:before="83"/>
        <w:ind w:left="574" w:right="102"/>
        <w:jc w:val="left"/>
      </w:pPr>
      <w:r>
        <w:rPr>
          <w:spacing w:val="6"/>
        </w:rPr>
        <w:t>由于公司于</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2</w:t>
      </w:r>
      <w:r>
        <w:rPr>
          <w:spacing w:val="6"/>
        </w:rPr>
        <w:t>月</w:t>
      </w:r>
      <w:r>
        <w:rPr>
          <w:rFonts w:ascii="Times New Roman" w:hAnsi="Times New Roman" w:cs="Times New Roman" w:eastAsia="Times New Roman" w:hint="default"/>
          <w:spacing w:val="6"/>
        </w:rPr>
        <w:t>13</w:t>
      </w:r>
      <w:r>
        <w:rPr>
          <w:spacing w:val="6"/>
        </w:rPr>
        <w:t>日召开的第四届董事会第九次会议及第四届监事会第八次会议审议通过了</w:t>
      </w:r>
      <w:r>
        <w:rPr/>
      </w:r>
    </w:p>
    <w:p>
      <w:pPr>
        <w:pStyle w:val="BodyText"/>
        <w:spacing w:line="240" w:lineRule="auto" w:before="177"/>
        <w:ind w:right="102"/>
        <w:jc w:val="left"/>
      </w:pPr>
      <w:r>
        <w:rPr/>
        <w:t>《关于回购注销不符合激励条件的激励对象所持已获授但尚未解锁的限制性股票的议案》、《关于终止实</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91" w:lineRule="auto" w:before="35"/>
        <w:ind w:left="153" w:right="145"/>
        <w:jc w:val="both"/>
      </w:pPr>
      <w:r>
        <w:rPr>
          <w:spacing w:val="-1"/>
        </w:rPr>
        <w:t>施</w:t>
      </w:r>
      <w:r>
        <w:rPr>
          <w:rFonts w:ascii="Times New Roman" w:hAnsi="Times New Roman" w:cs="Times New Roman" w:eastAsia="Times New Roman" w:hint="default"/>
          <w:spacing w:val="-1"/>
        </w:rPr>
        <w:t>2016</w:t>
      </w:r>
      <w:r>
        <w:rPr>
          <w:spacing w:val="-1"/>
        </w:rPr>
        <w:t>年限制性股票激励计划暨回购注销已获授但尚未解锁的限制性股票的议案》、《关于修改新开普电</w:t>
      </w:r>
      <w:r>
        <w:rPr>
          <w:spacing w:val="-83"/>
        </w:rPr>
        <w:t> </w:t>
      </w:r>
      <w:r>
        <w:rPr>
          <w:spacing w:val="-83"/>
        </w:rPr>
      </w:r>
      <w:r>
        <w:rPr>
          <w:spacing w:val="-1"/>
        </w:rPr>
        <w:t>子股份有限公司注册资本的议案》等议案。上述相关议案已经过</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w:t>
      </w:r>
      <w:r>
        <w:rPr>
          <w:spacing w:val="-1"/>
        </w:rPr>
        <w:t>日召开的</w:t>
      </w:r>
      <w:r>
        <w:rPr>
          <w:rFonts w:ascii="Times New Roman" w:hAnsi="Times New Roman" w:cs="Times New Roman" w:eastAsia="Times New Roman" w:hint="default"/>
          <w:spacing w:val="-1"/>
        </w:rPr>
        <w:t>2018</w:t>
      </w:r>
      <w:r>
        <w:rPr>
          <w:spacing w:val="-1"/>
        </w:rPr>
        <w:t>年第一次临时股</w:t>
      </w:r>
      <w:r>
        <w:rPr>
          <w:spacing w:val="-84"/>
        </w:rPr>
        <w:t> </w:t>
      </w:r>
      <w:r>
        <w:rPr>
          <w:spacing w:val="-84"/>
        </w:rPr>
      </w:r>
      <w:r>
        <w:rPr>
          <w:spacing w:val="-1"/>
        </w:rPr>
        <w:t>东大会审议通过。公司目前已启动回购注销限制性股票等相关工作。如果在权益分派实施前完成了回购注</w:t>
      </w:r>
      <w:r>
        <w:rPr>
          <w:spacing w:val="-81"/>
        </w:rPr>
        <w:t> </w:t>
      </w:r>
      <w:r>
        <w:rPr>
          <w:spacing w:val="-81"/>
        </w:rPr>
      </w:r>
      <w:r>
        <w:rPr/>
        <w:t>销工作，将导致公司股本发生变化，公司将根据有关规定，按照</w:t>
      </w:r>
      <w:r>
        <w:rPr>
          <w:rFonts w:ascii="Times New Roman" w:hAnsi="Times New Roman" w:cs="Times New Roman" w:eastAsia="Times New Roman" w:hint="default"/>
        </w:rPr>
        <w:t>“</w:t>
      </w:r>
      <w:r>
        <w:rPr/>
        <w:t>现金分红总额、送红股总额、转增股本</w:t>
      </w:r>
      <w:r>
        <w:rPr>
          <w:spacing w:val="-23"/>
        </w:rPr>
        <w:t> </w:t>
      </w:r>
      <w:r>
        <w:rPr>
          <w:spacing w:val="-23"/>
        </w:rPr>
      </w:r>
      <w:r>
        <w:rPr/>
        <w:t>总额固定不变</w:t>
      </w:r>
      <w:r>
        <w:rPr>
          <w:rFonts w:ascii="Times New Roman" w:hAnsi="Times New Roman" w:cs="Times New Roman" w:eastAsia="Times New Roman" w:hint="default"/>
        </w:rPr>
        <w:t>”</w:t>
      </w:r>
      <w:r>
        <w:rPr/>
        <w:t>的原则对分配比例进行调整。</w:t>
      </w:r>
    </w:p>
    <w:p>
      <w:pPr>
        <w:spacing w:line="240" w:lineRule="auto" w:before="12"/>
        <w:rPr>
          <w:rFonts w:ascii="宋体" w:hAnsi="宋体" w:cs="宋体" w:eastAsia="宋体" w:hint="default"/>
          <w:sz w:val="24"/>
          <w:szCs w:val="24"/>
        </w:rPr>
      </w:pPr>
    </w:p>
    <w:p>
      <w:pPr>
        <w:spacing w:before="44"/>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58"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71"/>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71"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3" w:right="71"/>
              <w:jc w:val="left"/>
              <w:rPr>
                <w:rFonts w:ascii="宋体" w:hAnsi="宋体" w:cs="宋体" w:eastAsia="宋体" w:hint="default"/>
                <w:sz w:val="18"/>
                <w:szCs w:val="18"/>
              </w:rPr>
            </w:pPr>
            <w:r>
              <w:rPr>
                <w:rFonts w:ascii="宋体" w:hAnsi="宋体" w:cs="宋体" w:eastAsia="宋体" w:hint="default"/>
                <w:sz w:val="18"/>
                <w:szCs w:val="18"/>
              </w:rPr>
              <w:t>中归属于上市公司 普通股股东的净利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1" w:right="71"/>
              <w:jc w:val="left"/>
              <w:rPr>
                <w:rFonts w:ascii="宋体" w:hAnsi="宋体" w:cs="宋体" w:eastAsia="宋体" w:hint="default"/>
                <w:sz w:val="18"/>
                <w:szCs w:val="18"/>
              </w:rPr>
            </w:pPr>
            <w:r>
              <w:rPr>
                <w:rFonts w:ascii="宋体" w:hAnsi="宋体" w:cs="宋体" w:eastAsia="宋体" w:hint="default"/>
                <w:sz w:val="18"/>
                <w:szCs w:val="18"/>
              </w:rPr>
              <w:t>于上市公司普通股 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19,468,530.06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119,671,217.16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16.27%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17,854,336.56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84,850,220.15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21.04%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15,104,745.05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60,401,993.08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25.01%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6"/>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pStyle w:val="Heading2"/>
        <w:spacing w:line="240" w:lineRule="auto" w:before="30"/>
        <w:ind w:left="539" w:right="0"/>
        <w:jc w:val="left"/>
        <w:rPr>
          <w:b w:val="0"/>
          <w:bCs w:val="0"/>
        </w:rPr>
      </w:pPr>
      <w:r>
        <w:rPr/>
        <w:pict>
          <v:shape style="position:absolute;margin-left:216.291397pt;margin-top:434.940002pt;width:96.5pt;height:97.6pt;mso-position-horizontal-relative:page;mso-position-vertical-relative:page;z-index:-12234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熊小洪、</w:t>
                  </w:r>
                </w:p>
              </w:txbxContent>
            </v:textbox>
            <w10:wrap type="none"/>
          </v:shape>
        </w:pict>
      </w:r>
      <w:r>
        <w:rPr/>
        <w:pict>
          <v:group style="position:absolute;margin-left:70.490997pt;margin-top:2.25562pt;width:700.95pt;height:.1pt;mso-position-horizontal-relative:page;mso-position-vertical-relative:paragraph;z-index:-1223416" coordorigin="1410,45" coordsize="14019,2">
            <v:shape style="position:absolute;left:1410;top:45;width:14019;height:2" coordorigin="1410,45" coordsize="14019,0" path="m1410,45l15428,45e" filled="false" stroked="true" strokeweight=".72pt" strokecolor="#000000">
              <v:path arrowok="t"/>
            </v:shape>
            <w10:wrap type="none"/>
          </v:group>
        </w:pict>
      </w:r>
      <w:r>
        <w:rPr/>
        <w:pict>
          <v:group style="position:absolute;margin-left:249.410995pt;margin-top:434.940002pt;width:63.4pt;height:97.6pt;mso-position-horizontal-relative:page;mso-position-vertical-relative:page;z-index:-1223344" coordorigin="4988,8699" coordsize="1268,1952">
            <v:group style="position:absolute;left:4988;top:8699;width:1268;height:1952" coordorigin="4988,8699" coordsize="1268,1952">
              <v:shape style="position:absolute;left:4988;top:8699;width:1268;height:1952" coordorigin="4988,8699" coordsize="1268,1952" path="m4988,8699l4988,10650,6255,10650,6255,8699,4988,8699xe" filled="true" fillcolor="#ffffff" stroked="false">
                <v:path arrowok="t"/>
                <v:fill type="solid"/>
              </v:shape>
            </v:group>
            <v:group style="position:absolute;left:5012;top:9323;width:1220;height:352" coordorigin="5012,9323" coordsize="1220,352">
              <v:shape style="position:absolute;left:5012;top:9323;width:1220;height:352" coordorigin="5012,9323" coordsize="1220,352" path="m5012,9323l5012,9674,6231,9674,6231,9323,5012,9323xe" filled="true" fillcolor="#ffffff" stroked="false">
                <v:path arrowok="t"/>
                <v:fill type="solid"/>
              </v:shape>
            </v:group>
            <v:group style="position:absolute;left:5012;top:9674;width:1220;height:352" coordorigin="5012,9674" coordsize="1220,352">
              <v:shape style="position:absolute;left:5012;top:9674;width:1220;height:352" coordorigin="5012,9674" coordsize="1220,352" path="m5012,9674l5012,10026,6231,10026,6231,9674,5012,9674xe" filled="true" fillcolor="#ffffff" stroked="false">
                <v:path arrowok="t"/>
                <v:fill type="solid"/>
              </v:shape>
            </v:group>
            <w10:wrap type="none"/>
          </v:group>
        </w:pict>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539"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539" w:right="0" w:firstLine="0"/>
        <w:jc w:val="left"/>
        <w:rPr>
          <w:rFonts w:ascii="宋体" w:hAnsi="宋体" w:cs="宋体" w:eastAsia="宋体" w:hint="default"/>
          <w:sz w:val="18"/>
          <w:szCs w:val="18"/>
        </w:rPr>
      </w:pPr>
      <w:r>
        <w:rPr/>
        <w:pict>
          <v:shape style="position:absolute;margin-left:216.291397pt;margin-top:73.331726pt;width:96.5pt;height:128.8pt;mso-position-horizontal-relative:page;mso-position-vertical-relative:paragraph;z-index:-12234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0"/>
                    <w:ind w:left="0" w:right="0" w:firstLine="0"/>
                    <w:jc w:val="left"/>
                    <w:rPr>
                      <w:rFonts w:ascii="宋体" w:hAnsi="宋体" w:cs="宋体" w:eastAsia="宋体" w:hint="default"/>
                      <w:sz w:val="18"/>
                      <w:szCs w:val="18"/>
                    </w:rPr>
                  </w:pPr>
                  <w:r>
                    <w:rPr>
                      <w:rFonts w:ascii="宋体" w:hAnsi="宋体" w:cs="宋体" w:eastAsia="宋体" w:hint="default"/>
                      <w:sz w:val="18"/>
                      <w:szCs w:val="18"/>
                    </w:rPr>
                    <w:t>熊小洪、</w:t>
                  </w:r>
                </w:p>
              </w:txbxContent>
            </v:textbox>
            <w10:wrap type="none"/>
          </v:shape>
        </w:pict>
      </w:r>
      <w:r>
        <w:rPr/>
        <w:pict>
          <v:shape style="position:absolute;margin-left:521.031433pt;margin-top:73.331726pt;width:89.35pt;height:128.8pt;mso-position-horizontal-relative:page;mso-position-vertical-relative:paragraph;z-index:-1223464"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白海清、</w:t>
                  </w:r>
                </w:p>
              </w:txbxContent>
            </v:textbox>
            <w10:wrap type="none"/>
          </v:shape>
        </w:pict>
      </w:r>
      <w:r>
        <w:rPr/>
        <w:pict>
          <v:group style="position:absolute;margin-left:249.410995pt;margin-top:73.331726pt;width:63.4pt;height:128.8pt;mso-position-horizontal-relative:page;mso-position-vertical-relative:paragraph;z-index:-1223392" coordorigin="4988,1467" coordsize="1268,2576">
            <v:group style="position:absolute;left:4988;top:1467;width:1268;height:2576" coordorigin="4988,1467" coordsize="1268,2576">
              <v:shape style="position:absolute;left:4988;top:1467;width:1268;height:2576" coordorigin="4988,1467" coordsize="1268,2576" path="m4988,1467l4988,4042,6255,4042,6255,1467,4988,1467xe" filled="true" fillcolor="#ffffff" stroked="false">
                <v:path arrowok="t"/>
                <v:fill type="solid"/>
              </v:shape>
            </v:group>
            <v:group style="position:absolute;left:5012;top:2559;width:1220;height:392" coordorigin="5012,2559" coordsize="1220,392">
              <v:shape style="position:absolute;left:5012;top:2559;width:1220;height:392" coordorigin="5012,2559" coordsize="1220,392" path="m5012,2559l5012,2950,6231,2950,6231,2559,5012,2559xe" filled="true" fillcolor="#ffffff" stroked="false">
                <v:path arrowok="t"/>
                <v:fill type="solid"/>
              </v:shape>
            </v:group>
            <w10:wrap type="none"/>
          </v:group>
        </w:pict>
      </w:r>
      <w:r>
        <w:rPr/>
        <w:pict>
          <v:group style="position:absolute;margin-left:554.210999pt;margin-top:73.331726pt;width:56.2pt;height:128.8pt;mso-position-horizontal-relative:page;mso-position-vertical-relative:paragraph;z-index:-1223368" coordorigin="11084,1467" coordsize="1124,2576">
            <v:group style="position:absolute;left:11084;top:1467;width:1124;height:2576" coordorigin="11084,1467" coordsize="1124,2576">
              <v:shape style="position:absolute;left:11084;top:1467;width:1124;height:2576" coordorigin="11084,1467" coordsize="1124,2576" path="m11084,1467l11084,4042,12207,4042,12207,1467,11084,1467xe" filled="true" fillcolor="#ffffff" stroked="false">
                <v:path arrowok="t"/>
                <v:fill type="solid"/>
              </v:shape>
            </v:group>
            <v:group style="position:absolute;left:11107;top:2403;width:1078;height:352" coordorigin="11107,2403" coordsize="1078,352">
              <v:shape style="position:absolute;left:11107;top:2403;width:1078;height:352" coordorigin="11107,2403" coordsize="1078,352" path="m11107,2403l11107,2754,12185,2754,12185,2403,11107,2403xe" filled="true" fillcolor="#ffffff" stroked="false">
                <v:path arrowok="t"/>
                <v:fill type="solid"/>
              </v:shape>
            </v:group>
            <v:group style="position:absolute;left:11107;top:2754;width:1078;height:352" coordorigin="11107,2754" coordsize="1078,352">
              <v:shape style="position:absolute;left:11107;top:2754;width:1078;height:352" coordorigin="11107,2754" coordsize="1078,352" path="m11107,2754l11107,3106,12185,3106,12185,2754,11107,2754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212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8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0"/>
              <w:jc w:val="left"/>
              <w:rPr>
                <w:rFonts w:ascii="宋体" w:hAnsi="宋体" w:cs="宋体" w:eastAsia="宋体" w:hint="default"/>
                <w:sz w:val="18"/>
                <w:szCs w:val="18"/>
              </w:rPr>
            </w:pPr>
            <w:r>
              <w:rPr>
                <w:rFonts w:ascii="宋体" w:hAnsi="宋体" w:cs="宋体" w:eastAsia="宋体" w:hint="default"/>
                <w:sz w:val="18"/>
                <w:szCs w:val="18"/>
              </w:rPr>
              <w:t>公司发行股份及支付现金 购买资产的交易对方刘永 </w:t>
            </w:r>
            <w:r>
              <w:rPr>
                <w:rFonts w:ascii="宋体" w:hAnsi="宋体" w:cs="宋体" w:eastAsia="宋体" w:hint="default"/>
                <w:spacing w:val="-14"/>
                <w:sz w:val="18"/>
                <w:szCs w:val="18"/>
              </w:rPr>
              <w:t>春、丛伟滋、李洪、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白海清、黄暂度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根据本公司与发行股份及支付现金购买资产的交易对方（以 </w:t>
            </w:r>
            <w:r>
              <w:rPr>
                <w:rFonts w:ascii="宋体" w:hAnsi="宋体" w:cs="宋体" w:eastAsia="宋体" w:hint="default"/>
                <w:spacing w:val="-6"/>
                <w:sz w:val="18"/>
                <w:szCs w:val="18"/>
              </w:rPr>
              <w:t>下简称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交易对方</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）刘永春、丛伟滋、李洪、熊小洪、</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黄暂度签订的《购买资产协议》，交易对方通过本次交易获得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的新开普新增股份自本次发行结束之日起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个月内，不得进</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行转让或上市交易；自本次发行完成届满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个月之日起，在</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迪科远望</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年年度审计报告和关于业绩承诺实现情况的专 项审核报告、减值测试报告出具后且交易对方已履行完毕全 部补偿义务（如有）后方可进行转让或上市交易。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r>
        <w:trPr>
          <w:trHeight w:val="2274"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公司配套融资的认购对象 郑州佳辰企业管理咨询中 </w:t>
            </w:r>
            <w:r>
              <w:rPr>
                <w:rFonts w:ascii="宋体" w:hAnsi="宋体" w:cs="宋体" w:eastAsia="宋体" w:hint="default"/>
                <w:spacing w:val="-8"/>
                <w:sz w:val="18"/>
                <w:szCs w:val="18"/>
              </w:rPr>
              <w:t>心（有限合伙）、罗会军、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柳楠、吴凤辉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根据本公司与配套融资的认购对象（以下简称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认购对象</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）郑</w:t>
            </w:r>
            <w:r>
              <w:rPr>
                <w:rFonts w:ascii="宋体" w:hAnsi="宋体" w:cs="宋体" w:eastAsia="宋体" w:hint="default"/>
                <w:spacing w:val="-78"/>
                <w:sz w:val="18"/>
                <w:szCs w:val="18"/>
              </w:rPr>
              <w:t> </w:t>
            </w:r>
            <w:r>
              <w:rPr>
                <w:rFonts w:ascii="宋体" w:hAnsi="宋体" w:cs="宋体" w:eastAsia="宋体" w:hint="default"/>
                <w:spacing w:val="-4"/>
                <w:sz w:val="18"/>
                <w:szCs w:val="18"/>
              </w:rPr>
              <w:t>州佳辰、罗会军、柳楠、吴凤辉签订的《股份认购协议》，向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名认购对象发行的股份自股份发行结束之日起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得以任何方式进行转让或上市交易；若该限售期与当时有效 的法律、法规、规章、相关证券监管部门及证券交易所的有 关规定不相符，可根据当时有效的法律、法规、规章、相关 证券监管部门及证券交易所的有关规定进行相应调整。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r>
        <w:trPr>
          <w:trHeight w:val="1963"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110"/>
              <w:jc w:val="left"/>
              <w:rPr>
                <w:rFonts w:ascii="宋体" w:hAnsi="宋体" w:cs="宋体" w:eastAsia="宋体" w:hint="default"/>
                <w:sz w:val="18"/>
                <w:szCs w:val="18"/>
              </w:rPr>
            </w:pPr>
            <w:r>
              <w:rPr>
                <w:rFonts w:ascii="宋体" w:hAnsi="宋体" w:cs="宋体" w:eastAsia="宋体" w:hint="default"/>
                <w:sz w:val="18"/>
                <w:szCs w:val="18"/>
              </w:rPr>
              <w:t>公司发行股份及支付现金 购买资产的交易对方刘永 </w:t>
            </w:r>
            <w:r>
              <w:rPr>
                <w:rFonts w:ascii="宋体" w:hAnsi="宋体" w:cs="宋体" w:eastAsia="宋体" w:hint="default"/>
                <w:spacing w:val="-14"/>
                <w:sz w:val="18"/>
                <w:szCs w:val="18"/>
              </w:rPr>
              <w:t>春、丛伟滋、李洪、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白海清、黄暂度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迪科远望</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年度实现的净利润（以当年经审计的扣除非经</w:t>
            </w:r>
          </w:p>
          <w:p>
            <w:pPr>
              <w:pStyle w:val="TableParagraph"/>
              <w:spacing w:line="304" w:lineRule="auto" w:before="61"/>
              <w:ind w:left="22" w:right="20"/>
              <w:jc w:val="left"/>
              <w:rPr>
                <w:rFonts w:ascii="宋体" w:hAnsi="宋体" w:cs="宋体" w:eastAsia="宋体" w:hint="default"/>
                <w:sz w:val="18"/>
                <w:szCs w:val="18"/>
              </w:rPr>
            </w:pPr>
            <w:r>
              <w:rPr>
                <w:rFonts w:ascii="宋体" w:hAnsi="宋体" w:cs="宋体" w:eastAsia="宋体" w:hint="default"/>
                <w:spacing w:val="-3"/>
                <w:sz w:val="18"/>
                <w:szCs w:val="18"/>
              </w:rPr>
              <w:t>常性损益后归属于母公司股东的净利润为准）不低于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r>
              <w:rPr>
                <w:rFonts w:ascii="宋体" w:hAnsi="宋体" w:cs="宋体" w:eastAsia="宋体" w:hint="default"/>
                <w:spacing w:val="-8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年度累计实现的净利润（以当年经审计 的扣除非经常性损益后归属于母公司股东的净利润为准）不 低于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4,700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万元。如果实际利润低于上述承诺利润，交易对方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将按照签署的《业绩补偿协议》的相关规定进行补偿。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22" w:right="20"/>
              <w:jc w:val="left"/>
              <w:rPr>
                <w:rFonts w:ascii="宋体" w:hAnsi="宋体" w:cs="宋体" w:eastAsia="宋体" w:hint="default"/>
                <w:sz w:val="18"/>
                <w:szCs w:val="18"/>
              </w:rPr>
            </w:pPr>
            <w:r>
              <w:rPr>
                <w:rFonts w:ascii="宋体" w:hAnsi="宋体" w:cs="宋体" w:eastAsia="宋体" w:hint="default"/>
                <w:spacing w:val="-8"/>
                <w:sz w:val="18"/>
                <w:szCs w:val="18"/>
              </w:rPr>
              <w:t>根据立信会计师事务所（特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殊普通合伙）</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年出具的审计报告，</w:t>
            </w:r>
          </w:p>
          <w:p>
            <w:pPr>
              <w:pStyle w:val="TableParagraph"/>
              <w:spacing w:line="309"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迪科远望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年度实现扣 非后净利润为 </w:t>
            </w:r>
            <w:r>
              <w:rPr>
                <w:rFonts w:ascii="Times New Roman" w:hAnsi="Times New Roman" w:cs="Times New Roman" w:eastAsia="Times New Roman" w:hint="default"/>
                <w:sz w:val="18"/>
                <w:szCs w:val="18"/>
              </w:rPr>
              <w:t>24,054,438.79  </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r>
    </w:tbl>
    <w:p>
      <w:pPr>
        <w:spacing w:after="0" w:line="309" w:lineRule="auto"/>
        <w:jc w:val="left"/>
        <w:rPr>
          <w:rFonts w:ascii="宋体" w:hAnsi="宋体" w:cs="宋体" w:eastAsia="宋体" w:hint="default"/>
          <w:sz w:val="18"/>
          <w:szCs w:val="18"/>
        </w:rPr>
        <w:sectPr>
          <w:headerReference w:type="default" r:id="rId21"/>
          <w:footerReference w:type="default" r:id="rId22"/>
          <w:pgSz w:w="16840" w:h="11910" w:orient="landscape"/>
          <w:pgMar w:header="867" w:footer="978" w:top="1060" w:bottom="1160" w:left="900" w:right="820"/>
          <w:pgNumType w:start="58"/>
        </w:sectPr>
      </w:pPr>
    </w:p>
    <w:p>
      <w:pPr>
        <w:spacing w:line="240" w:lineRule="auto" w:before="0"/>
        <w:rPr>
          <w:rFonts w:ascii="宋体" w:hAnsi="宋体" w:cs="宋体" w:eastAsia="宋体" w:hint="default"/>
          <w:sz w:val="20"/>
          <w:szCs w:val="20"/>
        </w:rPr>
      </w:pPr>
      <w:r>
        <w:rPr/>
        <w:pict>
          <v:shape style="position:absolute;margin-left:216.291397pt;margin-top:329.399994pt;width:96.5pt;height:204.8pt;mso-position-horizontal-relative:page;mso-position-vertical-relative:page;z-index:-12232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熊小洪、</w:t>
                  </w:r>
                </w:p>
              </w:txbxContent>
            </v:textbox>
            <w10:wrap type="none"/>
          </v:shape>
        </w:pict>
      </w:r>
      <w:r>
        <w:rPr/>
        <w:pict>
          <v:shape style="position:absolute;margin-left:530.031433pt;margin-top:329.399994pt;width:80.350pt;height:204.8pt;mso-position-horizontal-relative:page;mso-position-vertical-relative:page;z-index:-12232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税收、</w:t>
                  </w:r>
                </w:p>
              </w:txbxContent>
            </v:textbox>
            <w10:wrap type="none"/>
          </v:shape>
        </w:pict>
      </w:r>
      <w:r>
        <w:rPr/>
        <w:pict>
          <v:shape style="position:absolute;margin-left:50.451pt;margin-top:55.259998pt;width:745pt;height:479.5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1"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212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度实现扣非后净利润为</w:t>
                        </w: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23,667,28</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共累计实</w:t>
                        </w: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现的净利润为</w:t>
                        </w: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47,721,722.06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元，高于</w:t>
                        </w: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万元。承诺人已实现</w:t>
                        </w:r>
                      </w:p>
                    </w:tc>
                  </w:tr>
                  <w:tr>
                    <w:trPr>
                      <w:trHeight w:val="35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承诺利润，承诺履行完毕</w:t>
                        </w: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本次交易的交易对方就其持有标的公司股权无代持、</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无转让限制等情况的承诺如下：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、本人合法持有迪科远望的</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股份，并及时、足额缴纳出资，本人获得迪科远望股份的资</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1565"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3" w:right="110"/>
                          <w:jc w:val="left"/>
                          <w:rPr>
                            <w:rFonts w:ascii="宋体" w:hAnsi="宋体" w:cs="宋体" w:eastAsia="宋体" w:hint="default"/>
                            <w:sz w:val="18"/>
                            <w:szCs w:val="18"/>
                          </w:rPr>
                        </w:pPr>
                        <w:r>
                          <w:rPr>
                            <w:rFonts w:ascii="宋体" w:hAnsi="宋体" w:cs="宋体" w:eastAsia="宋体" w:hint="default"/>
                            <w:sz w:val="18"/>
                            <w:szCs w:val="18"/>
                          </w:rPr>
                          <w:t>公司发行股份及支付现金 购买资产的交易对方刘永 </w:t>
                        </w:r>
                        <w:r>
                          <w:rPr>
                            <w:rFonts w:ascii="宋体" w:hAnsi="宋体" w:cs="宋体" w:eastAsia="宋体" w:hint="default"/>
                            <w:spacing w:val="-14"/>
                            <w:sz w:val="18"/>
                            <w:szCs w:val="18"/>
                          </w:rPr>
                          <w:t>春、丛伟滋、李洪、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白海清、黄暂度</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金来源真实合法、不存在违反法律法规的情形、不存在被有 </w:t>
                        </w:r>
                        <w:r>
                          <w:rPr>
                            <w:rFonts w:ascii="宋体" w:hAnsi="宋体" w:cs="宋体" w:eastAsia="宋体" w:hint="default"/>
                            <w:spacing w:val="-1"/>
                            <w:sz w:val="18"/>
                            <w:szCs w:val="18"/>
                          </w:rPr>
                          <w:t>关部门收缴、追索等法律风险；</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、本人持有的迪科远望股份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不存在被质押、扣押、冻结、司法查封或拍卖、托管、设定 信托、被依法限制表决权，或其他使该等股份权利行使和</w:t>
                        </w:r>
                        <w:r>
                          <w:rPr>
                            <w:rFonts w:ascii="Times New Roman" w:hAnsi="Times New Roman" w:cs="Times New Roman" w:eastAsia="Times New Roman" w:hint="default"/>
                            <w:sz w:val="18"/>
                            <w:szCs w:val="18"/>
                          </w:rPr>
                          <w:t>/</w:t>
                        </w:r>
                        <w:r>
                          <w:rPr>
                            <w:rFonts w:ascii="宋体" w:hAnsi="宋体" w:cs="宋体" w:eastAsia="宋体" w:hint="default"/>
                            <w:sz w:val="18"/>
                            <w:szCs w:val="18"/>
                          </w:rPr>
                          <w:t>或 转让受到限制或禁止的情形；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、本人持有的迪科远望股份不</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存在委托持股情形，不存在利益输送或其他权益安排，本人</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基于该等股份依法行使股东权利没有任何法律障碍，该等股</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份不存在纠纷或潜在纠纷。</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本次交易的交易对方承诺：</w:t>
                        </w:r>
                        <w:r>
                          <w:rPr>
                            <w:rFonts w:ascii="Times New Roman" w:hAnsi="Times New Roman" w:cs="Times New Roman" w:eastAsia="Times New Roman" w:hint="default"/>
                            <w:sz w:val="18"/>
                            <w:szCs w:val="18"/>
                          </w:rPr>
                          <w:t>1</w:t>
                        </w:r>
                        <w:r>
                          <w:rPr>
                            <w:rFonts w:ascii="宋体" w:hAnsi="宋体" w:cs="宋体" w:eastAsia="宋体" w:hint="default"/>
                            <w:sz w:val="18"/>
                            <w:szCs w:val="18"/>
                          </w:rPr>
                          <w:t>、迪科远望及其下属公司的生产</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经营活动符合相关法律法规的要求，截至本承诺函出具日的</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经营期间，除已向新开普书面披露的情况外，不存在任何违</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反所适用的法律、法规的行为，不存在任何违反工商、</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3" w:right="110"/>
                          <w:jc w:val="left"/>
                          <w:rPr>
                            <w:rFonts w:ascii="宋体" w:hAnsi="宋体" w:cs="宋体" w:eastAsia="宋体" w:hint="default"/>
                            <w:sz w:val="18"/>
                            <w:szCs w:val="18"/>
                          </w:rPr>
                        </w:pPr>
                        <w:r>
                          <w:rPr>
                            <w:rFonts w:ascii="宋体" w:hAnsi="宋体" w:cs="宋体" w:eastAsia="宋体" w:hint="default"/>
                            <w:sz w:val="18"/>
                            <w:szCs w:val="18"/>
                          </w:rPr>
                          <w:t>公司发行股份及支付现金 购买资产的交易对方刘永 </w:t>
                        </w:r>
                        <w:r>
                          <w:rPr>
                            <w:rFonts w:ascii="宋体" w:hAnsi="宋体" w:cs="宋体" w:eastAsia="宋体" w:hint="default"/>
                            <w:spacing w:val="-14"/>
                            <w:sz w:val="18"/>
                            <w:szCs w:val="18"/>
                          </w:rPr>
                          <w:t>春、丛伟滋、李洪、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白海清、黄暂度</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土地、环保、海关以及其他法律、行政法规，受到行政处罚 且情节严重的情形；迪科远望及其下属公司不存在正在进行 或可预见的重大诉讼、仲裁或行政处罚案件、刑事调查及刑 事诉讼案件或处于任何与此相关的其他法律程序，不存在因 环境保护、知识产权、产品质量、劳动安全、人身权等原因</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9" w:lineRule="auto"/>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产生的侵权之债。</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、截至本承诺函出具日，迪科远望及其下</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属公司资产权属清晰，迪科远望及其下属公司合法所有和</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使用的财产（包括固定资产、无形资产等）不存在产权纠纷</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或潜在纠纷，亦不存在被设定抵押、其他担保或第三方权益</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44"/>
        <w:ind w:left="0" w:right="118" w:firstLine="0"/>
        <w:jc w:val="right"/>
        <w:rPr>
          <w:rFonts w:ascii="宋体" w:hAnsi="宋体" w:cs="宋体" w:eastAsia="宋体" w:hint="default"/>
          <w:sz w:val="18"/>
          <w:szCs w:val="18"/>
        </w:rPr>
      </w:pPr>
      <w:r>
        <w:rPr/>
        <w:pict>
          <v:shape style="position:absolute;margin-left:216.291397pt;margin-top:19.73172pt;width:96.5pt;height:175.65pt;mso-position-horizontal-relative:page;mso-position-vertical-relative:paragraph;z-index:-12232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熊小洪、</w:t>
                  </w:r>
                </w:p>
              </w:txbxContent>
            </v:textbox>
            <w10:wrap type="none"/>
          </v:shape>
        </w:pict>
      </w:r>
      <w:r>
        <w:rPr/>
        <w:pict>
          <v:shape style="position:absolute;margin-left:521.030518pt;margin-top:19.73172pt;width:89.35pt;height:175.65pt;mso-position-horizontal-relative:page;mso-position-vertical-relative:paragraph;z-index:-122324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无纠纷、</w:t>
                  </w:r>
                </w:p>
              </w:txbxContent>
            </v:textbox>
            <w10:wrap type="none"/>
          </v:shape>
        </w:pict>
      </w:r>
      <w:r>
        <w:rPr>
          <w:rFonts w:ascii="宋体" w:hAnsi="宋体" w:cs="宋体" w:eastAsia="宋体" w:hint="default"/>
          <w:sz w:val="18"/>
          <w:szCs w:val="18"/>
        </w:rPr>
        <w:t>。</w:t>
      </w:r>
    </w:p>
    <w:p>
      <w:pPr>
        <w:spacing w:line="240" w:lineRule="auto" w:before="10"/>
        <w:rPr>
          <w:rFonts w:ascii="宋体" w:hAnsi="宋体" w:cs="宋体" w:eastAsia="宋体" w:hint="default"/>
          <w:sz w:val="8"/>
          <w:szCs w:val="8"/>
        </w:rPr>
      </w:pPr>
    </w:p>
    <w:p>
      <w:pPr>
        <w:tabs>
          <w:tab w:pos="10184" w:val="left" w:leader="none"/>
        </w:tabs>
        <w:spacing w:line="7617" w:lineRule="exact"/>
        <w:ind w:left="4088" w:right="0" w:firstLine="0"/>
        <w:rPr>
          <w:rFonts w:ascii="宋体" w:hAnsi="宋体" w:cs="宋体" w:eastAsia="宋体" w:hint="default"/>
          <w:sz w:val="20"/>
          <w:szCs w:val="20"/>
        </w:rPr>
      </w:pPr>
      <w:r>
        <w:rPr>
          <w:rFonts w:ascii="宋体"/>
          <w:position w:val="-151"/>
          <w:sz w:val="20"/>
        </w:rPr>
        <w:pict>
          <v:group style="width:63.4pt;height:380.9pt;mso-position-horizontal-relative:char;mso-position-vertical-relative:line" coordorigin="0,0" coordsize="1268,7618">
            <v:group style="position:absolute;left:0;top:0;width:1268;height:3513" coordorigin="0,0" coordsize="1268,3513">
              <v:shape style="position:absolute;left:0;top:0;width:1268;height:3513" coordorigin="0,0" coordsize="1268,3513" path="m0,0l0,3512,1267,3512,1267,0,0,0xe" filled="true" fillcolor="#ffffff" stroked="false">
                <v:path arrowok="t"/>
                <v:fill type="solid"/>
              </v:shape>
            </v:group>
            <v:group style="position:absolute;left:24;top:1560;width:1220;height:393" coordorigin="24,1560" coordsize="1220,393">
              <v:shape style="position:absolute;left:24;top:1560;width:1220;height:393" coordorigin="24,1560" coordsize="1220,393" path="m24,1560l24,1952,1243,1952,1243,1560,24,1560xe" filled="true" fillcolor="#ffffff" stroked="false">
                <v:path arrowok="t"/>
                <v:fill type="solid"/>
              </v:shape>
            </v:group>
            <v:group style="position:absolute;left:0;top:3522;width:1268;height:4096" coordorigin="0,3522" coordsize="1268,4096">
              <v:shape style="position:absolute;left:0;top:3522;width:1268;height:4096" coordorigin="0,3522" coordsize="1268,4096" path="m0,3522l0,7618,1267,7618,1267,3522,0,3522xe" filled="true" fillcolor="#ffffff" stroked="false">
                <v:path arrowok="t"/>
                <v:fill type="solid"/>
              </v:shape>
            </v:group>
            <v:group style="position:absolute;left:24;top:5374;width:1220;height:393" coordorigin="24,5374" coordsize="1220,393">
              <v:shape style="position:absolute;left:24;top:5374;width:1220;height:393" coordorigin="24,5374" coordsize="1220,393" path="m24,5374l24,5766,1243,5766,1243,5374,24,5374xe" filled="true" fillcolor="#ffffff" stroked="false">
                <v:path arrowok="t"/>
                <v:fill type="solid"/>
              </v:shape>
            </v:group>
          </v:group>
        </w:pict>
      </w:r>
      <w:r>
        <w:rPr>
          <w:rFonts w:ascii="宋体"/>
          <w:position w:val="-151"/>
          <w:sz w:val="20"/>
        </w:rPr>
      </w:r>
      <w:r>
        <w:rPr>
          <w:rFonts w:ascii="宋体"/>
          <w:position w:val="-151"/>
          <w:sz w:val="20"/>
        </w:rPr>
        <w:tab/>
      </w:r>
      <w:r>
        <w:rPr>
          <w:rFonts w:ascii="宋体"/>
          <w:position w:val="-151"/>
          <w:sz w:val="20"/>
        </w:rPr>
        <w:pict>
          <v:group style="width:56.2pt;height:380.9pt;mso-position-horizontal-relative:char;mso-position-vertical-relative:line" coordorigin="0,0" coordsize="1124,7618">
            <v:group style="position:absolute;left:0;top:0;width:1124;height:3513" coordorigin="0,0" coordsize="1124,3513">
              <v:shape style="position:absolute;left:0;top:0;width:1124;height:3513" coordorigin="0,0" coordsize="1124,3513" path="m0,0l0,3512,1123,3512,1123,0,0,0xe" filled="true" fillcolor="#ffffff" stroked="false">
                <v:path arrowok="t"/>
                <v:fill type="solid"/>
              </v:shape>
            </v:group>
            <v:group style="position:absolute;left:23;top:1404;width:1078;height:352" coordorigin="23,1404" coordsize="1078,352">
              <v:shape style="position:absolute;left:23;top:1404;width:1078;height:352" coordorigin="23,1404" coordsize="1078,352" path="m23,1404l23,1756,1100,1756,1100,1404,23,1404xe" filled="true" fillcolor="#ffffff" stroked="false">
                <v:path arrowok="t"/>
                <v:fill type="solid"/>
              </v:shape>
            </v:group>
            <v:group style="position:absolute;left:23;top:1756;width:1078;height:353" coordorigin="23,1756" coordsize="1078,353">
              <v:shape style="position:absolute;left:23;top:1756;width:1078;height:353" coordorigin="23,1756" coordsize="1078,353" path="m23,1756l23,2108,1100,2108,1100,1756,23,1756xe" filled="true" fillcolor="#ffffff" stroked="false">
                <v:path arrowok="t"/>
                <v:fill type="solid"/>
              </v:shape>
            </v:group>
            <v:group style="position:absolute;left:0;top:3522;width:1124;height:4096" coordorigin="0,3522" coordsize="1124,4096">
              <v:shape style="position:absolute;left:0;top:3522;width:1124;height:4096" coordorigin="0,3522" coordsize="1124,4096" path="m0,3522l0,7618,1123,7618,1123,3522,0,3522xe" filled="true" fillcolor="#ffffff" stroked="false">
                <v:path arrowok="t"/>
                <v:fill type="solid"/>
              </v:shape>
            </v:group>
            <v:group style="position:absolute;left:23;top:5218;width:1078;height:353" coordorigin="23,5218" coordsize="1078,353">
              <v:shape style="position:absolute;left:23;top:5218;width:1078;height:353" coordorigin="23,5218" coordsize="1078,353" path="m23,5218l23,5570,1100,5570,1100,5218,23,5218xe" filled="true" fillcolor="#ffffff" stroked="false">
                <v:path arrowok="t"/>
                <v:fill type="solid"/>
              </v:shape>
            </v:group>
            <v:group style="position:absolute;left:23;top:5570;width:1078;height:352" coordorigin="23,5570" coordsize="1078,352">
              <v:shape style="position:absolute;left:23;top:5570;width:1078;height:352" coordorigin="23,5570" coordsize="1078,352" path="m23,5570l23,5922,1100,5922,1100,5570,23,5570xe" filled="true" fillcolor="#ffffff" stroked="false">
                <v:path arrowok="t"/>
                <v:fill type="solid"/>
              </v:shape>
            </v:group>
          </v:group>
        </w:pict>
      </w:r>
      <w:r>
        <w:rPr>
          <w:rFonts w:ascii="宋体"/>
          <w:position w:val="-151"/>
          <w:sz w:val="20"/>
        </w:rPr>
      </w:r>
    </w:p>
    <w:p>
      <w:pPr>
        <w:spacing w:after="0" w:line="7617" w:lineRule="exact"/>
        <w:rPr>
          <w:rFonts w:ascii="宋体" w:hAnsi="宋体" w:cs="宋体" w:eastAsia="宋体" w:hint="default"/>
          <w:sz w:val="20"/>
          <w:szCs w:val="20"/>
        </w:rPr>
        <w:sectPr>
          <w:pgSz w:w="16840" w:h="11910" w:orient="landscape"/>
          <w:pgMar w:header="867" w:footer="978" w:top="1060" w:bottom="1160" w:left="900" w:right="760"/>
        </w:sectPr>
      </w:pPr>
    </w:p>
    <w:p>
      <w:pPr>
        <w:spacing w:line="240" w:lineRule="auto" w:before="4"/>
        <w:rPr>
          <w:rFonts w:ascii="Times New Roman" w:hAnsi="Times New Roman" w:cs="Times New Roman" w:eastAsia="Times New Roman" w:hint="default"/>
          <w:sz w:val="3"/>
          <w:szCs w:val="3"/>
        </w:rPr>
      </w:pPr>
      <w:r>
        <w:rPr/>
        <w:pict>
          <v:shape style="position:absolute;margin-left:395.030518pt;margin-top:57.18pt;width:215.35pt;height:468pt;mso-position-horizontal-relative:page;mso-position-vertical-relative:page;z-index:-1223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不存在尚未了结的或可预见的重大诉讼、</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2700" w:right="0" w:firstLine="36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line="636" w:lineRule="auto" w:before="0"/>
                    <w:ind w:left="2340" w:right="1064" w:firstLine="360"/>
                    <w:jc w:val="left"/>
                    <w:rPr>
                      <w:rFonts w:ascii="宋体" w:hAnsi="宋体" w:cs="宋体" w:eastAsia="宋体" w:hint="default"/>
                      <w:sz w:val="18"/>
                      <w:szCs w:val="18"/>
                    </w:rPr>
                  </w:pPr>
                  <w:r>
                    <w:rPr>
                      <w:rFonts w:ascii="宋体" w:hAnsi="宋体" w:cs="宋体" w:eastAsia="宋体" w:hint="default"/>
                      <w:sz w:val="18"/>
                      <w:szCs w:val="18"/>
                    </w:rPr>
                    <w:t>董事、 其他股东、</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6"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或被司法查封、扣押、冻结或其他使该等所有权和</w:t>
            </w:r>
            <w:r>
              <w:rPr>
                <w:rFonts w:ascii="Times New Roman" w:hAnsi="Times New Roman" w:cs="Times New Roman" w:eastAsia="Times New Roman" w:hint="default"/>
                <w:sz w:val="18"/>
                <w:szCs w:val="18"/>
              </w:rPr>
              <w:t>/</w:t>
            </w:r>
            <w:r>
              <w:rPr>
                <w:rFonts w:ascii="宋体" w:hAnsi="宋体" w:cs="宋体" w:eastAsia="宋体" w:hint="default"/>
                <w:sz w:val="18"/>
                <w:szCs w:val="18"/>
              </w:rPr>
              <w:t>或使用权</w:t>
            </w:r>
          </w:p>
        </w:tc>
        <w:tc>
          <w:tcPr>
            <w:tcW w:w="1134" w:type="dxa"/>
            <w:vMerge w:val="restart"/>
            <w:tcBorders>
              <w:top w:val="single" w:sz="15" w:space="0" w:color="000000"/>
              <w:left w:val="single" w:sz="4" w:space="0" w:color="000000"/>
              <w:right w:val="single" w:sz="4" w:space="0" w:color="000000"/>
            </w:tcBorders>
          </w:tcPr>
          <w:p>
            <w:pPr>
              <w:pStyle w:val="TableParagraph"/>
              <w:spacing w:line="93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6.2pt;height:468pt;mso-position-horizontal-relative:char;mso-position-vertical-relative:line" coordorigin="0,0" coordsize="1124,9360">
                  <v:group style="position:absolute;left:0;top:0;width:1124;height:9360" coordorigin="0,0" coordsize="1124,9360">
                    <v:shape style="position:absolute;left:0;top:0;width:1124;height:9360" coordorigin="0,0" coordsize="1124,9360" path="m0,0l0,9360,1123,9360,1123,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的权利行使、转让受到限制的情形；迪科远望及其下属公司</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目前不存在拟进行的资产置换、资产剥离、资产出售或收购</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等重大资产变化情况。</w:t>
            </w:r>
            <w:r>
              <w:rPr>
                <w:rFonts w:ascii="Times New Roman" w:hAnsi="Times New Roman" w:cs="Times New Roman" w:eastAsia="Times New Roman" w:hint="default"/>
                <w:sz w:val="18"/>
                <w:szCs w:val="18"/>
              </w:rPr>
              <w:t>3</w:t>
            </w:r>
            <w:r>
              <w:rPr>
                <w:rFonts w:ascii="宋体" w:hAnsi="宋体" w:cs="宋体" w:eastAsia="宋体" w:hint="default"/>
                <w:sz w:val="18"/>
                <w:szCs w:val="18"/>
              </w:rPr>
              <w:t>、迪科远望及其下属公司的董事、监</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事、高级管理人员在最近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年内未受过行政处罚（与证券市</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场明显无关的除外</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刑事处罚</w:t>
            </w:r>
            <w:r>
              <w:rPr>
                <w:rFonts w:ascii="宋体" w:hAnsi="宋体" w:cs="宋体" w:eastAsia="宋体" w:hint="default"/>
                <w:spacing w:val="-4"/>
                <w:sz w:val="18"/>
                <w:szCs w:val="18"/>
              </w:rPr>
              <w:t>，</w:t>
            </w:r>
            <w:r>
              <w:rPr>
                <w:rFonts w:ascii="宋体" w:hAnsi="宋体" w:cs="宋体" w:eastAsia="宋体" w:hint="default"/>
                <w:sz w:val="18"/>
                <w:szCs w:val="18"/>
              </w:rPr>
              <w:t>未涉及与经济纠纷有关的重</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大民事诉讼或仲裁，</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仲裁或行政处罚案件，不存在任何其他根据相关法律法规或</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公司章程不能担任公司董事、监事、高级管理人员的情形。</w:t>
            </w:r>
            <w:r>
              <w:rPr>
                <w:rFonts w:ascii="Times New Roman" w:hAnsi="Times New Roman" w:cs="Times New Roman" w:eastAsia="Times New Roman" w:hint="default"/>
                <w:spacing w:val="-4"/>
                <w:sz w:val="18"/>
                <w:szCs w:val="18"/>
              </w:rPr>
              <w:t>4</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截至本承诺函出具日，迪科远望及其下属公司不存在任何形</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式对外担保情形，不存在重大偿债风险，不存在影响持续经</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营的担保、诉讼以及仲裁等重大或有事项。</w:t>
            </w:r>
            <w:r>
              <w:rPr>
                <w:rFonts w:ascii="Times New Roman" w:hAnsi="Times New Roman" w:cs="Times New Roman" w:eastAsia="Times New Roman" w:hint="default"/>
                <w:sz w:val="18"/>
                <w:szCs w:val="18"/>
              </w:rPr>
              <w:t>5</w:t>
            </w:r>
            <w:r>
              <w:rPr>
                <w:rFonts w:ascii="宋体" w:hAnsi="宋体" w:cs="宋体" w:eastAsia="宋体" w:hint="default"/>
                <w:sz w:val="18"/>
                <w:szCs w:val="18"/>
              </w:rPr>
              <w:t>、迪科远望及其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下属公司的业务独立于控股股东、实际控制人及其控制的其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他企业，与控股股东、实际控制人及其控制的其他企业间不</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存在同业竞争，以及严重影响迪科远望及下属公司独立性或</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显失公允的关联交易。</w:t>
            </w:r>
            <w:r>
              <w:rPr>
                <w:rFonts w:ascii="Times New Roman" w:hAnsi="Times New Roman" w:cs="Times New Roman" w:eastAsia="Times New Roman" w:hint="default"/>
                <w:sz w:val="18"/>
                <w:szCs w:val="18"/>
              </w:rPr>
              <w:t>6</w:t>
            </w:r>
            <w:r>
              <w:rPr>
                <w:rFonts w:ascii="宋体" w:hAnsi="宋体" w:cs="宋体" w:eastAsia="宋体" w:hint="default"/>
                <w:sz w:val="18"/>
                <w:szCs w:val="18"/>
              </w:rPr>
              <w:t>、截至本承诺函出具日，迪科远望及</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下属公司不存在为控股股东、实际控制人、其他股东、</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监事、高级管理人员及其控制的其他企业进行违规担保的情</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形，不存在资金或资产被控股股东、实际控制人、</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董事、监事、高级管理人员及其控制的其他企业以借款、代</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偿债务、代垫款项或者其他方式占用的情形。</w:t>
            </w:r>
            <w:r>
              <w:rPr>
                <w:rFonts w:ascii="Times New Roman" w:hAnsi="Times New Roman" w:cs="Times New Roman" w:eastAsia="Times New Roman" w:hint="default"/>
                <w:sz w:val="18"/>
                <w:szCs w:val="18"/>
              </w:rPr>
              <w:t>7</w:t>
            </w:r>
            <w:r>
              <w:rPr>
                <w:rFonts w:ascii="宋体" w:hAnsi="宋体" w:cs="宋体" w:eastAsia="宋体" w:hint="default"/>
                <w:sz w:val="18"/>
                <w:szCs w:val="18"/>
              </w:rPr>
              <w:t>、承诺人做出</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的上述承诺以及承诺人在与迪科远望及其他股东、新开普共</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同签署的《新开普电子股份有限公司发行股份及支付现金购</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买资产协议》中做出的关于迪科远望及其下属公司的相关声</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明、承诺和保证真实、准确、完整，不存在重大遗漏或误导</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性陈述；如前述承诺事项与实际情况不相符对新开普造成损</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失的，本人将以除持有的迪科远望股份以外的其他合法财产</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对新开普承担赔偿责任；如该等损失由迪科远望先行承担，</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承诺人应在迪科远望承担该等损失之日起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日内以除迪科远</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望股份以外的其他合法财产，按照本承诺函签署日承诺人各</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1"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自持有的迪科远望股份比例对迪科远望承担全部补偿责任。</w:t>
            </w:r>
          </w:p>
        </w:tc>
        <w:tc>
          <w:tcPr>
            <w:tcW w:w="1134"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、迪科远望在整体变更设立股份有限公司时，暂未代扣代缴</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相关所得税税款。如果今后国家有关税务主管部门就上述事</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项要求纳税义务人补缴税款及相关滞纳金或承担法律责任，</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承诺人愿意按照有关部门的要求以自有资金先行补缴并承担</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相应的法律责任；如有关部门要求迪科远望先行承担法律责</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任，承诺人应在迪科远望承担该等损失之日起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日内以除迪</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科远望股份以外的其他合法财产，按照本承诺函签署日承诺</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人各自持有的迪科远望股份比例对迪科远望承担全部补偿责</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9</w:t>
            </w:r>
            <w:r>
              <w:rPr>
                <w:rFonts w:ascii="宋体" w:hAnsi="宋体" w:cs="宋体" w:eastAsia="宋体" w:hint="default"/>
                <w:sz w:val="18"/>
                <w:szCs w:val="18"/>
              </w:rPr>
              <w:t>、截至本承诺函出具日，迪科远望及其下属公司租赁的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部分房屋存在瑕疵，包括所租赁房屋未取得所有权证，未向</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有关房地产管理部门办理房屋租赁登记备案手续等情形。根</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据相关法律规定，迪科远望及其下属公司的上述房屋租赁行</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为存在被相关政府主管部门予以处罚的风险。承诺人承诺，</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如因前述不规范租赁行为造成罚款、产生搬迁费用以及给迪</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科远望及其下属公司造成其他损失，承诺人应在迪科远望及</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其下属公司承担该等损失之日起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日内以除迪科远望股份以</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外的其他合法财产，按照本承诺函签署日承诺人各自持有的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迪科远望股份比例对迪科远望承担全部补偿责任。</w:t>
            </w:r>
            <w:r>
              <w:rPr>
                <w:rFonts w:ascii="Times New Roman" w:hAnsi="Times New Roman" w:cs="Times New Roman" w:eastAsia="Times New Roman" w:hint="default"/>
                <w:sz w:val="18"/>
                <w:szCs w:val="18"/>
              </w:rPr>
              <w:t>10</w:t>
            </w:r>
            <w:r>
              <w:rPr>
                <w:rFonts w:ascii="宋体" w:hAnsi="宋体" w:cs="宋体" w:eastAsia="宋体" w:hint="default"/>
                <w:sz w:val="18"/>
                <w:szCs w:val="18"/>
              </w:rPr>
              <w:t>、截至</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本承诺函出具日，迪科远望及其下属公司不存在未依法缴纳</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税款的情形。承诺人承诺，如因交割日（交割日为迪科远望</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的股东变更为新开普，且办理完毕各项股东变更登记手续之</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日，下同）前迪科远望及其下属公司未按规定缴纳任何税款</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而于交割日后被要求补缴和</w:t>
            </w:r>
            <w:r>
              <w:rPr>
                <w:rFonts w:ascii="Times New Roman" w:hAnsi="Times New Roman" w:cs="Times New Roman" w:eastAsia="Times New Roman" w:hint="default"/>
                <w:sz w:val="18"/>
                <w:szCs w:val="18"/>
              </w:rPr>
              <w:t>/</w:t>
            </w:r>
            <w:r>
              <w:rPr>
                <w:rFonts w:ascii="宋体" w:hAnsi="宋体" w:cs="宋体" w:eastAsia="宋体" w:hint="default"/>
                <w:sz w:val="18"/>
                <w:szCs w:val="18"/>
              </w:rPr>
              <w:t>或承担其他法律责任，承诺人应</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就迪科远望及其下属公司的该等损失承担赔偿责任；如该等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损失由迪科远望及其下属公司先行承担，承诺人应在迪科远</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望及其下属公司承担该等损失之日起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日内以除迪科远望股</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份以外的其他合法财产，按照本承诺函签署日承诺人各自持</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有的迪科远望股份比例对迪科远望承担全部补偿责任。</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截至本承诺函出具日，迪科远望及其下属公司不存在未依法</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r>
        <w:rPr/>
        <w:pict>
          <v:shape style="position:absolute;margin-left:548.030518pt;margin-top:57.18pt;width:62.35pt;height:468pt;mso-position-horizontal-relative:page;mso-position-vertical-relative:page;z-index:-1223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1"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缴纳的社会保险费，如迪科远望及其下属公司因在交割日前</w:t>
            </w:r>
          </w:p>
        </w:tc>
        <w:tc>
          <w:tcPr>
            <w:tcW w:w="1134" w:type="dxa"/>
            <w:vMerge w:val="restart"/>
            <w:tcBorders>
              <w:top w:val="single" w:sz="15" w:space="0" w:color="000000"/>
              <w:left w:val="single" w:sz="4" w:space="0" w:color="000000"/>
              <w:right w:val="single" w:sz="4" w:space="0" w:color="000000"/>
            </w:tcBorders>
          </w:tcPr>
          <w:p>
            <w:pPr>
              <w:pStyle w:val="TableParagraph"/>
              <w:spacing w:line="93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6.2pt;height:468pt;mso-position-horizontal-relative:char;mso-position-vertical-relative:line" coordorigin="0,0" coordsize="1124,9360">
                  <v:group style="position:absolute;left:0;top:0;width:1124;height:9360" coordorigin="0,0" coordsize="1124,9360">
                    <v:shape style="position:absolute;left:0;top:0;width:1124;height:9360" coordorigin="0,0" coordsize="1124,9360" path="m0,0l0,9360,1123,9360,1123,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未依法为员工缴纳社会保险费而在交割日后受到任何处罚、</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追索、索赔或受到任何损失（包括但不限于依法需为员工补</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缴的社会保险费及任何滞纳金、罚款、损害赔偿金和</w:t>
            </w:r>
            <w:r>
              <w:rPr>
                <w:rFonts w:ascii="Times New Roman" w:hAnsi="Times New Roman" w:cs="Times New Roman" w:eastAsia="Times New Roman" w:hint="default"/>
                <w:sz w:val="18"/>
                <w:szCs w:val="18"/>
              </w:rPr>
              <w:t>/</w:t>
            </w:r>
            <w:r>
              <w:rPr>
                <w:rFonts w:ascii="宋体" w:hAnsi="宋体" w:cs="宋体" w:eastAsia="宋体" w:hint="default"/>
                <w:sz w:val="18"/>
                <w:szCs w:val="18"/>
              </w:rPr>
              <w:t>或承担</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其他法律责任等</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承诺人应就迪科远望及其下属公司的该等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损失承担赔偿责任；如该等损失由迪科远望及其下属公司先</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行承担，承诺人应在迪科远望及其下属公司承担该等损失之</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日内以除迪科远望股份以外的其他合法财产，按照本</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承诺函签署日承诺人各自持有的迪科远望股份比例对迪科远</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望及其下属公司承担全部补偿责任。</w:t>
            </w:r>
            <w:r>
              <w:rPr>
                <w:rFonts w:ascii="Times New Roman" w:hAnsi="Times New Roman" w:cs="Times New Roman" w:eastAsia="Times New Roman" w:hint="default"/>
                <w:sz w:val="18"/>
                <w:szCs w:val="18"/>
              </w:rPr>
              <w:t>12</w:t>
            </w:r>
            <w:r>
              <w:rPr>
                <w:rFonts w:ascii="宋体" w:hAnsi="宋体" w:cs="宋体" w:eastAsia="宋体" w:hint="default"/>
                <w:sz w:val="18"/>
                <w:szCs w:val="18"/>
              </w:rPr>
              <w:t>、自迪科远望及其下</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属公司设立至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日，迪科远望及其下属公司存</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在未依法为员工缴纳住房公积金的情形，如迪科远望及其下</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属公司因在交割日前未依法为员工缴纳住房公积金而在交割</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日后受到任何处罚、追索、索赔或受到任何损失（包括但不</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限于依法需为员工补缴的住房公积金及任何滞纳金、罚款、</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损害赔偿金和</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或承担其他法律责任等</w:t>
            </w:r>
            <w:r>
              <w:rPr>
                <w:rFonts w:ascii="宋体" w:hAnsi="宋体" w:cs="宋体" w:eastAsia="宋体" w:hint="default"/>
                <w:spacing w:val="-90"/>
                <w:sz w:val="18"/>
                <w:szCs w:val="18"/>
              </w:rPr>
              <w:t>）</w:t>
            </w:r>
            <w:r>
              <w:rPr>
                <w:rFonts w:ascii="宋体" w:hAnsi="宋体" w:cs="宋体" w:eastAsia="宋体" w:hint="default"/>
                <w:spacing w:val="-58"/>
                <w:sz w:val="18"/>
                <w:szCs w:val="18"/>
              </w:rPr>
              <w:t>，</w:t>
            </w:r>
            <w:r>
              <w:rPr>
                <w:rFonts w:ascii="宋体" w:hAnsi="宋体" w:cs="宋体" w:eastAsia="宋体" w:hint="default"/>
                <w:sz w:val="18"/>
                <w:szCs w:val="18"/>
              </w:rPr>
              <w:t>承诺人应就迪科远望</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及其下属公司的该等损失承担赔偿责任；如该等损失由迪科</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远望及其下属公司先行承担，承诺人应在迪科远望及其下属</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公司承担该等损失之日起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日内以除迪科远望股份以外的其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他合法财产，按照本承诺函签署日承诺人各自持有的迪科远</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望股份比例对迪科远望及其下属公司承担全部补偿责任。</w:t>
            </w:r>
            <w:r>
              <w:rPr>
                <w:rFonts w:ascii="Times New Roman" w:hAnsi="Times New Roman" w:cs="Times New Roman" w:eastAsia="Times New Roman" w:hint="default"/>
                <w:sz w:val="18"/>
                <w:szCs w:val="18"/>
              </w:rPr>
              <w:t>13</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承诺人承诺，除迪科远望及承诺人在交割日前已经向新开普</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披露的处罚、索赔或受到的任何损失外，迪科远望及其下属</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公司因交割日前发生或存在的任何行为、状态或情形而在交</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割日后受到任何处罚、追索、索赔或受到任何损失，承诺人</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应就迪科远望及其下属公司的该等损失承担赔偿责任；如该</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等损失由迪科远望及其下属公司先行承担，承诺人应在迪科</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远望及其下属公司承担该等损失之日起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日内以除迪科远望</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股份以外的其他合法财产，按照本承诺函签署日承诺人各自</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持有的迪科远望股份比例对迪科远望及其下属公司承担全部</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r>
        <w:rPr/>
        <w:pict>
          <v:shape style="position:absolute;margin-left:216.291397pt;margin-top:75.300003pt;width:96.5pt;height:284.850pt;mso-position-horizontal-relative:page;mso-position-vertical-relative:page;z-index:-1223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熊小洪、</w:t>
                  </w:r>
                </w:p>
              </w:txbxContent>
            </v:textbox>
            <w10:wrap type="none"/>
          </v:shape>
        </w:pict>
      </w:r>
      <w:r>
        <w:rPr/>
        <w:pict>
          <v:shape style="position:absolute;margin-left:530.031433pt;margin-top:75.300003pt;width:80.350pt;height:284.850pt;mso-position-horizontal-relative:page;mso-position-vertical-relative:page;z-index:-1223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同意、</w:t>
                  </w:r>
                </w:p>
              </w:txbxContent>
            </v:textbox>
            <w10:wrap type="none"/>
          </v:shape>
        </w:pict>
      </w:r>
      <w:r>
        <w:rPr/>
        <w:pict>
          <v:shape style="position:absolute;margin-left:216.291397pt;margin-top:360.600006pt;width:96.5pt;height:173.6pt;mso-position-horizontal-relative:page;mso-position-vertical-relative:page;z-index:-12230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熊小洪、</w:t>
                  </w:r>
                </w:p>
              </w:txbxContent>
            </v:textbox>
            <w10:wrap type="none"/>
          </v:shape>
        </w:pict>
      </w:r>
      <w:r>
        <w:rPr/>
        <w:pict>
          <v:shape style="position:absolute;margin-left:485.031403pt;margin-top:360.600006pt;width:125.35pt;height:173.6pt;mso-position-horizontal-relative:page;mso-position-vertical-relative:page;z-index:-1222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spacing w:line="316" w:lineRule="auto" w:before="0"/>
                    <w:ind w:left="0" w:right="1064" w:firstLine="900"/>
                    <w:jc w:val="left"/>
                    <w:rPr>
                      <w:rFonts w:ascii="宋体" w:hAnsi="宋体" w:cs="宋体" w:eastAsia="宋体" w:hint="default"/>
                      <w:sz w:val="18"/>
                      <w:szCs w:val="18"/>
                    </w:rPr>
                  </w:pPr>
                  <w:r>
                    <w:rPr>
                      <w:rFonts w:ascii="宋体" w:hAnsi="宋体" w:cs="宋体" w:eastAsia="宋体" w:hint="default"/>
                      <w:sz w:val="18"/>
                      <w:szCs w:val="18"/>
                    </w:rPr>
                    <w:t>合资、 通过第三方经营、</w:t>
                  </w:r>
                </w:p>
              </w:txbxContent>
            </v:textbox>
            <w10:wrap type="none"/>
          </v:shape>
        </w:pict>
      </w:r>
      <w:r>
        <w:rPr/>
        <w:pict>
          <v:group style="position:absolute;margin-left:249.410995pt;margin-top:75.300003pt;width:63.4pt;height:458.9pt;mso-position-horizontal-relative:page;mso-position-vertical-relative:page;z-index:-1222960" coordorigin="4988,1506" coordsize="1268,9178">
            <v:group style="position:absolute;left:4988;top:1506;width:1268;height:5697" coordorigin="4988,1506" coordsize="1268,5697">
              <v:shape style="position:absolute;left:4988;top:1506;width:1268;height:5697" coordorigin="4988,1506" coordsize="1268,5697" path="m4988,1506l4988,7202,6255,7202,6255,1506,4988,1506xe" filled="true" fillcolor="#ffffff" stroked="false">
                <v:path arrowok="t"/>
                <v:fill type="solid"/>
              </v:shape>
            </v:group>
            <v:group style="position:absolute;left:5012;top:4158;width:1220;height:393" coordorigin="5012,4158" coordsize="1220,393">
              <v:shape style="position:absolute;left:5012;top:4158;width:1220;height:393" coordorigin="5012,4158" coordsize="1220,393" path="m5012,4158l5012,4550,6231,4550,6231,4158,5012,4158xe" filled="true" fillcolor="#ffffff" stroked="false">
                <v:path arrowok="t"/>
                <v:fill type="solid"/>
              </v:shape>
            </v:group>
            <v:group style="position:absolute;left:4988;top:7212;width:1268;height:3472" coordorigin="4988,7212" coordsize="1268,3472">
              <v:shape style="position:absolute;left:4988;top:7212;width:1268;height:3472" coordorigin="4988,7212" coordsize="1268,3472" path="m4988,7212l4988,10684,6255,10684,6255,7212,4988,7212xe" filled="true" fillcolor="#ffffff" stroked="false">
                <v:path arrowok="t"/>
                <v:fill type="solid"/>
              </v:shape>
            </v:group>
            <v:group style="position:absolute;left:5012;top:8284;width:1220;height:353" coordorigin="5012,8284" coordsize="1220,353">
              <v:shape style="position:absolute;left:5012;top:8284;width:1220;height:353" coordorigin="5012,8284" coordsize="1220,353" path="m5012,8284l5012,8636,6231,8636,6231,8284,5012,8284xe" filled="true" fillcolor="#ffffff" stroked="false">
                <v:path arrowok="t"/>
                <v:fill type="solid"/>
              </v:shape>
            </v:group>
            <v:group style="position:absolute;left:5012;top:8636;width:1220;height:312" coordorigin="5012,8636" coordsize="1220,312">
              <v:shape style="position:absolute;left:5012;top:8636;width:1220;height:312" coordorigin="5012,8636" coordsize="1220,312" path="m5012,8636l5012,8948,6231,8948,6231,8636,5012,8636xe" filled="true" fillcolor="#ffffff" stroked="false">
                <v:path arrowok="t"/>
                <v:fill type="solid"/>
              </v:shape>
            </v:group>
            <v:group style="position:absolute;left:5012;top:8948;width:1220;height:312" coordorigin="5012,8948" coordsize="1220,312">
              <v:shape style="position:absolute;left:5012;top:8948;width:1220;height:312" coordorigin="5012,8948" coordsize="1220,312" path="m5012,8948l5012,9260,6231,9260,6231,8948,5012,8948xe" filled="true" fillcolor="#ffffff" stroked="false">
                <v:path arrowok="t"/>
                <v:fill type="solid"/>
              </v:shape>
            </v:group>
            <v:group style="position:absolute;left:5012;top:9260;width:1220;height:352" coordorigin="5012,9260" coordsize="1220,352">
              <v:shape style="position:absolute;left:5012;top:9260;width:1220;height:352" coordorigin="5012,9260" coordsize="1220,352" path="m5012,9260l5012,9612,6231,9612,6231,9260,5012,9260xe" filled="true" fillcolor="#ffffff" stroked="false">
                <v:path arrowok="t"/>
                <v:fill type="solid"/>
              </v:shape>
            </v:group>
            <w10:wrap type="none"/>
          </v:group>
        </w:pict>
      </w:r>
      <w:r>
        <w:rPr/>
        <w:pict>
          <v:group style="position:absolute;margin-left:554.210999pt;margin-top:75.300003pt;width:56.2pt;height:458.9pt;mso-position-horizontal-relative:page;mso-position-vertical-relative:page;z-index:-1222936" coordorigin="11084,1506" coordsize="1124,9178">
            <v:group style="position:absolute;left:11084;top:1506;width:1124;height:5697" coordorigin="11084,1506" coordsize="1124,5697">
              <v:shape style="position:absolute;left:11084;top:1506;width:1124;height:5697" coordorigin="11084,1506" coordsize="1124,5697" path="m11084,1506l11084,7202,12207,7202,12207,1506,11084,1506xe" filled="true" fillcolor="#ffffff" stroked="false">
                <v:path arrowok="t"/>
                <v:fill type="solid"/>
              </v:shape>
            </v:group>
            <v:group style="position:absolute;left:11107;top:4002;width:1078;height:352" coordorigin="11107,4002" coordsize="1078,352">
              <v:shape style="position:absolute;left:11107;top:4002;width:1078;height:352" coordorigin="11107,4002" coordsize="1078,352" path="m11107,4002l11107,4354,12185,4354,12185,4002,11107,4002xe" filled="true" fillcolor="#ffffff" stroked="false">
                <v:path arrowok="t"/>
                <v:fill type="solid"/>
              </v:shape>
            </v:group>
            <v:group style="position:absolute;left:11107;top:4354;width:1078;height:353" coordorigin="11107,4354" coordsize="1078,353">
              <v:shape style="position:absolute;left:11107;top:4354;width:1078;height:353" coordorigin="11107,4354" coordsize="1078,353" path="m11107,4354l11107,4706,12185,4706,12185,4354,11107,4354xe" filled="true" fillcolor="#ffffff" stroked="false">
                <v:path arrowok="t"/>
                <v:fill type="solid"/>
              </v:shape>
            </v:group>
            <v:group style="position:absolute;left:11084;top:7212;width:1124;height:3472" coordorigin="11084,7212" coordsize="1124,3472">
              <v:shape style="position:absolute;left:11084;top:7212;width:1124;height:3472" coordorigin="11084,7212" coordsize="1124,3472" path="m11084,7212l11084,10684,12207,10684,12207,7212,11084,7212xe" filled="true" fillcolor="#ffffff" stroked="false">
                <v:path arrowok="t"/>
                <v:fill type="solid"/>
              </v:shape>
            </v:group>
            <v:group style="position:absolute;left:11107;top:8596;width:1078;height:353" coordorigin="11107,8596" coordsize="1078,353">
              <v:shape style="position:absolute;left:11107;top:8596;width:1078;height:353" coordorigin="11107,8596" coordsize="1078,353" path="m11107,8596l11107,8948,12185,8948,12185,8596,11107,8596xe" filled="true" fillcolor="#ffffff" stroked="false">
                <v:path arrowok="t"/>
                <v:fill type="solid"/>
              </v:shape>
            </v:group>
            <v:group style="position:absolute;left:11107;top:8948;width:1078;height:352" coordorigin="11107,8948" coordsize="1078,352">
              <v:shape style="position:absolute;left:11107;top:8948;width:1078;height:352" coordorigin="11107,8948" coordsize="1078,352" path="m11107,8948l11107,9300,12185,9300,12185,8948,11107,8948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77"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8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补偿责任。</w:t>
            </w:r>
          </w:p>
        </w:tc>
        <w:tc>
          <w:tcPr>
            <w:tcW w:w="1134"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2125" w:type="dxa"/>
            <w:tcBorders>
              <w:top w:val="single" w:sz="15" w:space="0" w:color="000000"/>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本次交易的交易对方承诺：除</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月被江苏省连云港质</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量技术监督局行政处罚外，迪科远望已分别合法取得生产经</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营活动所需的全部证照、批准、批复、同意、授权和许可，</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且现有业务所需的全部证照、批准、批复、同意、授权和许</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可均有效存在；迪科远望不存在任何违反或超出上述证照、</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批准、批复、同意、授权和许可要求的行为或者情形；迪科</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远望不存在任何尚未取得相关必备证照、批准、批复、</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10"/>
              <w:jc w:val="left"/>
              <w:rPr>
                <w:rFonts w:ascii="宋体" w:hAnsi="宋体" w:cs="宋体" w:eastAsia="宋体" w:hint="default"/>
                <w:sz w:val="18"/>
                <w:szCs w:val="18"/>
              </w:rPr>
            </w:pPr>
            <w:r>
              <w:rPr>
                <w:rFonts w:ascii="宋体" w:hAnsi="宋体" w:cs="宋体" w:eastAsia="宋体" w:hint="default"/>
                <w:sz w:val="18"/>
                <w:szCs w:val="18"/>
              </w:rPr>
              <w:t>公司发行股份及支付现金 购买资产的交易对方刘永 </w:t>
            </w:r>
            <w:r>
              <w:rPr>
                <w:rFonts w:ascii="宋体" w:hAnsi="宋体" w:cs="宋体" w:eastAsia="宋体" w:hint="default"/>
                <w:spacing w:val="-14"/>
                <w:sz w:val="18"/>
                <w:szCs w:val="18"/>
              </w:rPr>
              <w:t>春、丛伟滋、李洪、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白海清、黄暂度</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授权和许可而违规开展业务的情况。如迪科远望及其下属公 司因在交割日（交割日为迪科远望的股东变更为新开普，且 办理完毕各项股东变更登记手续之日）前未取得生产许可证 生产、销售列入目录的产品而受到任何处罚、追索、索赔或</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r>
        <w:trPr>
          <w:trHeight w:val="311"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受到任何损失（包括但不限于依法应缴纳的任何罚款、滞纳</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20"/>
                <w:sz w:val="18"/>
                <w:szCs w:val="18"/>
              </w:rPr>
              <w:t>、</w:t>
            </w:r>
            <w:r>
              <w:rPr>
                <w:rFonts w:ascii="宋体" w:hAnsi="宋体" w:cs="宋体" w:eastAsia="宋体" w:hint="default"/>
                <w:sz w:val="18"/>
                <w:szCs w:val="18"/>
              </w:rPr>
              <w:t>违约金</w:t>
            </w:r>
            <w:r>
              <w:rPr>
                <w:rFonts w:ascii="宋体" w:hAnsi="宋体" w:cs="宋体" w:eastAsia="宋体" w:hint="default"/>
                <w:spacing w:val="-20"/>
                <w:sz w:val="18"/>
                <w:szCs w:val="18"/>
              </w:rPr>
              <w:t>、</w:t>
            </w:r>
            <w:r>
              <w:rPr>
                <w:rFonts w:ascii="宋体" w:hAnsi="宋体" w:cs="宋体" w:eastAsia="宋体" w:hint="default"/>
                <w:sz w:val="18"/>
                <w:szCs w:val="18"/>
              </w:rPr>
              <w:t>损害赔偿金和</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或承担其他法律责任等</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承诺人</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应就迪科远望及其下属公司的该等损失承担赔偿责任；如该</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等损失由迪科远望及其下属公司先行承担，承诺人应在迪科</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远望及其下属公司承担该等损失之日起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日内以除迪科远望</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股份以外的其他合法财产，按照本承诺函签署日承诺人各自</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持有的迪科远望股份比例对迪科远望承担全部补偿责任。</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本次交易的交易对方承诺：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、截至本承诺函出具日，除在迪</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科远望及其下属企业任职并以迪科远望及其下属企业的名义</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开展业务外，本人（包括本人直系亲属和配偶，下同）及本</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3" w:right="110"/>
              <w:jc w:val="left"/>
              <w:rPr>
                <w:rFonts w:ascii="宋体" w:hAnsi="宋体" w:cs="宋体" w:eastAsia="宋体" w:hint="default"/>
                <w:sz w:val="18"/>
                <w:szCs w:val="18"/>
              </w:rPr>
            </w:pPr>
            <w:r>
              <w:rPr>
                <w:rFonts w:ascii="宋体" w:hAnsi="宋体" w:cs="宋体" w:eastAsia="宋体" w:hint="default"/>
                <w:sz w:val="18"/>
                <w:szCs w:val="18"/>
              </w:rPr>
              <w:t>公司发行股份及支付现金 购买资产的交易对方刘永 </w:t>
            </w:r>
            <w:r>
              <w:rPr>
                <w:rFonts w:ascii="宋体" w:hAnsi="宋体" w:cs="宋体" w:eastAsia="宋体" w:hint="default"/>
                <w:spacing w:val="-14"/>
                <w:sz w:val="18"/>
                <w:szCs w:val="18"/>
              </w:rPr>
              <w:t>春、丛伟滋、李洪、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白海清、黄暂度</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17"/>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占用方面的承</w:t>
            </w:r>
          </w:p>
          <w:p>
            <w:pPr>
              <w:pStyle w:val="TableParagraph"/>
              <w:spacing w:line="240" w:lineRule="auto" w:before="20"/>
              <w:ind w:left="23" w:right="0"/>
              <w:jc w:val="both"/>
              <w:rPr>
                <w:rFonts w:ascii="宋体" w:hAnsi="宋体" w:cs="宋体" w:eastAsia="宋体" w:hint="default"/>
                <w:sz w:val="18"/>
                <w:szCs w:val="18"/>
              </w:rPr>
            </w:pPr>
            <w:r>
              <w:rPr>
                <w:rFonts w:ascii="宋体" w:hAnsi="宋体" w:cs="宋体" w:eastAsia="宋体" w:hint="default"/>
                <w:sz w:val="18"/>
                <w:szCs w:val="18"/>
              </w:rPr>
              <w:t>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54"/>
              <w:jc w:val="both"/>
              <w:rPr>
                <w:rFonts w:ascii="宋体" w:hAnsi="宋体" w:cs="宋体" w:eastAsia="宋体" w:hint="default"/>
                <w:sz w:val="18"/>
                <w:szCs w:val="18"/>
              </w:rPr>
            </w:pPr>
            <w:r>
              <w:rPr>
                <w:rFonts w:ascii="宋体" w:hAnsi="宋体" w:cs="宋体" w:eastAsia="宋体" w:hint="default"/>
                <w:sz w:val="18"/>
                <w:szCs w:val="18"/>
              </w:rPr>
              <w:t>人控制的其他公司、企业或其他经营实体（包括本人全资、 控股公司及本人具有实际控制权的公司、企业或其他经营实 体，下同）现有的业务、产品</w:t>
            </w:r>
            <w:r>
              <w:rPr>
                <w:rFonts w:ascii="Times New Roman" w:hAnsi="Times New Roman" w:cs="Times New Roman" w:eastAsia="Times New Roman" w:hint="default"/>
                <w:sz w:val="18"/>
                <w:szCs w:val="18"/>
              </w:rPr>
              <w:t>/</w:t>
            </w:r>
            <w:r>
              <w:rPr>
                <w:rFonts w:ascii="宋体" w:hAnsi="宋体" w:cs="宋体" w:eastAsia="宋体" w:hint="default"/>
                <w:sz w:val="18"/>
                <w:szCs w:val="18"/>
              </w:rPr>
              <w:t>服务与新开普、迪科远望及其 下属企业正在或将要开展的业务、产品</w:t>
            </w:r>
            <w:r>
              <w:rPr>
                <w:rFonts w:ascii="Times New Roman" w:hAnsi="Times New Roman" w:cs="Times New Roman" w:eastAsia="Times New Roman" w:hint="default"/>
                <w:sz w:val="18"/>
                <w:szCs w:val="18"/>
              </w:rPr>
              <w:t>/</w:t>
            </w:r>
            <w:r>
              <w:rPr>
                <w:rFonts w:ascii="宋体" w:hAnsi="宋体" w:cs="宋体" w:eastAsia="宋体" w:hint="default"/>
                <w:sz w:val="18"/>
                <w:szCs w:val="18"/>
              </w:rPr>
              <w:t>服务不存在竞争或潜 在竞争；本人及本人控制的其他公司、企业或其他经营实体</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不存在直接或通过其他任何方式（包括但不限于独资、</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合作经营或者承包、租赁经营、委托管理、</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担任顾问等）间接从事与新开普、迪科远望及其下属企业相</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1"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同或类似业务的情形，不存在其他任何与新开普、迪科远望</w:t>
            </w:r>
          </w:p>
        </w:tc>
        <w:tc>
          <w:tcPr>
            <w:tcW w:w="1134"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及其下属企业存在同业竞争的情形。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、本人承诺，在今后的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业务中，本人不与新开普、迪科远望及其下属企业进行同业</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竞争，即</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）本人及本人控制的其他企业不会直接或通过</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其他任何方式（包括但不限于独资、合资、合作经营或者承</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包、租赁经营、委托管理、通过第三方经营、担任顾问等）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间接从事与新开普、迪科远望及其下属企业业务相同或相近</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似的经营活动，以避免对新开普、迪科远望及其下属企业的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生产经营构成直接或间接的业务竞争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）如新开普、迪科</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远望及其下属企业进一步拓展其业务范围，本人及本人控制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的其他公司、企业或其他经营实体将不与新开普、迪科远望</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及其下属企业拓展后的业务相竞争；若与新开普、迪科远望</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及其下属企业拓展后的业务产生竞争，本人及本人控制的其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他公司、企业或其他经营实体将停止生产经营或者将相竞争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的业务转让给无关联关系第三方，但新开普、迪科远望及其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下属企业可以按照合理的价格及条件采取优先收购或委托经</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营的方式将相关公司、企业或其他经营实体的竞争业务集中</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到新开普或迪科远望经营，以避免同业竞争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）若有第三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方向本人及本人控制的其他公司、企业或其他经营实体提供</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任何业务机会或本人及本人控制的其他公司、企业或其他经</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营实体有任何机会需提供给第三方，且该业务直接或间接与</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新开普、迪科远望及其下属企业业务有竞争或者新开普、迪</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科远望有能力、有意向承揽该业务的，本人及本人控制的其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他公司、企业或其他经营实体应当立即通知新开普、迪科远</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望及其下属企业该业务机会，并尽力促使该业务以合理的条</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款和条件由新开普、迪科远望及其下属企业承接。</w:t>
            </w:r>
            <w:r>
              <w:rPr>
                <w:rFonts w:ascii="Times New Roman" w:hAnsi="Times New Roman" w:cs="Times New Roman" w:eastAsia="Times New Roman" w:hint="default"/>
                <w:sz w:val="18"/>
                <w:szCs w:val="18"/>
              </w:rPr>
              <w:t>3</w:t>
            </w:r>
            <w:r>
              <w:rPr>
                <w:rFonts w:ascii="宋体" w:hAnsi="宋体" w:cs="宋体" w:eastAsia="宋体" w:hint="default"/>
                <w:sz w:val="18"/>
                <w:szCs w:val="18"/>
              </w:rPr>
              <w:t>、如新开</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普、迪科远望及其下属企业或相关监管部门认定本人及本人</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控制的其他公司、企业或其他经营实体正在或将要从事的业</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务与新开普、迪科远望及其下属企业存在同业竞争，本人及</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本人控制的其他公司将在新开普、迪科远望及其下属企业提</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r>
        <w:rPr/>
        <w:pict>
          <v:shape style="position:absolute;margin-left:216.291397pt;margin-top:278.100006pt;width:96.5pt;height:251.6pt;mso-position-horizontal-relative:page;mso-position-vertical-relative:page;z-index:-1222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熊小洪、</w:t>
                  </w:r>
                </w:p>
              </w:txbxContent>
            </v:textbox>
            <w10:wrap type="none"/>
          </v:shape>
        </w:pict>
      </w:r>
      <w:r>
        <w:rPr/>
        <w:pict>
          <v:shape style="position:absolute;margin-left:350.030487pt;margin-top:278.100006pt;width:260.3500pt;height:251.6pt;mso-position-horizontal-relative:page;mso-position-vertical-relative:page;z-index:-1222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不以任何形式损害新开普及其其他股东的合法权益。</w:t>
                  </w:r>
                </w:p>
              </w:txbxContent>
            </v:textbox>
            <w10:wrap type="none"/>
          </v:shape>
        </w:pict>
      </w:r>
      <w:r>
        <w:rPr/>
        <w:pict>
          <v:group style="position:absolute;margin-left:249.410995pt;margin-top:278.100006pt;width:63.4pt;height:251.6pt;mso-position-horizontal-relative:page;mso-position-vertical-relative:page;z-index:-1222864" coordorigin="4988,5562" coordsize="1268,5032">
            <v:group style="position:absolute;left:4988;top:5562;width:1268;height:5032" coordorigin="4988,5562" coordsize="1268,5032">
              <v:shape style="position:absolute;left:4988;top:5562;width:1268;height:5032" coordorigin="4988,5562" coordsize="1268,5032" path="m4988,5562l4988,10594,6255,10594,6255,5562,4988,5562xe" filled="true" fillcolor="#ffffff" stroked="false">
                <v:path arrowok="t"/>
                <v:fill type="solid"/>
              </v:shape>
            </v:group>
            <v:group style="position:absolute;left:5012;top:7882;width:1220;height:393" coordorigin="5012,7882" coordsize="1220,393">
              <v:shape style="position:absolute;left:5012;top:7882;width:1220;height:393" coordorigin="5012,7882" coordsize="1220,393" path="m5012,7882l5012,8274,6231,8274,6231,7882,5012,7882xe" filled="true" fillcolor="#ffffff" stroked="false">
                <v:path arrowok="t"/>
                <v:fill type="solid"/>
              </v:shape>
            </v:group>
            <w10:wrap type="none"/>
          </v:group>
        </w:pict>
      </w:r>
      <w:r>
        <w:rPr/>
        <w:pict>
          <v:group style="position:absolute;margin-left:554.210999pt;margin-top:278.100006pt;width:56.2pt;height:251.6pt;mso-position-horizontal-relative:page;mso-position-vertical-relative:page;z-index:-1222840" coordorigin="11084,5562" coordsize="1124,5032">
            <v:group style="position:absolute;left:11084;top:5562;width:1124;height:5032" coordorigin="11084,5562" coordsize="1124,5032">
              <v:shape style="position:absolute;left:11084;top:5562;width:1124;height:5032" coordorigin="11084,5562" coordsize="1124,5032" path="m11084,5562l11084,10594,12207,10594,12207,5562,11084,5562xe" filled="true" fillcolor="#ffffff" stroked="false">
                <v:path arrowok="t"/>
                <v:fill type="solid"/>
              </v:shape>
            </v:group>
            <v:group style="position:absolute;left:11107;top:7726;width:1078;height:353" coordorigin="11107,7726" coordsize="1078,353">
              <v:shape style="position:absolute;left:11107;top:7726;width:1078;height:353" coordorigin="11107,7726" coordsize="1078,353" path="m11107,7726l11107,8078,12185,8078,12185,7726,11107,7726xe" filled="true" fillcolor="#ffffff" stroked="false">
                <v:path arrowok="t"/>
                <v:fill type="solid"/>
              </v:shape>
            </v:group>
            <v:group style="position:absolute;left:11107;top:8078;width:1078;height:352" coordorigin="11107,8078" coordsize="1078,352">
              <v:shape style="position:absolute;left:11107;top:8078;width:1078;height:352" coordorigin="11107,8078" coordsize="1078,352" path="m11107,8078l11107,8430,12185,8430,12185,8078,11107,8078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1"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出异议后及时转让或终止该项业务。如新开普、迪科远望及</w:t>
            </w:r>
          </w:p>
        </w:tc>
        <w:tc>
          <w:tcPr>
            <w:tcW w:w="1134"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其下属企业进一步提出受让请求，本人及本人控制的其他公</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司将无条件按有证券从业资格的中介机构审计或评估的公允</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价格将上述业务和资产优先转让给新开普、迪科远望及其下</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属企业。</w:t>
            </w:r>
            <w:r>
              <w:rPr>
                <w:rFonts w:ascii="Times New Roman" w:hAnsi="Times New Roman" w:cs="Times New Roman" w:eastAsia="Times New Roman" w:hint="default"/>
                <w:sz w:val="18"/>
                <w:szCs w:val="18"/>
              </w:rPr>
              <w:t>4</w:t>
            </w:r>
            <w:r>
              <w:rPr>
                <w:rFonts w:ascii="宋体" w:hAnsi="宋体" w:cs="宋体" w:eastAsia="宋体" w:hint="default"/>
                <w:sz w:val="18"/>
                <w:szCs w:val="18"/>
              </w:rPr>
              <w:t>、本人确认本承诺函所载的每一项承诺均为可独立</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执行之承诺，任何一项承诺若被视为无效或终止将不影响其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他各项承诺的有效性。以上承诺自中国证券监督管理委员会</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核准新开普本次非公开发行股份并支付现金购买资产之日起</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正式生效，并将在本人在新开普、迪科远望及其下属企业任</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职期间以及本人自新开普、迪科远望及其下属企业离职之日</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个月内有效。如本人或本人控制的其他公司、企业或其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他经营实体违反上述声明与承诺，本人承诺将违反该承诺所</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得的收入全部归新开普、迪科远望所有，并向新开普及迪科</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远望承担相应的损害赔偿责任。</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本次交易的交易对方承诺：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、本人将诚信和善意履行作为新</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开普股东的义务，尽量避免和减少与新开普（包括其控制的</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企业，下同）之间的关联交易；对于无法避免或有合理原因</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而发生的关联交易，本人及本人控制的公司、企业或其他经</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营实体（包括本人全资、控股公司及本人具有实际控制权的</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公司、企业或其他经营实体，下同）将与新开普按照公平、</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1258"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3" w:right="110"/>
              <w:jc w:val="left"/>
              <w:rPr>
                <w:rFonts w:ascii="宋体" w:hAnsi="宋体" w:cs="宋体" w:eastAsia="宋体" w:hint="default"/>
                <w:sz w:val="18"/>
                <w:szCs w:val="18"/>
              </w:rPr>
            </w:pPr>
            <w:r>
              <w:rPr>
                <w:rFonts w:ascii="宋体" w:hAnsi="宋体" w:cs="宋体" w:eastAsia="宋体" w:hint="default"/>
                <w:sz w:val="18"/>
                <w:szCs w:val="18"/>
              </w:rPr>
              <w:t>公司发行股份及支付现金 购买资产的交易对方刘永 </w:t>
            </w:r>
            <w:r>
              <w:rPr>
                <w:rFonts w:ascii="宋体" w:hAnsi="宋体" w:cs="宋体" w:eastAsia="宋体" w:hint="default"/>
                <w:spacing w:val="-14"/>
                <w:sz w:val="18"/>
                <w:szCs w:val="18"/>
              </w:rPr>
              <w:t>春、丛伟滋、李洪、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白海清、黄暂度</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4"/>
              <w:jc w:val="both"/>
              <w:rPr>
                <w:rFonts w:ascii="宋体" w:hAnsi="宋体" w:cs="宋体" w:eastAsia="宋体" w:hint="default"/>
                <w:sz w:val="18"/>
                <w:szCs w:val="18"/>
              </w:rPr>
            </w:pPr>
            <w:r>
              <w:rPr>
                <w:rFonts w:ascii="宋体" w:hAnsi="宋体" w:cs="宋体" w:eastAsia="宋体" w:hint="default"/>
                <w:sz w:val="18"/>
                <w:szCs w:val="18"/>
              </w:rPr>
              <w:t>公允、等价有偿等原则依法签订规范的关联交易协议，并按 照有关法律、法规、规章、其他规范性文件、证券交易所规 则和新开普公司章程的规定履行相关审批程序，在公平合理 和正常商业交易的情况下进行交易，保证关联交易价格具有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公允性，并保证按照有关法律、法规、规章、其他规范性文</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件、证券交易所规则和新开普公司章程的规定履行相关信息</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披露义务；保证不利用关联交易非法转移新开普的资金、利</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润，不利用关联交易损害新开普及非关联股东的利益；保证</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不利用股东地位谋取不当利益或谋求与新开普达成交易的优</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先权利，</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r>
        <w:rPr/>
        <w:pict>
          <v:shape style="position:absolute;margin-left:530.089905pt;margin-top:356.100006pt;width:80.3pt;height:175.65pt;mso-position-horizontal-relative:page;mso-position-vertical-relative:page;z-index:-122281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冻结、</w:t>
                  </w:r>
                </w:p>
              </w:txbxContent>
            </v:textbox>
            <w10:wrap type="none"/>
          </v:shape>
        </w:pict>
      </w:r>
      <w:r>
        <w:rPr/>
        <w:pict>
          <v:group style="position:absolute;margin-left:554.210999pt;margin-top:356.100006pt;width:56.2pt;height:175.65pt;mso-position-horizontal-relative:page;mso-position-vertical-relative:page;z-index:-1222792" coordorigin="11084,7122" coordsize="1124,3513">
            <v:group style="position:absolute;left:11084;top:7122;width:1124;height:3513" coordorigin="11084,7122" coordsize="1124,3513">
              <v:shape style="position:absolute;left:11084;top:7122;width:1124;height:3513" coordorigin="11084,7122" coordsize="1124,3513" path="m11084,7122l11084,10634,12207,10634,12207,7122,11084,7122xe" filled="true" fillcolor="#ffffff" stroked="false">
                <v:path arrowok="t"/>
                <v:fill type="solid"/>
              </v:shape>
            </v:group>
            <v:group style="position:absolute;left:11107;top:8526;width:1078;height:352" coordorigin="11107,8526" coordsize="1078,352">
              <v:shape style="position:absolute;left:11107;top:8526;width:1078;height:352" coordorigin="11107,8526" coordsize="1078,352" path="m11107,8526l11107,8878,12185,8878,12185,8526,11107,8526xe" filled="true" fillcolor="#ffffff" stroked="false">
                <v:path arrowok="t"/>
                <v:fill type="solid"/>
              </v:shape>
            </v:group>
            <v:group style="position:absolute;left:11107;top:8878;width:1078;height:353" coordorigin="11107,8878" coordsize="1078,353">
              <v:shape style="position:absolute;left:11107;top:8878;width:1078;height:353" coordorigin="11107,8878" coordsize="1078,353" path="m11107,8878l11107,9230,12185,9230,12185,8878,11107,8878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6"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、本人承诺在新开普的股东大会对涉及本人及本人控制的公</w:t>
            </w:r>
          </w:p>
        </w:tc>
        <w:tc>
          <w:tcPr>
            <w:tcW w:w="1134"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司、企业或其他经营实体的有关关联交易事项进行表决时，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履行回避表决的义务。</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、本人承诺将不会要求和接受新开普</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给予的与其在任何一项市场公平交易中给予独立第三方的条</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件相比更为优惠的条件。</w:t>
            </w:r>
            <w:r>
              <w:rPr>
                <w:rFonts w:ascii="Times New Roman" w:hAnsi="Times New Roman" w:cs="Times New Roman" w:eastAsia="Times New Roman" w:hint="default"/>
                <w:sz w:val="18"/>
                <w:szCs w:val="18"/>
              </w:rPr>
              <w:t>4</w:t>
            </w:r>
            <w:r>
              <w:rPr>
                <w:rFonts w:ascii="宋体" w:hAnsi="宋体" w:cs="宋体" w:eastAsia="宋体" w:hint="default"/>
                <w:sz w:val="18"/>
                <w:szCs w:val="18"/>
              </w:rPr>
              <w:t>、杜绝本人及本人控制的公司、企</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业或其他经营实体以借款、代偿债务、代垫款项或其他方式</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占用新开普的资金、资产的行为。 </w:t>
            </w:r>
            <w:r>
              <w:rPr>
                <w:rFonts w:ascii="Times New Roman" w:hAnsi="Times New Roman" w:cs="Times New Roman" w:eastAsia="Times New Roman" w:hint="default"/>
                <w:sz w:val="18"/>
                <w:szCs w:val="18"/>
              </w:rPr>
              <w:t>5</w:t>
            </w:r>
            <w:r>
              <w:rPr>
                <w:rFonts w:ascii="宋体" w:hAnsi="宋体" w:cs="宋体" w:eastAsia="宋体" w:hint="default"/>
                <w:sz w:val="18"/>
                <w:szCs w:val="18"/>
              </w:rPr>
              <w:t>、任何情况下，不要求</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新开普向本人及本人的其他关联方提供任何形式的担保。</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本人保证将依照新开普公司章程的规定参加股东大会，平等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地行使股东权利并承担股东义务，不谋取不正当利益，不损</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害新开普及其他股东的合法权益。</w:t>
            </w:r>
            <w:r>
              <w:rPr>
                <w:rFonts w:ascii="Times New Roman" w:hAnsi="Times New Roman" w:cs="Times New Roman" w:eastAsia="Times New Roman" w:hint="default"/>
                <w:sz w:val="18"/>
                <w:szCs w:val="18"/>
              </w:rPr>
              <w:t>7</w:t>
            </w:r>
            <w:r>
              <w:rPr>
                <w:rFonts w:ascii="宋体" w:hAnsi="宋体" w:cs="宋体" w:eastAsia="宋体" w:hint="default"/>
                <w:sz w:val="18"/>
                <w:szCs w:val="18"/>
              </w:rPr>
              <w:t>、本人确认本承诺函所载</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的每一项承诺均为可独立执行之承诺，任何一项承诺若被视</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为无效或终止将不影响其他各项承诺的有效性。以上承诺与</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保证自中国证券监督管理委员会核准新开普本次非公开发行</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股份及支付现金购买资产之日起正式生效，并将在本人持有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新开普股票期间长期有效。如因本人或本人控制的公司、企</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业或其他经营实体违反上述承诺与保证而导致新开普及其他</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股东的权益受到损害的，则本人同意承担因此给新开普造成</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的一切损失。</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r>
        <w:trPr>
          <w:trHeight w:val="372"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74"/>
                <w:sz w:val="18"/>
                <w:szCs w:val="18"/>
              </w:rPr>
              <w:t>、</w:t>
            </w:r>
            <w:r>
              <w:rPr>
                <w:rFonts w:ascii="宋体" w:hAnsi="宋体" w:cs="宋体" w:eastAsia="宋体" w:hint="default"/>
                <w:sz w:val="18"/>
                <w:szCs w:val="18"/>
              </w:rPr>
              <w:t>本合伙企业财产份额</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各合伙人的出资不存在被质押、</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鉴于公司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年发行股份</w:t>
            </w:r>
          </w:p>
        </w:tc>
      </w:tr>
      <w:tr>
        <w:trPr>
          <w:trHeight w:val="30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司法查封或拍卖、托管、设定委托、信托、第三方权利、被</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88"/>
              <w:jc w:val="center"/>
              <w:rPr>
                <w:rFonts w:ascii="宋体" w:hAnsi="宋体" w:cs="宋体" w:eastAsia="宋体" w:hint="default"/>
                <w:sz w:val="18"/>
                <w:szCs w:val="18"/>
              </w:rPr>
            </w:pPr>
            <w:r>
              <w:rPr>
                <w:rFonts w:ascii="宋体" w:hAnsi="宋体" w:cs="宋体" w:eastAsia="宋体" w:hint="default"/>
                <w:sz w:val="18"/>
                <w:szCs w:val="18"/>
              </w:rPr>
              <w:t>及支付现金购买资产并募</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依法限制表决权的情形，不存在利益输送或其他权益安排，</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center"/>
              <w:rPr>
                <w:rFonts w:ascii="宋体" w:hAnsi="宋体" w:cs="宋体" w:eastAsia="宋体" w:hint="default"/>
                <w:sz w:val="18"/>
                <w:szCs w:val="18"/>
              </w:rPr>
            </w:pPr>
            <w:r>
              <w:rPr>
                <w:rFonts w:ascii="宋体" w:hAnsi="宋体" w:cs="宋体" w:eastAsia="宋体" w:hint="default"/>
                <w:sz w:val="18"/>
                <w:szCs w:val="18"/>
              </w:rPr>
              <w:t>集配套资金及关联交易已</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本合伙企业财产份额</w:t>
            </w:r>
            <w:r>
              <w:rPr>
                <w:rFonts w:ascii="Times New Roman" w:hAnsi="Times New Roman" w:cs="Times New Roman" w:eastAsia="Times New Roman" w:hint="default"/>
                <w:sz w:val="18"/>
                <w:szCs w:val="18"/>
              </w:rPr>
              <w:t>/</w:t>
            </w:r>
            <w:r>
              <w:rPr>
                <w:rFonts w:ascii="宋体" w:hAnsi="宋体" w:cs="宋体" w:eastAsia="宋体" w:hint="default"/>
                <w:sz w:val="18"/>
                <w:szCs w:val="18"/>
              </w:rPr>
              <w:t>各合伙人的出资不存在纠纷或潜在纠</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88"/>
              <w:jc w:val="center"/>
              <w:rPr>
                <w:rFonts w:ascii="宋体" w:hAnsi="宋体" w:cs="宋体" w:eastAsia="宋体" w:hint="default"/>
                <w:sz w:val="18"/>
                <w:szCs w:val="18"/>
              </w:rPr>
            </w:pPr>
            <w:r>
              <w:rPr>
                <w:rFonts w:ascii="宋体" w:hAnsi="宋体" w:cs="宋体" w:eastAsia="宋体" w:hint="default"/>
                <w:sz w:val="18"/>
                <w:szCs w:val="18"/>
              </w:rPr>
              <w:t>经实施完毕，原承诺内容</w:t>
            </w:r>
          </w:p>
        </w:tc>
      </w:tr>
      <w:tr>
        <w:trPr>
          <w:trHeight w:val="93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10"/>
              <w:jc w:val="both"/>
              <w:rPr>
                <w:rFonts w:ascii="宋体" w:hAnsi="宋体" w:cs="宋体" w:eastAsia="宋体" w:hint="default"/>
                <w:sz w:val="18"/>
                <w:szCs w:val="18"/>
              </w:rPr>
            </w:pPr>
            <w:r>
              <w:rPr>
                <w:rFonts w:ascii="宋体" w:hAnsi="宋体" w:cs="宋体" w:eastAsia="宋体" w:hint="default"/>
                <w:sz w:val="18"/>
                <w:szCs w:val="18"/>
              </w:rPr>
              <w:t>公司配套融资的认购对象 郑州佳辰企业管理咨询中 心（有限合伙）</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09" w:lineRule="auto"/>
              <w:ind w:left="22" w:right="21"/>
              <w:jc w:val="left"/>
              <w:rPr>
                <w:rFonts w:ascii="宋体" w:hAnsi="宋体" w:cs="宋体" w:eastAsia="宋体" w:hint="default"/>
                <w:sz w:val="18"/>
                <w:szCs w:val="18"/>
              </w:rPr>
            </w:pPr>
            <w:r>
              <w:rPr>
                <w:rFonts w:ascii="宋体" w:hAnsi="宋体" w:cs="宋体" w:eastAsia="宋体" w:hint="default"/>
                <w:sz w:val="18"/>
                <w:szCs w:val="18"/>
              </w:rPr>
              <w:t>纷；</w:t>
            </w:r>
            <w:r>
              <w:rPr>
                <w:rFonts w:ascii="Times New Roman" w:hAnsi="Times New Roman" w:cs="Times New Roman" w:eastAsia="Times New Roman" w:hint="default"/>
                <w:sz w:val="18"/>
                <w:szCs w:val="18"/>
              </w:rPr>
              <w:t>2</w:t>
            </w:r>
            <w:r>
              <w:rPr>
                <w:rFonts w:ascii="宋体" w:hAnsi="宋体" w:cs="宋体" w:eastAsia="宋体" w:hint="default"/>
                <w:sz w:val="18"/>
                <w:szCs w:val="18"/>
              </w:rPr>
              <w:t>、本次重大资产重组完成后，本合伙企业将持有新开普 的股份，本合伙企业未就该等股份设置任何质押、托管、委 托、信托、第三方权利、被依法限制表决权等情形，不存在</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309" w:lineRule="auto" w:before="20"/>
              <w:ind w:left="22" w:right="20"/>
              <w:jc w:val="left"/>
              <w:rPr>
                <w:rFonts w:ascii="宋体" w:hAnsi="宋体" w:cs="宋体" w:eastAsia="宋体" w:hint="default"/>
                <w:sz w:val="18"/>
                <w:szCs w:val="18"/>
              </w:rPr>
            </w:pPr>
            <w:r>
              <w:rPr>
                <w:rFonts w:ascii="Times New Roman" w:hAnsi="Times New Roman" w:cs="Times New Roman" w:eastAsia="Times New Roman" w:hint="default"/>
                <w:spacing w:val="-6"/>
                <w:w w:val="99"/>
                <w:sz w:val="18"/>
                <w:szCs w:val="18"/>
              </w:rPr>
              <w:t>"1</w:t>
            </w:r>
            <w:r>
              <w:rPr>
                <w:rFonts w:ascii="宋体" w:hAnsi="宋体" w:cs="宋体" w:eastAsia="宋体" w:hint="default"/>
                <w:spacing w:val="-6"/>
                <w:w w:val="99"/>
                <w:sz w:val="18"/>
                <w:szCs w:val="18"/>
              </w:rPr>
              <w:t>、本合伙企业为依法设立</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并有效存续的有限合伙企 </w:t>
            </w:r>
            <w:r>
              <w:rPr>
                <w:rFonts w:ascii="宋体" w:hAnsi="宋体" w:cs="宋体" w:eastAsia="宋体" w:hint="default"/>
                <w:spacing w:val="-8"/>
                <w:sz w:val="18"/>
                <w:szCs w:val="18"/>
              </w:rPr>
              <w:t>业，本合伙企业具有独立的</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代其他方持有的情形，不存在利益输送或其他权益安排，不</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主体资格</w:t>
            </w:r>
            <w:r>
              <w:rPr>
                <w:rFonts w:ascii="宋体" w:hAnsi="宋体" w:cs="宋体" w:eastAsia="宋体" w:hint="default"/>
                <w:spacing w:val="-90"/>
                <w:sz w:val="18"/>
                <w:szCs w:val="18"/>
              </w:rPr>
              <w:t>、</w:t>
            </w:r>
            <w:r>
              <w:rPr>
                <w:rFonts w:ascii="宋体" w:hAnsi="宋体" w:cs="宋体" w:eastAsia="宋体" w:hint="default"/>
                <w:sz w:val="18"/>
                <w:szCs w:val="18"/>
              </w:rPr>
              <w:t>独立对外承担法</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存在纠纷或潜在纠纷；</w:t>
            </w:r>
            <w:r>
              <w:rPr>
                <w:rFonts w:ascii="Times New Roman" w:hAnsi="Times New Roman" w:cs="Times New Roman" w:eastAsia="Times New Roman" w:hint="default"/>
                <w:sz w:val="18"/>
                <w:szCs w:val="18"/>
              </w:rPr>
              <w:t>3</w:t>
            </w:r>
            <w:r>
              <w:rPr>
                <w:rFonts w:ascii="宋体" w:hAnsi="宋体" w:cs="宋体" w:eastAsia="宋体" w:hint="default"/>
                <w:sz w:val="18"/>
                <w:szCs w:val="18"/>
              </w:rPr>
              <w:t>、本次重大资产重组完成后，本合伙</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律责任</w:t>
            </w:r>
            <w:r>
              <w:rPr>
                <w:rFonts w:ascii="宋体" w:hAnsi="宋体" w:cs="宋体" w:eastAsia="宋体" w:hint="default"/>
                <w:spacing w:val="-90"/>
                <w:sz w:val="18"/>
                <w:szCs w:val="18"/>
              </w:rPr>
              <w:t>。</w:t>
            </w:r>
            <w:r>
              <w:rPr>
                <w:rFonts w:ascii="宋体" w:hAnsi="宋体" w:cs="宋体" w:eastAsia="宋体" w:hint="default"/>
                <w:sz w:val="18"/>
                <w:szCs w:val="18"/>
              </w:rPr>
              <w:t>截至本承诺函出具</w:t>
            </w: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企业认购新开普为募集配套资金非公开发行股份的锁定期届</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本合伙企业不存在根据</w:t>
            </w:r>
          </w:p>
        </w:tc>
      </w:tr>
      <w:tr>
        <w:trPr>
          <w:trHeight w:val="347"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满前，本合伙企业的合伙人不退伙</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8"/>
                <w:sz w:val="18"/>
                <w:szCs w:val="18"/>
              </w:rPr>
              <w:t>有关法律、法规、规范性文</w:t>
            </w:r>
          </w:p>
        </w:tc>
      </w:tr>
    </w:tbl>
    <w:p>
      <w:pPr>
        <w:spacing w:after="0" w:line="240" w:lineRule="auto"/>
        <w:jc w:val="center"/>
        <w:rPr>
          <w:rFonts w:ascii="宋体" w:hAnsi="宋体" w:cs="宋体" w:eastAsia="宋体" w:hint="default"/>
          <w:sz w:val="18"/>
          <w:szCs w:val="18"/>
        </w:rPr>
        <w:sectPr>
          <w:pgSz w:w="16840" w:h="11910" w:orient="landscape"/>
          <w:pgMar w:header="867" w:footer="978" w:top="1060" w:bottom="1160" w:left="900" w:right="820"/>
        </w:sectPr>
      </w:pPr>
    </w:p>
    <w:p>
      <w:pPr>
        <w:spacing w:line="314" w:lineRule="auto" w:before="87"/>
        <w:ind w:left="12901" w:right="99" w:firstLine="0"/>
        <w:jc w:val="left"/>
        <w:rPr>
          <w:rFonts w:ascii="宋体" w:hAnsi="宋体" w:cs="宋体" w:eastAsia="宋体" w:hint="default"/>
          <w:sz w:val="18"/>
          <w:szCs w:val="18"/>
        </w:rPr>
      </w:pPr>
      <w:r>
        <w:rPr/>
        <w:pict>
          <v:group style="position:absolute;margin-left:50.210999pt;margin-top:55.259998pt;width:745.2pt;height:470.7pt;mso-position-horizontal-relative:page;mso-position-vertical-relative:page;z-index:-1222768" coordorigin="1004,1105" coordsize="14904,9414">
            <v:group style="position:absolute;left:1410;top:1112;width:14019;height:2" coordorigin="1410,1112" coordsize="14019,2">
              <v:shape style="position:absolute;left:1410;top:1112;width:14019;height:2" coordorigin="1410,1112" coordsize="14019,0" path="m1410,1112l15428,1112e" filled="false" stroked="true" strokeweight=".72pt" strokecolor="#000000">
                <v:path arrowok="t"/>
              </v:shape>
            </v:group>
            <v:group style="position:absolute;left:1019;top:1144;width:1834;height:9360" coordorigin="1019,1144" coordsize="1834,9360">
              <v:shape style="position:absolute;left:1019;top:1144;width:1834;height:9360" coordorigin="1019,1144" coordsize="1834,9360" path="m1019,1144l1019,10504,2852,10504,2852,1144,1019,1144xe" filled="true" fillcolor="#d3d3d3" stroked="false">
                <v:path arrowok="t"/>
                <v:fill type="solid"/>
              </v:shape>
            </v:group>
            <v:group style="position:absolute;left:1009;top:1139;width:14895;height:2" coordorigin="1009,1139" coordsize="14895,2">
              <v:shape style="position:absolute;left:1009;top:1139;width:14895;height:2" coordorigin="1009,1139" coordsize="14895,0" path="m1009,1139l15903,1139e" filled="false" stroked="true" strokeweight=".48pt" strokecolor="#000000">
                <v:path arrowok="t"/>
              </v:shape>
            </v:group>
            <v:group style="position:absolute;left:1014;top:1134;width:2;height:9381" coordorigin="1014,1134" coordsize="2,9381">
              <v:shape style="position:absolute;left:1014;top:1134;width:2;height:9381" coordorigin="1014,1134" coordsize="0,9381" path="m1014,1134l1014,10514e" filled="false" stroked="true" strokeweight=".48001pt" strokecolor="#000000">
                <v:path arrowok="t"/>
              </v:shape>
            </v:group>
            <v:group style="position:absolute;left:1009;top:10510;width:1845;height:2" coordorigin="1009,10510" coordsize="1845,2">
              <v:shape style="position:absolute;left:1009;top:10510;width:1845;height:2" coordorigin="1009,10510" coordsize="1845,0" path="m1009,10510l2853,10510e" filled="false" stroked="true" strokeweight=".47998pt" strokecolor="#000000">
                <v:path arrowok="t"/>
              </v:shape>
            </v:group>
            <v:group style="position:absolute;left:2858;top:1144;width:2;height:9371" coordorigin="2858,1144" coordsize="2,9371">
              <v:shape style="position:absolute;left:2858;top:1144;width:2;height:9371" coordorigin="2858,1144" coordsize="0,9371" path="m2858,1144l2858,10514e" filled="false" stroked="true" strokeweight=".48001pt" strokecolor="#000000">
                <v:path arrowok="t"/>
              </v:shape>
            </v:group>
            <v:group style="position:absolute;left:2863;top:10510;width:2116;height:2" coordorigin="2863,10510" coordsize="2116,2">
              <v:shape style="position:absolute;left:2863;top:10510;width:2116;height:2" coordorigin="2863,10510" coordsize="2116,0" path="m2863,10510l4979,10510e" filled="false" stroked="true" strokeweight=".47998pt" strokecolor="#000000">
                <v:path arrowok="t"/>
              </v:shape>
            </v:group>
            <v:group style="position:absolute;left:4983;top:1144;width:2;height:9371" coordorigin="4983,1144" coordsize="2,9371">
              <v:shape style="position:absolute;left:4983;top:1144;width:2;height:9371" coordorigin="4983,1144" coordsize="0,9371" path="m4983,1144l4983,10514e" filled="false" stroked="true" strokeweight=".48pt" strokecolor="#000000">
                <v:path arrowok="t"/>
              </v:shape>
            </v:group>
            <v:group style="position:absolute;left:4988;top:10510;width:1268;height:2" coordorigin="4988,10510" coordsize="1268,2">
              <v:shape style="position:absolute;left:4988;top:10510;width:1268;height:2" coordorigin="4988,10510" coordsize="1268,0" path="m4988,10510l6255,10510e" filled="false" stroked="true" strokeweight=".47998pt" strokecolor="#000000">
                <v:path arrowok="t"/>
              </v:shape>
            </v:group>
            <v:group style="position:absolute;left:6260;top:1144;width:2;height:9371" coordorigin="6260,1144" coordsize="2,9371">
              <v:shape style="position:absolute;left:6260;top:1144;width:2;height:9371" coordorigin="6260,1144" coordsize="0,9371" path="m6260,1144l6260,10514e" filled="false" stroked="true" strokeweight=".48001pt" strokecolor="#000000">
                <v:path arrowok="t"/>
              </v:shape>
            </v:group>
            <v:group style="position:absolute;left:6265;top:10510;width:4810;height:2" coordorigin="6265,10510" coordsize="4810,2">
              <v:shape style="position:absolute;left:6265;top:10510;width:4810;height:2" coordorigin="6265,10510" coordsize="4810,0" path="m6265,10510l11075,10510e" filled="false" stroked="true" strokeweight=".47998pt" strokecolor="#000000">
                <v:path arrowok="t"/>
              </v:shape>
            </v:group>
            <v:group style="position:absolute;left:11079;top:1144;width:2;height:9371" coordorigin="11079,1144" coordsize="2,9371">
              <v:shape style="position:absolute;left:11079;top:1144;width:2;height:9371" coordorigin="11079,1144" coordsize="0,9371" path="m11079,1144l11079,10514e" filled="false" stroked="true" strokeweight=".48004pt" strokecolor="#000000">
                <v:path arrowok="t"/>
              </v:shape>
            </v:group>
            <v:group style="position:absolute;left:11084;top:10510;width:1125;height:2" coordorigin="11084,10510" coordsize="1125,2">
              <v:shape style="position:absolute;left:11084;top:10510;width:1125;height:2" coordorigin="11084,10510" coordsize="1125,0" path="m11084,10510l12209,10510e" filled="false" stroked="true" strokeweight=".47998pt" strokecolor="#000000">
                <v:path arrowok="t"/>
              </v:shape>
            </v:group>
            <v:group style="position:absolute;left:12213;top:1144;width:2;height:9371" coordorigin="12213,1144" coordsize="2,9371">
              <v:shape style="position:absolute;left:12213;top:1144;width:2;height:9371" coordorigin="12213,1144" coordsize="0,9371" path="m12213,1144l12213,10514e" filled="false" stroked="true" strokeweight=".47998pt" strokecolor="#000000">
                <v:path arrowok="t"/>
              </v:shape>
            </v:group>
            <v:group style="position:absolute;left:12218;top:10510;width:1551;height:2" coordorigin="12218,10510" coordsize="1551,2">
              <v:shape style="position:absolute;left:12218;top:10510;width:1551;height:2" coordorigin="12218,10510" coordsize="1551,0" path="m12218,10510l13769,10510e" filled="false" stroked="true" strokeweight=".47998pt" strokecolor="#000000">
                <v:path arrowok="t"/>
              </v:shape>
            </v:group>
            <v:group style="position:absolute;left:13773;top:1144;width:2;height:9371" coordorigin="13773,1144" coordsize="2,9371">
              <v:shape style="position:absolute;left:13773;top:1144;width:2;height:9371" coordorigin="13773,1144" coordsize="0,9371" path="m13773,1144l13773,10514e" filled="false" stroked="true" strokeweight=".47998pt" strokecolor="#000000">
                <v:path arrowok="t"/>
              </v:shape>
            </v:group>
            <v:group style="position:absolute;left:13778;top:10510;width:2116;height:2" coordorigin="13778,10510" coordsize="2116,2">
              <v:shape style="position:absolute;left:13778;top:10510;width:2116;height:2" coordorigin="13778,10510" coordsize="2116,0" path="m13778,10510l15894,10510e" filled="false" stroked="true" strokeweight=".47998pt" strokecolor="#000000">
                <v:path arrowok="t"/>
              </v:shape>
            </v:group>
            <v:group style="position:absolute;left:15899;top:1134;width:2;height:9381" coordorigin="15899,1134" coordsize="2,9381">
              <v:shape style="position:absolute;left:15899;top:1134;width:2;height:9381" coordorigin="15899,1134" coordsize="0,9381" path="m15899,1134l15899,10514e" filled="false" stroked="true" strokeweight=".47998pt" strokecolor="#000000">
                <v:path arrowok="t"/>
              </v:shape>
            </v:group>
            <w10:wrap type="none"/>
          </v:group>
        </w:pict>
      </w:r>
      <w:r>
        <w:rPr>
          <w:rFonts w:ascii="宋体" w:hAnsi="宋体" w:cs="宋体" w:eastAsia="宋体" w:hint="default"/>
          <w:sz w:val="18"/>
          <w:szCs w:val="18"/>
        </w:rPr>
        <w:t>件及合伙协议的规定需要 </w:t>
      </w:r>
      <w:r>
        <w:rPr>
          <w:rFonts w:ascii="宋体" w:hAnsi="宋体" w:cs="宋体" w:eastAsia="宋体" w:hint="default"/>
          <w:spacing w:val="-8"/>
          <w:sz w:val="18"/>
          <w:szCs w:val="18"/>
        </w:rPr>
        <w:t>终止或解散之情形，不存在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因环境保护、知识产权、产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品质量、劳动安全、人身权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等原因产生的侵权之债；</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宋体" w:hAnsi="宋体" w:cs="宋体" w:eastAsia="宋体" w:hint="default"/>
          <w:sz w:val="18"/>
          <w:szCs w:val="18"/>
        </w:rPr>
        <w:t> 本合伙企业的合伙人均为 </w:t>
      </w:r>
      <w:r>
        <w:rPr>
          <w:rFonts w:ascii="宋体" w:hAnsi="宋体" w:cs="宋体" w:eastAsia="宋体" w:hint="default"/>
          <w:spacing w:val="-8"/>
          <w:sz w:val="18"/>
          <w:szCs w:val="18"/>
        </w:rPr>
        <w:t>新开普员工，其中杨维国为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新开普董事长兼总经理，付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秋生为新开普董事兼常务 </w:t>
      </w:r>
      <w:r>
        <w:rPr>
          <w:rFonts w:ascii="宋体" w:hAnsi="宋体" w:cs="宋体" w:eastAsia="宋体" w:hint="default"/>
          <w:spacing w:val="-8"/>
          <w:sz w:val="18"/>
          <w:szCs w:val="18"/>
        </w:rPr>
        <w:t>副总经理，尚卫国、赵利宾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为新开普董事兼副总经理， 刘恩臣为新开普监事会主 </w:t>
      </w:r>
      <w:r>
        <w:rPr>
          <w:rFonts w:ascii="宋体" w:hAnsi="宋体" w:cs="宋体" w:eastAsia="宋体" w:hint="default"/>
          <w:spacing w:val="-8"/>
          <w:sz w:val="18"/>
          <w:szCs w:val="18"/>
        </w:rPr>
        <w:t>席，华梦阳为新开普副总经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理兼董事会秘书、杜建平、 傅常顺为新开普副总经理， </w:t>
      </w:r>
      <w:r>
        <w:rPr>
          <w:rFonts w:ascii="宋体" w:hAnsi="宋体" w:cs="宋体" w:eastAsia="宋体" w:hint="default"/>
          <w:spacing w:val="-8"/>
          <w:sz w:val="18"/>
          <w:szCs w:val="18"/>
        </w:rPr>
        <w:t>郎金文、葛晓阁为新开普核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心人员；</w:t>
      </w:r>
      <w:r>
        <w:rPr>
          <w:rFonts w:ascii="Times New Roman" w:hAnsi="Times New Roman" w:cs="Times New Roman" w:eastAsia="Times New Roman" w:hint="default"/>
          <w:sz w:val="18"/>
          <w:szCs w:val="18"/>
        </w:rPr>
        <w:t>3</w:t>
      </w:r>
      <w:r>
        <w:rPr>
          <w:rFonts w:ascii="宋体" w:hAnsi="宋体" w:cs="宋体" w:eastAsia="宋体" w:hint="default"/>
          <w:sz w:val="18"/>
          <w:szCs w:val="18"/>
        </w:rPr>
        <w:t>、本合伙企业未 负有数额较大的到期未清 偿债务；</w:t>
      </w:r>
      <w:r>
        <w:rPr>
          <w:rFonts w:ascii="Times New Roman" w:hAnsi="Times New Roman" w:cs="Times New Roman" w:eastAsia="Times New Roman" w:hint="default"/>
          <w:sz w:val="18"/>
          <w:szCs w:val="18"/>
        </w:rPr>
        <w:t>4</w:t>
      </w:r>
      <w:r>
        <w:rPr>
          <w:rFonts w:ascii="宋体" w:hAnsi="宋体" w:cs="宋体" w:eastAsia="宋体" w:hint="default"/>
          <w:sz w:val="18"/>
          <w:szCs w:val="18"/>
        </w:rPr>
        <w:t>、本合伙企业及 </w:t>
      </w:r>
      <w:r>
        <w:rPr>
          <w:rFonts w:ascii="宋体" w:hAnsi="宋体" w:cs="宋体" w:eastAsia="宋体" w:hint="default"/>
          <w:spacing w:val="-8"/>
          <w:sz w:val="18"/>
          <w:szCs w:val="18"/>
        </w:rPr>
        <w:t>各合伙人、执行事务合伙人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委派代表、主要管理人员最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近五年未受过重大行政处 </w:t>
      </w:r>
      <w:r>
        <w:rPr>
          <w:rFonts w:ascii="宋体" w:hAnsi="宋体" w:cs="宋体" w:eastAsia="宋体" w:hint="default"/>
          <w:spacing w:val="-8"/>
          <w:sz w:val="18"/>
          <w:szCs w:val="18"/>
        </w:rPr>
        <w:t>罚、刑事处罚，亦未涉及与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经济纠纷有关的重大诉讼 </w:t>
      </w:r>
      <w:r>
        <w:rPr>
          <w:rFonts w:ascii="宋体" w:hAnsi="宋体" w:cs="宋体" w:eastAsia="宋体" w:hint="default"/>
          <w:spacing w:val="-8"/>
          <w:sz w:val="18"/>
          <w:szCs w:val="18"/>
        </w:rPr>
        <w:t>或仲裁，不存在尚未了结或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可以预见的重大诉讼、仲裁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及行政处罚案件，不存在被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中国证监会或证券交易所 采取监管措施的情形；</w:t>
      </w:r>
      <w:r>
        <w:rPr>
          <w:rFonts w:ascii="Times New Roman" w:hAnsi="Times New Roman" w:cs="Times New Roman" w:eastAsia="Times New Roman" w:hint="default"/>
          <w:sz w:val="18"/>
          <w:szCs w:val="18"/>
        </w:rPr>
        <w:t>5</w:t>
      </w:r>
      <w:r>
        <w:rPr>
          <w:rFonts w:ascii="宋体" w:hAnsi="宋体" w:cs="宋体" w:eastAsia="宋体" w:hint="default"/>
          <w:sz w:val="18"/>
          <w:szCs w:val="18"/>
        </w:rPr>
        <w:t>、 本合伙企业认购新开普股</w:t>
      </w:r>
    </w:p>
    <w:p>
      <w:pPr>
        <w:spacing w:after="0" w:line="314" w:lineRule="auto"/>
        <w:jc w:val="left"/>
        <w:rPr>
          <w:rFonts w:ascii="宋体" w:hAnsi="宋体" w:cs="宋体" w:eastAsia="宋体" w:hint="default"/>
          <w:sz w:val="18"/>
          <w:szCs w:val="18"/>
        </w:rPr>
        <w:sectPr>
          <w:pgSz w:w="16840" w:h="11910" w:orient="landscape"/>
          <w:pgMar w:header="867" w:footer="978" w:top="1060" w:bottom="1160" w:left="900" w:right="760"/>
        </w:sectPr>
      </w:pPr>
    </w:p>
    <w:p>
      <w:pPr>
        <w:spacing w:line="240" w:lineRule="auto" w:before="0"/>
        <w:rPr>
          <w:rFonts w:ascii="宋体" w:hAnsi="宋体" w:cs="宋体" w:eastAsia="宋体" w:hint="default"/>
          <w:sz w:val="20"/>
          <w:szCs w:val="20"/>
        </w:rPr>
      </w:pPr>
      <w:r>
        <w:rPr/>
        <w:pict>
          <v:shape style="position:absolute;margin-left:50.451pt;margin-top:55.259998pt;width:745pt;height:475pt;mso-position-horizontal-relative:page;mso-position-vertical-relative:page;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1"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212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份的资金来源真实合法</w:t>
                        </w:r>
                        <w:r>
                          <w:rPr>
                            <w:rFonts w:ascii="宋体" w:hAnsi="宋体" w:cs="宋体" w:eastAsia="宋体" w:hint="default"/>
                            <w:spacing w:val="-90"/>
                            <w:sz w:val="18"/>
                            <w:szCs w:val="18"/>
                          </w:rPr>
                          <w:t>、</w:t>
                        </w:r>
                        <w:r>
                          <w:rPr>
                            <w:rFonts w:ascii="宋体" w:hAnsi="宋体" w:cs="宋体" w:eastAsia="宋体" w:hint="default"/>
                            <w:sz w:val="18"/>
                            <w:szCs w:val="18"/>
                          </w:rPr>
                          <w:t>均</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为各合伙人以自有资金出</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90"/>
                            <w:sz w:val="18"/>
                            <w:szCs w:val="18"/>
                          </w:rPr>
                          <w:t>，</w:t>
                        </w:r>
                        <w:r>
                          <w:rPr>
                            <w:rFonts w:ascii="宋体" w:hAnsi="宋体" w:cs="宋体" w:eastAsia="宋体" w:hint="default"/>
                            <w:sz w:val="18"/>
                            <w:szCs w:val="18"/>
                          </w:rPr>
                          <w:t>不存在向第三方募集的</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w:t>
                        </w:r>
                        <w:r>
                          <w:rPr>
                            <w:rFonts w:ascii="宋体" w:hAnsi="宋体" w:cs="宋体" w:eastAsia="宋体" w:hint="default"/>
                            <w:spacing w:val="-90"/>
                            <w:sz w:val="18"/>
                            <w:szCs w:val="18"/>
                          </w:rPr>
                          <w:t>，</w:t>
                        </w:r>
                        <w:r>
                          <w:rPr>
                            <w:rFonts w:ascii="宋体" w:hAnsi="宋体" w:cs="宋体" w:eastAsia="宋体" w:hint="default"/>
                            <w:sz w:val="18"/>
                            <w:szCs w:val="18"/>
                          </w:rPr>
                          <w:t>不存在违法违规的情</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形、不存在被有关部门收</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缴、追索等法律风险；本合</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伙企业各合伙人认缴的出</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资将于本次重大资产重组</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经中国证券监督管理委员</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会核准后</w:t>
                        </w:r>
                        <w:r>
                          <w:rPr>
                            <w:rFonts w:ascii="宋体" w:hAnsi="宋体" w:cs="宋体" w:eastAsia="宋体" w:hint="default"/>
                            <w:spacing w:val="-90"/>
                            <w:sz w:val="18"/>
                            <w:szCs w:val="18"/>
                          </w:rPr>
                          <w:t>，</w:t>
                        </w:r>
                        <w:r>
                          <w:rPr>
                            <w:rFonts w:ascii="宋体" w:hAnsi="宋体" w:cs="宋体" w:eastAsia="宋体" w:hint="default"/>
                            <w:sz w:val="18"/>
                            <w:szCs w:val="18"/>
                          </w:rPr>
                          <w:t>向中国证券监督</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管理委员会报送募集配套</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资金部分的非公开发行方</w:t>
                        </w: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案前足额缴纳；</w:t>
                        </w:r>
                        <w:r>
                          <w:rPr>
                            <w:rFonts w:ascii="Times New Roman" w:hAnsi="Times New Roman" w:cs="Times New Roman" w:eastAsia="Times New Roman" w:hint="default"/>
                            <w:sz w:val="18"/>
                            <w:szCs w:val="18"/>
                          </w:rPr>
                          <w:t>9</w:t>
                        </w:r>
                        <w:r>
                          <w:rPr>
                            <w:rFonts w:ascii="宋体" w:hAnsi="宋体" w:cs="宋体" w:eastAsia="宋体" w:hint="default"/>
                            <w:sz w:val="18"/>
                            <w:szCs w:val="18"/>
                          </w:rPr>
                          <w:t>、本合伙</w:t>
                        </w: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企业认购新开普为募集配</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套资金非公开发行的股份</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不存在通过结构化资产管</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理产品参与认购的情形；</w:t>
                        </w: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pacing w:val="-90"/>
                            <w:sz w:val="18"/>
                            <w:szCs w:val="18"/>
                          </w:rPr>
                          <w:t>、</w:t>
                        </w:r>
                        <w:r>
                          <w:rPr>
                            <w:rFonts w:ascii="宋体" w:hAnsi="宋体" w:cs="宋体" w:eastAsia="宋体" w:hint="default"/>
                            <w:sz w:val="18"/>
                            <w:szCs w:val="18"/>
                          </w:rPr>
                          <w:t>本合伙企业不存在法律</w:t>
                        </w: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法规规定的不得认购上市</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公司非公开发行股份的情</w:t>
                        </w: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形。</w:t>
                        </w: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、本合伙企业设立的</w:t>
                        </w: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目的系为了认购新开普本</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次募集配套资金发行的股</w:t>
                        </w: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74"/>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等内容已经履行完毕</w:t>
                        </w:r>
                      </w:p>
                    </w:tc>
                  </w:tr>
                  <w:tr>
                    <w:trPr>
                      <w:trHeight w:val="308"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其余承诺内容由承诺方继</w:t>
                        </w: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续履行承诺。</w:t>
                        </w:r>
                      </w:p>
                    </w:tc>
                  </w:tr>
                  <w:tr>
                    <w:trPr>
                      <w:trHeight w:val="352"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、本人用于认购新开普本次募集配套资金非公开发行股份的</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鉴于公司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年发行股份</w:t>
                        </w:r>
                      </w:p>
                    </w:tc>
                  </w:tr>
                  <w:tr>
                    <w:trPr>
                      <w:trHeight w:val="628"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3" w:right="110"/>
                          <w:jc w:val="left"/>
                          <w:rPr>
                            <w:rFonts w:ascii="宋体" w:hAnsi="宋体" w:cs="宋体" w:eastAsia="宋体" w:hint="default"/>
                            <w:sz w:val="18"/>
                            <w:szCs w:val="18"/>
                          </w:rPr>
                        </w:pPr>
                        <w:r>
                          <w:rPr>
                            <w:rFonts w:ascii="宋体" w:hAnsi="宋体" w:cs="宋体" w:eastAsia="宋体" w:hint="default"/>
                            <w:sz w:val="18"/>
                            <w:szCs w:val="18"/>
                          </w:rPr>
                          <w:t>公司配套融资的认购对象 罗会军、柳楠、吴凤辉</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2" w:right="104"/>
                          <w:jc w:val="left"/>
                          <w:rPr>
                            <w:rFonts w:ascii="宋体" w:hAnsi="宋体" w:cs="宋体" w:eastAsia="宋体" w:hint="default"/>
                            <w:sz w:val="18"/>
                            <w:szCs w:val="18"/>
                          </w:rPr>
                        </w:pPr>
                        <w:r>
                          <w:rPr>
                            <w:rFonts w:ascii="宋体" w:hAnsi="宋体" w:cs="宋体" w:eastAsia="宋体" w:hint="default"/>
                            <w:sz w:val="18"/>
                            <w:szCs w:val="18"/>
                          </w:rPr>
                          <w:t>金来源为自有资金；本人前述认购资金将按照与新开普签署 的《股份认购协议》约定的时间及时、足额缴纳，否则本人</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2" w:right="110"/>
                          <w:jc w:val="left"/>
                          <w:rPr>
                            <w:rFonts w:ascii="宋体" w:hAnsi="宋体" w:cs="宋体" w:eastAsia="宋体" w:hint="default"/>
                            <w:sz w:val="18"/>
                            <w:szCs w:val="18"/>
                          </w:rPr>
                        </w:pPr>
                        <w:r>
                          <w:rPr>
                            <w:rFonts w:ascii="宋体" w:hAnsi="宋体" w:cs="宋体" w:eastAsia="宋体" w:hint="default"/>
                            <w:sz w:val="18"/>
                            <w:szCs w:val="18"/>
                          </w:rPr>
                          <w:t>及支付现金购买资产并募 集配套资金及关联交易已</w:t>
                        </w: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sz w:val="18"/>
                            <w:szCs w:val="18"/>
                          </w:rPr>
                          <w:t>将向新开普支付股份认购款总金额</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的违约金；本人资产状</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经实施完毕，原承诺内容</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44"/>
        <w:ind w:left="0" w:right="11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0" w:right="11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78" w:top="1060" w:bottom="1160" w:left="900" w:right="760"/>
        </w:sectPr>
      </w:pPr>
    </w:p>
    <w:p>
      <w:pPr>
        <w:spacing w:line="240" w:lineRule="auto" w:before="0"/>
        <w:rPr>
          <w:rFonts w:ascii="宋体" w:hAnsi="宋体" w:cs="宋体" w:eastAsia="宋体" w:hint="default"/>
          <w:sz w:val="20"/>
          <w:szCs w:val="20"/>
        </w:rPr>
      </w:pPr>
      <w:r>
        <w:rPr/>
        <w:pict>
          <v:shape style="position:absolute;margin-left:530.089905pt;margin-top:309.299988pt;width:80.3pt;height:160.050pt;mso-position-horizontal-relative:page;mso-position-vertical-relative:page;z-index:-12226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pict>
          <v:shape style="position:absolute;margin-left:50.451pt;margin-top:55.259998pt;width:745pt;height:479.5pt;mso-position-horizontal-relative:page;mso-position-vertical-relative:page;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6"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况良好，用于认购新开普本次募集配套资金非公开发行股份</w:t>
                        </w:r>
                      </w:p>
                    </w:tc>
                    <w:tc>
                      <w:tcPr>
                        <w:tcW w:w="1134"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212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w w:val="99"/>
                            <w:sz w:val="18"/>
                            <w:szCs w:val="18"/>
                          </w:rPr>
                          <w:t>1</w:t>
                        </w:r>
                        <w:r>
                          <w:rPr>
                            <w:rFonts w:ascii="宋体" w:hAnsi="宋体" w:cs="宋体" w:eastAsia="宋体" w:hint="default"/>
                            <w:spacing w:val="-74"/>
                            <w:sz w:val="18"/>
                            <w:szCs w:val="18"/>
                          </w:rPr>
                          <w:t>、</w:t>
                        </w:r>
                        <w:r>
                          <w:rPr>
                            <w:rFonts w:ascii="宋体" w:hAnsi="宋体" w:cs="宋体" w:eastAsia="宋体" w:hint="default"/>
                            <w:sz w:val="18"/>
                            <w:szCs w:val="18"/>
                          </w:rPr>
                          <w:t>本人未负有数额较大的</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的资金来源真实合法、不存在违法违规的情形、不存在被有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到期未清偿债务；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关部门收缴、追索等法律风险；</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未受过行政处</w:t>
                        </w:r>
                        <w:r>
                          <w:rPr>
                            <w:rFonts w:ascii="宋体" w:hAnsi="宋体" w:cs="宋体" w:eastAsia="宋体" w:hint="default"/>
                            <w:spacing w:val="-90"/>
                            <w:sz w:val="18"/>
                            <w:szCs w:val="18"/>
                          </w:rPr>
                          <w:t>罚</w:t>
                        </w:r>
                        <w:r>
                          <w:rPr>
                            <w:rFonts w:ascii="宋体" w:hAnsi="宋体" w:cs="宋体" w:eastAsia="宋体" w:hint="default"/>
                            <w:sz w:val="18"/>
                            <w:szCs w:val="18"/>
                          </w:rPr>
                          <w:t>（与证券市</w:t>
                        </w: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本人将直接持有新开普的股份，本人未就该等股份设置任何</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场明显无关的除外</w:t>
                        </w:r>
                        <w:r>
                          <w:rPr>
                            <w:rFonts w:ascii="宋体" w:hAnsi="宋体" w:cs="宋体" w:eastAsia="宋体" w:hint="default"/>
                            <w:spacing w:val="-90"/>
                            <w:sz w:val="18"/>
                            <w:szCs w:val="18"/>
                          </w:rPr>
                          <w:t>）</w:t>
                        </w:r>
                        <w:r>
                          <w:rPr>
                            <w:rFonts w:ascii="宋体" w:hAnsi="宋体" w:cs="宋体" w:eastAsia="宋体" w:hint="default"/>
                            <w:sz w:val="18"/>
                            <w:szCs w:val="18"/>
                          </w:rPr>
                          <w:t>、刑事</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质押、托管、委托、信托、第三方权利、被依法限制表决权</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处罚</w:t>
                        </w:r>
                        <w:r>
                          <w:rPr>
                            <w:rFonts w:ascii="宋体" w:hAnsi="宋体" w:cs="宋体" w:eastAsia="宋体" w:hint="default"/>
                            <w:spacing w:val="-90"/>
                            <w:sz w:val="18"/>
                            <w:szCs w:val="18"/>
                          </w:rPr>
                          <w:t>，</w:t>
                        </w:r>
                        <w:r>
                          <w:rPr>
                            <w:rFonts w:ascii="宋体" w:hAnsi="宋体" w:cs="宋体" w:eastAsia="宋体" w:hint="default"/>
                            <w:sz w:val="18"/>
                            <w:szCs w:val="18"/>
                          </w:rPr>
                          <w:t>未涉及与经济纠纷有</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等情形，不存在代其他方持有的情形，不存在利益输送或其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关的重大民事诉讼或仲裁</w:t>
                        </w: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他权益安排；</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、本人承诺遵守相关法律法规及监管部门规定</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不存在尚未了结的或可预</w:t>
                        </w: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的关于短线交易、内幕交易和高级管理人员持股变动管理规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见的重大诉讼</w:t>
                        </w:r>
                        <w:r>
                          <w:rPr>
                            <w:rFonts w:ascii="宋体" w:hAnsi="宋体" w:cs="宋体" w:eastAsia="宋体" w:hint="default"/>
                            <w:spacing w:val="-90"/>
                            <w:sz w:val="18"/>
                            <w:szCs w:val="18"/>
                          </w:rPr>
                          <w:t>、</w:t>
                        </w:r>
                        <w:r>
                          <w:rPr>
                            <w:rFonts w:ascii="宋体" w:hAnsi="宋体" w:cs="宋体" w:eastAsia="宋体" w:hint="default"/>
                            <w:sz w:val="18"/>
                            <w:szCs w:val="18"/>
                          </w:rPr>
                          <w:t>仲裁或行政</w:t>
                        </w: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则等的相关义务。</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处罚案件</w:t>
                        </w:r>
                        <w:r>
                          <w:rPr>
                            <w:rFonts w:ascii="宋体" w:hAnsi="宋体" w:cs="宋体" w:eastAsia="宋体" w:hint="default"/>
                            <w:spacing w:val="-90"/>
                            <w:sz w:val="18"/>
                            <w:szCs w:val="18"/>
                          </w:rPr>
                          <w:t>，</w:t>
                        </w:r>
                        <w:r>
                          <w:rPr>
                            <w:rFonts w:ascii="宋体" w:hAnsi="宋体" w:cs="宋体" w:eastAsia="宋体" w:hint="default"/>
                            <w:sz w:val="18"/>
                            <w:szCs w:val="18"/>
                          </w:rPr>
                          <w:t>不存在被中国证</w:t>
                        </w:r>
                      </w:p>
                    </w:tc>
                  </w:tr>
                  <w:tr>
                    <w:trPr>
                      <w:trHeight w:val="311"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监会或证券交易所采取监</w:t>
                        </w: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管措施的情形；</w:t>
                        </w:r>
                        <w:r>
                          <w:rPr>
                            <w:rFonts w:ascii="Times New Roman" w:hAnsi="Times New Roman" w:cs="Times New Roman" w:eastAsia="Times New Roman" w:hint="default"/>
                            <w:sz w:val="18"/>
                            <w:szCs w:val="18"/>
                          </w:rPr>
                          <w:t>6</w:t>
                        </w:r>
                        <w:r>
                          <w:rPr>
                            <w:rFonts w:ascii="宋体" w:hAnsi="宋体" w:cs="宋体" w:eastAsia="宋体" w:hint="default"/>
                            <w:sz w:val="18"/>
                            <w:szCs w:val="18"/>
                          </w:rPr>
                          <w:t>、本人不</w:t>
                        </w: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存在法律法规规定的不得</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认购上市公司非公开发行</w:t>
                        </w: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股份的情形。</w:t>
                        </w:r>
                        <w:r>
                          <w:rPr>
                            <w:rFonts w:ascii="Times New Roman" w:hAnsi="Times New Roman" w:cs="Times New Roman" w:eastAsia="Times New Roman" w:hint="default"/>
                            <w:sz w:val="18"/>
                            <w:szCs w:val="18"/>
                          </w:rPr>
                          <w:t>"</w:t>
                        </w:r>
                        <w:r>
                          <w:rPr>
                            <w:rFonts w:ascii="宋体" w:hAnsi="宋体" w:cs="宋体" w:eastAsia="宋体" w:hint="default"/>
                            <w:sz w:val="18"/>
                            <w:szCs w:val="18"/>
                          </w:rPr>
                          <w:t>等内容已经</w:t>
                        </w:r>
                      </w:p>
                    </w:tc>
                  </w:tr>
                  <w:tr>
                    <w:trPr>
                      <w:trHeight w:val="308"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履行完毕</w:t>
                        </w:r>
                        <w:r>
                          <w:rPr>
                            <w:rFonts w:ascii="宋体" w:hAnsi="宋体" w:cs="宋体" w:eastAsia="宋体" w:hint="default"/>
                            <w:spacing w:val="-90"/>
                            <w:sz w:val="18"/>
                            <w:szCs w:val="18"/>
                          </w:rPr>
                          <w:t>，</w:t>
                        </w:r>
                        <w:r>
                          <w:rPr>
                            <w:rFonts w:ascii="宋体" w:hAnsi="宋体" w:cs="宋体" w:eastAsia="宋体" w:hint="default"/>
                            <w:sz w:val="18"/>
                            <w:szCs w:val="18"/>
                          </w:rPr>
                          <w:t>其余承诺内容由</w:t>
                        </w: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承诺方继续履行承诺。</w:t>
                        </w: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根据立信会计师事务</w:t>
                        </w:r>
                        <w:r>
                          <w:rPr>
                            <w:rFonts w:ascii="宋体" w:hAnsi="宋体" w:cs="宋体" w:eastAsia="宋体" w:hint="default"/>
                            <w:spacing w:val="-90"/>
                            <w:sz w:val="18"/>
                            <w:szCs w:val="18"/>
                          </w:rPr>
                          <w:t>所</w:t>
                        </w:r>
                        <w:r>
                          <w:rPr>
                            <w:rFonts w:ascii="宋体" w:hAnsi="宋体" w:cs="宋体" w:eastAsia="宋体" w:hint="default"/>
                            <w:sz w:val="18"/>
                            <w:szCs w:val="18"/>
                          </w:rPr>
                          <w:t>（特</w:t>
                        </w:r>
                      </w:p>
                    </w:tc>
                  </w:tr>
                  <w:tr>
                    <w:trPr>
                      <w:trHeight w:val="31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殊普通合伙）</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w:t>
                        </w:r>
                      </w:p>
                    </w:tc>
                  </w:tr>
                  <w:tr>
                    <w:trPr>
                      <w:trHeight w:val="187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现金购买资产的交易对方 </w:t>
                        </w:r>
                        <w:r>
                          <w:rPr>
                            <w:rFonts w:ascii="宋体" w:hAnsi="宋体" w:cs="宋体" w:eastAsia="宋体" w:hint="default"/>
                            <w:spacing w:val="-8"/>
                            <w:sz w:val="18"/>
                            <w:szCs w:val="18"/>
                          </w:rPr>
                          <w:t>何伟、乔志刚、杨宏生、周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华、王建成、吴琼、上海君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略投资管理合伙企业（有限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合伙）</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23" w:right="161"/>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09" w:lineRule="auto"/>
                          <w:ind w:left="22" w:right="23"/>
                          <w:jc w:val="left"/>
                          <w:rPr>
                            <w:rFonts w:ascii="宋体" w:hAnsi="宋体" w:cs="宋体" w:eastAsia="宋体" w:hint="default"/>
                            <w:sz w:val="18"/>
                            <w:szCs w:val="18"/>
                          </w:rPr>
                        </w:pPr>
                        <w:r>
                          <w:rPr>
                            <w:rFonts w:ascii="宋体" w:hAnsi="宋体" w:cs="宋体" w:eastAsia="宋体" w:hint="default"/>
                            <w:sz w:val="18"/>
                            <w:szCs w:val="18"/>
                          </w:rPr>
                          <w:t>本次交易的交易对方承诺：上海树维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年度实 现的净利润（以当年经审计的扣除非经常性损益后归属于母 </w:t>
                        </w:r>
                        <w:r>
                          <w:rPr>
                            <w:rFonts w:ascii="宋体" w:hAnsi="宋体" w:cs="宋体" w:eastAsia="宋体" w:hint="default"/>
                            <w:spacing w:val="-6"/>
                            <w:sz w:val="18"/>
                            <w:szCs w:val="18"/>
                          </w:rPr>
                          <w:t>公司股东的净利润为准）分别不低于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如果实际净利润低于上述承诺净利润，交易对方将按照签署 的《现金购买资产协议》的相关规定进行补偿。</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年出具的审计报告，</w:t>
                        </w:r>
                      </w:p>
                      <w:p>
                        <w:pPr>
                          <w:pStyle w:val="TableParagraph"/>
                          <w:spacing w:line="309"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上海树维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年度实现扣 非后净利润为 </w:t>
                        </w:r>
                        <w:r>
                          <w:rPr>
                            <w:rFonts w:ascii="Times New Roman" w:hAnsi="Times New Roman" w:cs="Times New Roman" w:eastAsia="Times New Roman" w:hint="default"/>
                            <w:sz w:val="18"/>
                            <w:szCs w:val="18"/>
                          </w:rPr>
                          <w:t>10,276,760.11  </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实现扣非后净利润为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17,322,274.72  </w:t>
                        </w:r>
                        <w:r>
                          <w:rPr>
                            <w:rFonts w:ascii="宋体" w:hAnsi="宋体" w:cs="宋体" w:eastAsia="宋体" w:hint="default"/>
                            <w:sz w:val="18"/>
                            <w:szCs w:val="18"/>
                          </w:rPr>
                          <w:t>元 </w:t>
                        </w:r>
                        <w:r>
                          <w:rPr>
                            <w:rFonts w:ascii="宋体" w:hAnsi="宋体" w:cs="宋体" w:eastAsia="宋体" w:hint="default"/>
                            <w:spacing w:val="-12"/>
                            <w:sz w:val="18"/>
                            <w:szCs w:val="18"/>
                          </w:rPr>
                          <w:t>，相关承</w:t>
                        </w:r>
                      </w:p>
                    </w:tc>
                  </w:tr>
                  <w:tr>
                    <w:trPr>
                      <w:trHeight w:val="308"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诺人已实现业绩承诺</w:t>
                        </w:r>
                        <w:r>
                          <w:rPr>
                            <w:rFonts w:ascii="宋体" w:hAnsi="宋体" w:cs="宋体" w:eastAsia="宋体" w:hint="default"/>
                            <w:spacing w:val="-90"/>
                            <w:sz w:val="18"/>
                            <w:szCs w:val="18"/>
                          </w:rPr>
                          <w:t>，</w:t>
                        </w:r>
                        <w:r>
                          <w:rPr>
                            <w:rFonts w:ascii="宋体" w:hAnsi="宋体" w:cs="宋体" w:eastAsia="宋体" w:hint="default"/>
                            <w:sz w:val="18"/>
                            <w:szCs w:val="18"/>
                          </w:rPr>
                          <w:t>承诺</w:t>
                        </w: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29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现金购买资产的交易对方 </w:t>
                        </w:r>
                        <w:r>
                          <w:rPr>
                            <w:rFonts w:ascii="宋体" w:hAnsi="宋体" w:cs="宋体" w:eastAsia="宋体" w:hint="default"/>
                            <w:spacing w:val="-8"/>
                            <w:sz w:val="18"/>
                            <w:szCs w:val="18"/>
                          </w:rPr>
                          <w:t>何伟、乔志刚、杨宏生、周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华、王建成、吴琼、上海君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略投资管理合伙企业（有限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本次交易的交易对方承诺：</w:t>
                        </w:r>
                        <w:r>
                          <w:rPr>
                            <w:rFonts w:ascii="Times New Roman" w:hAnsi="Times New Roman" w:cs="Times New Roman" w:eastAsia="Times New Roman" w:hint="default"/>
                            <w:sz w:val="18"/>
                            <w:szCs w:val="18"/>
                          </w:rPr>
                          <w:t>1</w:t>
                        </w:r>
                        <w:r>
                          <w:rPr>
                            <w:rFonts w:ascii="宋体" w:hAnsi="宋体" w:cs="宋体" w:eastAsia="宋体" w:hint="default"/>
                            <w:sz w:val="18"/>
                            <w:szCs w:val="18"/>
                          </w:rPr>
                          <w:t>、于本协议签订之日，交易对方 对标的资产具有合法、完整的所有权，有权签署本协议并转 让标的资产，该等标的资产或与其相关的任何权利和利益， 不存在司法冻结或为任何其他第三方设定质押、抵押或其他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02" w:lineRule="auto"/>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r>
                          <w:rPr>
                            <w:rFonts w:ascii="宋体" w:hAnsi="宋体" w:cs="宋体" w:eastAsia="宋体" w:hint="default"/>
                            <w:sz w:val="18"/>
                            <w:szCs w:val="18"/>
                          </w:rPr>
                          <w:t>长期有效</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44"/>
        <w:ind w:left="0" w:right="118" w:firstLine="0"/>
        <w:jc w:val="right"/>
        <w:rPr>
          <w:rFonts w:ascii="宋体" w:hAnsi="宋体" w:cs="宋体" w:eastAsia="宋体" w:hint="default"/>
          <w:sz w:val="18"/>
          <w:szCs w:val="18"/>
        </w:rPr>
      </w:pPr>
      <w:r>
        <w:rPr/>
        <w:pict>
          <v:shape style="position:absolute;margin-left:449.030487pt;margin-top:-76.328285pt;width:161.35pt;height:251.65pt;mso-position-horizontal-relative:page;mso-position-vertical-relative:paragraph;z-index:-1222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本次重大资产重组完成后，</w:t>
                  </w:r>
                </w:p>
              </w:txbxContent>
            </v:textbox>
            <w10:wrap type="none"/>
          </v:shape>
        </w:pict>
      </w:r>
      <w:r>
        <w:rPr/>
        <w:pict>
          <v:group style="position:absolute;margin-left:554.210999pt;margin-top:-76.328285pt;width:56.2pt;height:412.15pt;mso-position-horizontal-relative:page;mso-position-vertical-relative:paragraph;z-index:2248" coordorigin="11084,-1527" coordsize="1124,8243">
            <v:group style="position:absolute;left:11084;top:-1527;width:1124;height:5033" coordorigin="11084,-1527" coordsize="1124,5033">
              <v:shape style="position:absolute;left:11084;top:-1527;width:1124;height:5033" coordorigin="11084,-1527" coordsize="1124,5033" path="m11084,-1527l11084,3506,12207,3506,12207,-1527,11084,-1527xe" filled="true" fillcolor="#ffffff" stroked="false">
                <v:path arrowok="t"/>
                <v:fill type="solid"/>
              </v:shape>
            </v:group>
            <v:group style="position:absolute;left:11084;top:3516;width:1124;height:3201" coordorigin="11084,3516" coordsize="1124,3201">
              <v:shape style="position:absolute;left:11084;top:3516;width:1124;height:3201" coordorigin="11084,3516" coordsize="1124,3201" path="m11084,3516l11084,6716,12207,6716,12207,3516,11084,3516xe" filled="true" fillcolor="#ffffff" stroked="false">
                <v:path arrowok="t"/>
                <v:fill type="solid"/>
              </v:shape>
            </v:group>
            <v:group style="position:absolute;left:11107;top:4764;width:1078;height:352" coordorigin="11107,4764" coordsize="1078,352">
              <v:shape style="position:absolute;left:11107;top:4764;width:1078;height:352" coordorigin="11107,4764" coordsize="1078,352" path="m11107,4764l11107,5115,12185,5115,12185,4764,11107,4764xe" filled="true" fillcolor="#ffffff" stroked="false">
                <v:path arrowok="t"/>
                <v:fill type="solid"/>
              </v:shape>
            </v:group>
            <v:group style="position:absolute;left:11107;top:5115;width:1078;height:353" coordorigin="11107,5115" coordsize="1078,353">
              <v:shape style="position:absolute;left:11107;top:5115;width:1078;height:353" coordorigin="11107,5115" coordsize="1078,353" path="m11107,5115l11107,5468,12185,5468,12185,5115,11107,5115xe" filled="true" fillcolor="#ffffff" stroked="false">
                <v:path arrowok="t"/>
                <v:fill type="solid"/>
              </v:shape>
            </v:group>
            <w10:wrap type="none"/>
          </v:group>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78" w:top="1060" w:bottom="1160" w:left="900" w:right="760"/>
        </w:sectPr>
      </w:pPr>
    </w:p>
    <w:p>
      <w:pPr>
        <w:spacing w:line="240" w:lineRule="auto" w:before="4"/>
        <w:rPr>
          <w:rFonts w:ascii="Times New Roman" w:hAnsi="Times New Roman" w:cs="Times New Roman" w:eastAsia="Times New Roman" w:hint="default"/>
          <w:sz w:val="3"/>
          <w:szCs w:val="3"/>
        </w:rPr>
      </w:pPr>
      <w:r>
        <w:rPr/>
        <w:pict>
          <v:shape style="position:absolute;margin-left:485.030518pt;margin-top:57.18pt;width:125.35pt;height:298.45pt;mso-position-horizontal-relative:page;mso-position-vertical-relative:page;z-index:-1222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或被施加以质押、</w:t>
                  </w:r>
                </w:p>
              </w:txbxContent>
            </v:textbox>
            <w10:wrap type="none"/>
          </v:shape>
        </w:pict>
      </w:r>
      <w:r>
        <w:rPr/>
        <w:pict>
          <v:shape style="position:absolute;margin-left:431.089905pt;margin-top:356.100006pt;width:179.3pt;height:173.6pt;mso-position-horizontal-relative:page;mso-position-vertical-relative:page;z-index:-122260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上海树维及其分公司依法设立，</w:t>
                  </w:r>
                </w:p>
              </w:txbxContent>
            </v:textbox>
            <w10:wrap type="none"/>
          </v:shape>
        </w:pict>
      </w:r>
      <w:r>
        <w:rPr/>
        <w:pict>
          <v:group style="position:absolute;margin-left:554.210999pt;margin-top:57.18pt;width:56.2pt;height:472.5pt;mso-position-horizontal-relative:page;mso-position-vertical-relative:page;z-index:-1222576" coordorigin="11084,1144" coordsize="1124,9450">
            <v:group style="position:absolute;left:11084;top:1144;width:1124;height:5969" coordorigin="11084,1144" coordsize="1124,5969">
              <v:shape style="position:absolute;left:11084;top:1144;width:1124;height:5969" coordorigin="11084,1144" coordsize="1124,5969" path="m11084,1144l11084,7112,12207,7112,12207,1144,11084,1144xe" filled="true" fillcolor="#ffffff" stroked="false">
                <v:path arrowok="t"/>
                <v:fill type="solid"/>
              </v:shape>
            </v:group>
            <v:group style="position:absolute;left:11084;top:7122;width:1124;height:3472" coordorigin="11084,7122" coordsize="1124,3472">
              <v:shape style="position:absolute;left:11084;top:7122;width:1124;height:3472" coordorigin="11084,7122" coordsize="1124,3472" path="m11084,7122l11084,10594,12207,10594,12207,7122,11084,7122xe" filled="true" fillcolor="#ffffff" stroked="false">
                <v:path arrowok="t"/>
                <v:fill type="solid"/>
              </v:shape>
            </v:group>
            <v:group style="position:absolute;left:11107;top:8506;width:1078;height:353" coordorigin="11107,8506" coordsize="1078,353">
              <v:shape style="position:absolute;left:11107;top:8506;width:1078;height:353" coordorigin="11107,8506" coordsize="1078,353" path="m11107,8506l11107,8858,12185,8858,12185,8506,11107,8506xe" filled="true" fillcolor="#ffffff" stroked="false">
                <v:path arrowok="t"/>
                <v:fill type="solid"/>
              </v:shape>
            </v:group>
            <v:group style="position:absolute;left:11107;top:8858;width:1078;height:352" coordorigin="11107,8858" coordsize="1078,352">
              <v:shape style="position:absolute;left:11107;top:8858;width:1078;height:352" coordorigin="11107,8858" coordsize="1078,352" path="m11107,8858l11107,9210,12185,9210,12185,8858,11107,8858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2"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承诺致使交易对方无法将本协议所述标的资产转让给新开普</w:t>
            </w:r>
          </w:p>
        </w:tc>
        <w:tc>
          <w:tcPr>
            <w:tcW w:w="1134"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11"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的限制情形；新开普于标的资产交割日将享有作为标的资产</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的所有者依法应享有的一切权利（包括但不限于依法占有、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使用</w:t>
            </w:r>
            <w:r>
              <w:rPr>
                <w:rFonts w:ascii="宋体" w:hAnsi="宋体" w:cs="宋体" w:eastAsia="宋体" w:hint="default"/>
                <w:spacing w:val="-4"/>
                <w:sz w:val="18"/>
                <w:szCs w:val="18"/>
              </w:rPr>
              <w:t>、</w:t>
            </w:r>
            <w:r>
              <w:rPr>
                <w:rFonts w:ascii="宋体" w:hAnsi="宋体" w:cs="宋体" w:eastAsia="宋体" w:hint="default"/>
                <w:sz w:val="18"/>
                <w:szCs w:val="18"/>
              </w:rPr>
              <w:t>收益和处分标的资产的权利</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标的资产并不会因中国</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法律或第三人的权利主张而被没收或扣押，</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抵押或其他任何形式的负担。</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、截至本协议签署日，交易对</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方对标的资产的权利的行使没有侵犯任何第三方的在先权</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利，并无任何第三方提出关于标的资产侵犯其合法权益的任</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何相关权利主张或要求。</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、截至本协议签署日，无任何第三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人就标的资产或其任何部分行使或声称将行使任何对标的资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产有不利影响的权利；亦无任何直接或间接与标的资产有关</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的争议、行政处罚、诉讼或仲裁。</w:t>
            </w:r>
            <w:r>
              <w:rPr>
                <w:rFonts w:ascii="Times New Roman" w:hAnsi="Times New Roman" w:cs="Times New Roman" w:eastAsia="Times New Roman" w:hint="default"/>
                <w:sz w:val="18"/>
                <w:szCs w:val="18"/>
              </w:rPr>
              <w:t>4</w:t>
            </w:r>
            <w:r>
              <w:rPr>
                <w:rFonts w:ascii="宋体" w:hAnsi="宋体" w:cs="宋体" w:eastAsia="宋体" w:hint="default"/>
                <w:sz w:val="18"/>
                <w:szCs w:val="18"/>
              </w:rPr>
              <w:t>、自本协议签署之日起，</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交易对方保证不会对标的资产进行再次出售、抵押、质押、</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托管或设置任何形式的权利负担或第三方权利（包括优先购</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买权或购股权等</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亦不就标的资产的转让</w:t>
            </w:r>
            <w:r>
              <w:rPr>
                <w:rFonts w:ascii="宋体" w:hAnsi="宋体" w:cs="宋体" w:eastAsia="宋体" w:hint="default"/>
                <w:spacing w:val="-2"/>
                <w:sz w:val="18"/>
                <w:szCs w:val="18"/>
              </w:rPr>
              <w:t>、</w:t>
            </w:r>
            <w:r>
              <w:rPr>
                <w:rFonts w:ascii="宋体" w:hAnsi="宋体" w:cs="宋体" w:eastAsia="宋体" w:hint="default"/>
                <w:sz w:val="18"/>
                <w:szCs w:val="18"/>
              </w:rPr>
              <w:t>抵押</w:t>
            </w:r>
            <w:r>
              <w:rPr>
                <w:rFonts w:ascii="宋体" w:hAnsi="宋体" w:cs="宋体" w:eastAsia="宋体" w:hint="default"/>
                <w:spacing w:val="-2"/>
                <w:sz w:val="18"/>
                <w:szCs w:val="18"/>
              </w:rPr>
              <w:t>、</w:t>
            </w:r>
            <w:r>
              <w:rPr>
                <w:rFonts w:ascii="宋体" w:hAnsi="宋体" w:cs="宋体" w:eastAsia="宋体" w:hint="default"/>
                <w:sz w:val="18"/>
                <w:szCs w:val="18"/>
              </w:rPr>
              <w:t>质</w:t>
            </w:r>
            <w:r>
              <w:rPr>
                <w:rFonts w:ascii="宋体" w:hAnsi="宋体" w:cs="宋体" w:eastAsia="宋体" w:hint="default"/>
                <w:spacing w:val="-2"/>
                <w:sz w:val="18"/>
                <w:szCs w:val="18"/>
              </w:rPr>
              <w:t>押、</w:t>
            </w:r>
            <w:r>
              <w:rPr>
                <w:rFonts w:ascii="宋体" w:hAnsi="宋体" w:cs="宋体" w:eastAsia="宋体" w:hint="default"/>
                <w:sz w:val="18"/>
                <w:szCs w:val="18"/>
              </w:rPr>
              <w:t>托</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管或设置任何形式的权利负担或第三方权利等事宜与其它任</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何第三方进行交易性接触，签订备忘录、合同书、谅解备忘</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录，或与标的资产转让相冲突、或包含禁止或限制标的资产</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转让条款的各种形式的法律文件。</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本次交易的交易对方承诺：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且自设立以来持续合法经营；上海树维及其分公司的注册资</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本均已由股东全额缴纳，上海树维及其分公司不存在出资不</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现金购买资产的交易对方</w:t>
            </w: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实或影响其合法存续的情形；上海树维及其分公司的历次出</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94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20"/>
              <w:jc w:val="both"/>
              <w:rPr>
                <w:rFonts w:ascii="宋体" w:hAnsi="宋体" w:cs="宋体" w:eastAsia="宋体" w:hint="default"/>
                <w:sz w:val="18"/>
                <w:szCs w:val="18"/>
              </w:rPr>
            </w:pPr>
            <w:r>
              <w:rPr>
                <w:rFonts w:ascii="宋体" w:hAnsi="宋体" w:cs="宋体" w:eastAsia="宋体" w:hint="default"/>
                <w:spacing w:val="-8"/>
                <w:sz w:val="18"/>
                <w:szCs w:val="18"/>
              </w:rPr>
              <w:t>何伟、乔志刚、杨宏生、周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华、王建成、吴琼、上海君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略投资管理合伙企业（有限</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54"/>
              <w:jc w:val="both"/>
              <w:rPr>
                <w:rFonts w:ascii="宋体" w:hAnsi="宋体" w:cs="宋体" w:eastAsia="宋体" w:hint="default"/>
                <w:sz w:val="18"/>
                <w:szCs w:val="18"/>
              </w:rPr>
            </w:pPr>
            <w:r>
              <w:rPr>
                <w:rFonts w:ascii="宋体" w:hAnsi="宋体" w:cs="宋体" w:eastAsia="宋体" w:hint="default"/>
                <w:sz w:val="18"/>
                <w:szCs w:val="18"/>
              </w:rPr>
              <w:t>资、股权转让及其他公司变更均已取得主管部门的批准和内 部决策机构的授权，并已完成法律、法规、其他规范性文件 或监管规则所要求的程序，合法有效，有关出资款或股权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02" w:lineRule="auto" w:before="157"/>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r>
        <w:trPr>
          <w:trHeight w:val="31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份转让款均按时、足额支付，资金来源合法，并依法办理了</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必要的批准、登记或备案程序，不存在任何虚假出资、抽逃</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出资等违反股东所应当承担的义务及责任的行为，不存在虚</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假转让、以合法形式掩盖非法目的等违法情况；上海树维及</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r>
        <w:rPr/>
        <w:pict>
          <v:shape style="position:absolute;margin-left:512.030518pt;margin-top:57.18pt;width:98.35pt;height:468pt;mso-position-horizontal-relative:page;mso-position-vertical-relative:page;z-index:-1222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优先认购、</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spacing w:before="0"/>
                    <w:ind w:left="360" w:right="0" w:firstLine="0"/>
                    <w:jc w:val="left"/>
                    <w:rPr>
                      <w:rFonts w:ascii="宋体" w:hAnsi="宋体" w:cs="宋体" w:eastAsia="宋体" w:hint="default"/>
                      <w:sz w:val="18"/>
                      <w:szCs w:val="18"/>
                    </w:rPr>
                  </w:pPr>
                  <w:r>
                    <w:rPr>
                      <w:rFonts w:ascii="宋体" w:hAnsi="宋体" w:cs="宋体" w:eastAsia="宋体" w:hint="default"/>
                      <w:sz w:val="18"/>
                      <w:szCs w:val="18"/>
                    </w:rPr>
                    <w:t>同意、</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1"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其分公司不存在依据有关法律规定及其章程需要终止的情</w:t>
            </w:r>
          </w:p>
        </w:tc>
        <w:tc>
          <w:tcPr>
            <w:tcW w:w="1134" w:type="dxa"/>
            <w:vMerge w:val="restart"/>
            <w:tcBorders>
              <w:top w:val="single" w:sz="15" w:space="0" w:color="000000"/>
              <w:left w:val="single" w:sz="4" w:space="0" w:color="000000"/>
              <w:right w:val="single" w:sz="4" w:space="0" w:color="000000"/>
            </w:tcBorders>
          </w:tcPr>
          <w:p>
            <w:pPr>
              <w:pStyle w:val="TableParagraph"/>
              <w:spacing w:line="93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6.2pt;height:468pt;mso-position-horizontal-relative:char;mso-position-vertical-relative:line" coordorigin="0,0" coordsize="1124,9360">
                  <v:group style="position:absolute;left:0;top:0;width:1124;height:9360" coordorigin="0,0" coordsize="1124,9360">
                    <v:shape style="position:absolute;left:0;top:0;width:1124;height:9360" coordorigin="0,0" coordsize="1124,9360" path="m0,0l0,9360,1123,9360,1123,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形；提供的关于上海树维及其分公司合法存续以及设立以来</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股权变动的相关资料及说明是真实、准确、完整的，没有任</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何隐瞒或重大误导。</w:t>
            </w:r>
            <w:r>
              <w:rPr>
                <w:rFonts w:ascii="Times New Roman" w:hAnsi="Times New Roman" w:cs="Times New Roman" w:eastAsia="Times New Roman" w:hint="default"/>
                <w:sz w:val="18"/>
                <w:szCs w:val="18"/>
              </w:rPr>
              <w:t>2</w:t>
            </w:r>
            <w:r>
              <w:rPr>
                <w:rFonts w:ascii="宋体" w:hAnsi="宋体" w:cs="宋体" w:eastAsia="宋体" w:hint="default"/>
                <w:sz w:val="18"/>
                <w:szCs w:val="18"/>
              </w:rPr>
              <w:t>、上海树维及其分公司不存在任何尚未</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审批（如需）或备案登记的股东或第三人向上海树维及其分</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公司投资（包括但不限于增资、股权转让）的合同、协议、</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相关文件或相关安排；除了法律法规明文赋予的权利且已向</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新开普披露的情形外，不存在任何约定上海树维及其分公司</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与其股东之间权利义务（包括但不限于优先购买、</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股权回售和赎回、优先清算、股权调整以及其他任何形式的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股权或现金补偿等）的合同、协议、相关文件或相关安排；</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上海树维及其分公司不存在其他任何如果实施、履行将导致</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股东股权清晰、稳定受到影响或存在重大不确定性的合同、</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协议、相关文件或相关安排。</w:t>
            </w:r>
            <w:r>
              <w:rPr>
                <w:rFonts w:ascii="Times New Roman" w:hAnsi="Times New Roman" w:cs="Times New Roman" w:eastAsia="Times New Roman" w:hint="default"/>
                <w:sz w:val="18"/>
                <w:szCs w:val="18"/>
              </w:rPr>
              <w:t>3</w:t>
            </w:r>
            <w:r>
              <w:rPr>
                <w:rFonts w:ascii="宋体" w:hAnsi="宋体" w:cs="宋体" w:eastAsia="宋体" w:hint="default"/>
                <w:sz w:val="18"/>
                <w:szCs w:val="18"/>
              </w:rPr>
              <w:t>、上海树维及其分公司已分别</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合法取得生产经营活动所需的全部证照、批准、批复、</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授权和许可，且现有业务所需的全部证照、批准、批复、同</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意、授权和许可均有效存在；上海树维及其分公司不存在任</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何违反或超出上述证照、批准、批复、同意、授权和许可要</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求的行为或者情形；上海树维及其分公司不存在任何尚未取</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得相关必备证照、批准、批复、同意、授权和许可而违规开</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展业务的情况。</w:t>
            </w:r>
            <w:r>
              <w:rPr>
                <w:rFonts w:ascii="Times New Roman" w:hAnsi="Times New Roman" w:cs="Times New Roman" w:eastAsia="Times New Roman" w:hint="default"/>
                <w:sz w:val="18"/>
                <w:szCs w:val="18"/>
              </w:rPr>
              <w:t>4</w:t>
            </w:r>
            <w:r>
              <w:rPr>
                <w:rFonts w:ascii="宋体" w:hAnsi="宋体" w:cs="宋体" w:eastAsia="宋体" w:hint="default"/>
                <w:sz w:val="18"/>
                <w:szCs w:val="18"/>
              </w:rPr>
              <w:t>、对新开普披露的上海树维及其分公司的对</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外投资情况是真实、准确、完整的，上海树维及其分公司没</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有在任何其他公司、企业及实体中持有股权、股份、股票、</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可转换公司债券等资本性权益。</w:t>
            </w:r>
            <w:r>
              <w:rPr>
                <w:rFonts w:ascii="Times New Roman" w:hAnsi="Times New Roman" w:cs="Times New Roman" w:eastAsia="Times New Roman" w:hint="default"/>
                <w:sz w:val="18"/>
                <w:szCs w:val="18"/>
              </w:rPr>
              <w:t>5</w:t>
            </w:r>
            <w:r>
              <w:rPr>
                <w:rFonts w:ascii="宋体" w:hAnsi="宋体" w:cs="宋体" w:eastAsia="宋体" w:hint="default"/>
                <w:sz w:val="18"/>
                <w:szCs w:val="18"/>
              </w:rPr>
              <w:t>、上海树维及其分公司拥有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其正常经营所需要的全部资产，包括但不限于固定资产、流</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动资金、知识产权等，该等资产均处于良好状态，具备正常</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的功能或适用性，不存在可能危及上海树维及其分公司正常</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经营的情形，且在可预见的将来不需要发生不合理的重大支</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w:t>
            </w:r>
            <w:r>
              <w:rPr>
                <w:rFonts w:ascii="Times New Roman" w:hAnsi="Times New Roman" w:cs="Times New Roman" w:eastAsia="Times New Roman" w:hint="default"/>
                <w:sz w:val="18"/>
                <w:szCs w:val="18"/>
              </w:rPr>
              <w:t>6</w:t>
            </w:r>
            <w:r>
              <w:rPr>
                <w:rFonts w:ascii="宋体" w:hAnsi="宋体" w:cs="宋体" w:eastAsia="宋体" w:hint="default"/>
                <w:sz w:val="18"/>
                <w:szCs w:val="18"/>
              </w:rPr>
              <w:t>、对于向新开普披露的属于上海树维及其分公司的任何</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资产，完全为上海树维及其分公司所合法拥有、管理、控制</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r>
        <w:rPr/>
        <w:pict>
          <v:shape style="position:absolute;margin-left:548.088989pt;margin-top:57.18pt;width:62.3pt;height:468pt;mso-position-horizontal-relative:page;mso-position-vertical-relative:page;z-index:-12224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1"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和经营，不存在任何权属瑕疵，不附带任何负债或其他潜在</w:t>
            </w:r>
          </w:p>
        </w:tc>
        <w:tc>
          <w:tcPr>
            <w:tcW w:w="1134" w:type="dxa"/>
            <w:vMerge w:val="restart"/>
            <w:tcBorders>
              <w:top w:val="single" w:sz="15" w:space="0" w:color="000000"/>
              <w:left w:val="single" w:sz="4" w:space="0" w:color="000000"/>
              <w:right w:val="single" w:sz="4" w:space="0" w:color="000000"/>
            </w:tcBorders>
          </w:tcPr>
          <w:p>
            <w:pPr>
              <w:pStyle w:val="TableParagraph"/>
              <w:spacing w:line="93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6.2pt;height:468pt;mso-position-horizontal-relative:char;mso-position-vertical-relative:line" coordorigin="0,0" coordsize="1124,9360">
                  <v:group style="position:absolute;left:0;top:0;width:1124;height:9360" coordorigin="0,0" coordsize="1124,9360">
                    <v:shape style="position:absolute;left:0;top:0;width:1124;height:9360" coordorigin="0,0" coordsize="1124,9360" path="m0,0l0,9360,1123,9360,1123,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责任，不存在侵犯任何第三方合法权益的情形，亦不存在任</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何针对上述资产的诉讼、仲裁或争议等；上述资产所需之批</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准文件、注册、登记和其他手续已全部取得或完成，并仍然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有效；该等资产上不存在任何抵押、质押或其它担保权利；</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该等资产不存在下列任何情况</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）任何对该等资产的信托</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或类似的安排，或（</w:t>
            </w:r>
            <w:r>
              <w:rPr>
                <w:rFonts w:ascii="Times New Roman" w:hAnsi="Times New Roman" w:cs="Times New Roman" w:eastAsia="Times New Roman" w:hint="default"/>
                <w:sz w:val="18"/>
                <w:szCs w:val="18"/>
              </w:rPr>
              <w:t>2</w:t>
            </w:r>
            <w:r>
              <w:rPr>
                <w:rFonts w:ascii="宋体" w:hAnsi="宋体" w:cs="宋体" w:eastAsia="宋体" w:hint="default"/>
                <w:sz w:val="18"/>
                <w:szCs w:val="18"/>
              </w:rPr>
              <w:t>）任何司法或行政部门对该等资产实施</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的查封、扣留、冻结或强制转让措施，或（</w:t>
            </w:r>
            <w:r>
              <w:rPr>
                <w:rFonts w:ascii="Times New Roman" w:hAnsi="Times New Roman" w:cs="Times New Roman" w:eastAsia="Times New Roman" w:hint="default"/>
                <w:sz w:val="18"/>
                <w:szCs w:val="18"/>
              </w:rPr>
              <w:t>3</w:t>
            </w:r>
            <w:r>
              <w:rPr>
                <w:rFonts w:ascii="宋体" w:hAnsi="宋体" w:cs="宋体" w:eastAsia="宋体" w:hint="default"/>
                <w:sz w:val="18"/>
                <w:szCs w:val="18"/>
              </w:rPr>
              <w:t>）任何可能影响</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到对该等资产享有权利和权益的情况，或可能致使任何第三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人直接或者间接获取任何该等资产的权利和权益的情况。</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上海树维及其分公司租赁的不动产属于依法可用于该项租赁</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之目的的不动产，且租赁合同合法有效，上海树维及其分公</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司有权按照租赁用途占有、使用该等租赁不动产。</w:t>
            </w:r>
            <w:r>
              <w:rPr>
                <w:rFonts w:ascii="Times New Roman" w:hAnsi="Times New Roman" w:cs="Times New Roman" w:eastAsia="Times New Roman" w:hint="default"/>
                <w:sz w:val="18"/>
                <w:szCs w:val="18"/>
              </w:rPr>
              <w:t>8</w:t>
            </w:r>
            <w:r>
              <w:rPr>
                <w:rFonts w:ascii="宋体" w:hAnsi="宋体" w:cs="宋体" w:eastAsia="宋体" w:hint="default"/>
                <w:sz w:val="18"/>
                <w:szCs w:val="18"/>
              </w:rPr>
              <w:t>、上海树</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维及其分公司对与其主营业务相关的知识产权合法取得、有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效拥有，未侵犯任何第三人合法权益的行为。</w:t>
            </w:r>
            <w:r>
              <w:rPr>
                <w:rFonts w:ascii="Times New Roman" w:hAnsi="Times New Roman" w:cs="Times New Roman" w:eastAsia="Times New Roman" w:hint="default"/>
                <w:sz w:val="18"/>
                <w:szCs w:val="18"/>
              </w:rPr>
              <w:t>9</w:t>
            </w:r>
            <w:r>
              <w:rPr>
                <w:rFonts w:ascii="宋体" w:hAnsi="宋体" w:cs="宋体" w:eastAsia="宋体" w:hint="default"/>
                <w:sz w:val="18"/>
                <w:szCs w:val="18"/>
              </w:rPr>
              <w:t>、上海树维及</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其分公司完全是依照《公司法》及有关法律法规经营、运作</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和管理的，不存在违反《公司法》及其他法律、法规的情况</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也不存在因违反《公司法》及其他法律法规而导致的行政责</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任、民事责任或其他责任。</w:t>
            </w:r>
            <w:r>
              <w:rPr>
                <w:rFonts w:ascii="Times New Roman" w:hAnsi="Times New Roman" w:cs="Times New Roman" w:eastAsia="Times New Roman" w:hint="default"/>
                <w:sz w:val="18"/>
                <w:szCs w:val="18"/>
              </w:rPr>
              <w:t>10</w:t>
            </w:r>
            <w:r>
              <w:rPr>
                <w:rFonts w:ascii="宋体" w:hAnsi="宋体" w:cs="宋体" w:eastAsia="宋体" w:hint="default"/>
                <w:sz w:val="18"/>
                <w:szCs w:val="18"/>
              </w:rPr>
              <w:t>、上海树维及其分公司向新开</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普提供的各项财务报表及账目反映了上海树维及其分公司在</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相关报表日的真实的业务状况，并且包括了应当予以记录之</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全部信息的完整、准确且无误导的记录内容；除上海树维及</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其分公司向新开普提供的各项财务报表及账目反映的情况</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外，上海树维及其分公司没有任何其他的未偿还贷款、应付</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帐款、其他应付款或其他形式的负债（包括对实际控制人的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没有无对价支出</w:t>
            </w:r>
            <w:r>
              <w:rPr>
                <w:rFonts w:ascii="宋体" w:hAnsi="宋体" w:cs="宋体" w:eastAsia="宋体" w:hint="default"/>
                <w:spacing w:val="-3"/>
                <w:sz w:val="18"/>
                <w:szCs w:val="18"/>
              </w:rPr>
              <w:t>、</w:t>
            </w:r>
            <w:r>
              <w:rPr>
                <w:rFonts w:ascii="宋体" w:hAnsi="宋体" w:cs="宋体" w:eastAsia="宋体" w:hint="default"/>
                <w:sz w:val="18"/>
                <w:szCs w:val="18"/>
              </w:rPr>
              <w:t>非公允性支出等</w:t>
            </w:r>
            <w:r>
              <w:rPr>
                <w:rFonts w:ascii="宋体" w:hAnsi="宋体" w:cs="宋体" w:eastAsia="宋体" w:hint="default"/>
                <w:spacing w:val="-3"/>
                <w:sz w:val="18"/>
                <w:szCs w:val="18"/>
              </w:rPr>
              <w:t>，</w:t>
            </w:r>
            <w:r>
              <w:rPr>
                <w:rFonts w:ascii="宋体" w:hAnsi="宋体" w:cs="宋体" w:eastAsia="宋体" w:hint="default"/>
                <w:sz w:val="18"/>
                <w:szCs w:val="18"/>
              </w:rPr>
              <w:t>没有任何其他的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对外担保或任何其他形式的保证责任</w:t>
            </w:r>
            <w:r>
              <w:rPr>
                <w:rFonts w:ascii="Times New Roman" w:hAnsi="Times New Roman" w:cs="Times New Roman" w:eastAsia="Times New Roman" w:hint="default"/>
                <w:sz w:val="18"/>
                <w:szCs w:val="18"/>
              </w:rPr>
              <w:t>(</w:t>
            </w:r>
            <w:r>
              <w:rPr>
                <w:rFonts w:ascii="宋体" w:hAnsi="宋体" w:cs="宋体" w:eastAsia="宋体" w:hint="default"/>
                <w:sz w:val="18"/>
                <w:szCs w:val="18"/>
              </w:rPr>
              <w:t>但日常经营中与客户签</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订的合同、协议、备忘等类似文件中的相关保证除外</w:t>
            </w:r>
            <w:r>
              <w:rPr>
                <w:rFonts w:ascii="Times New Roman" w:hAnsi="Times New Roman" w:cs="Times New Roman" w:eastAsia="Times New Roman" w:hint="default"/>
                <w:sz w:val="18"/>
                <w:szCs w:val="18"/>
              </w:rPr>
              <w:t>)</w:t>
            </w:r>
            <w:r>
              <w:rPr>
                <w:rFonts w:ascii="宋体" w:hAnsi="宋体" w:cs="宋体" w:eastAsia="宋体" w:hint="default"/>
                <w:sz w:val="18"/>
                <w:szCs w:val="18"/>
              </w:rPr>
              <w:t>；自评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估基准日至本协议签署日，上海树维及其分公司的财务或经</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营状况或前景均未曾发生任何重大不利变化，并且未曾发生</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r>
        <w:rPr/>
        <w:pict>
          <v:shape style="position:absolute;margin-left:476.031403pt;margin-top:57.18pt;width:134.35pt;height:468pt;mso-position-horizontal-relative:page;mso-position-vertical-relative:page;z-index:-12224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9"/>
                    <w:ind w:left="0" w:right="0" w:firstLine="0"/>
                    <w:jc w:val="left"/>
                    <w:rPr>
                      <w:rFonts w:ascii="宋体" w:hAnsi="宋体" w:cs="宋体" w:eastAsia="宋体" w:hint="default"/>
                      <w:sz w:val="18"/>
                      <w:szCs w:val="18"/>
                    </w:rPr>
                  </w:pPr>
                  <w:r>
                    <w:rPr>
                      <w:rFonts w:ascii="宋体" w:hAnsi="宋体" w:cs="宋体" w:eastAsia="宋体" w:hint="default"/>
                      <w:sz w:val="18"/>
                      <w:szCs w:val="18"/>
                    </w:rPr>
                    <w:t>该等合同均是真实、</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6"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可能引起任何该等变化的事件、事实或情况。</w:t>
            </w:r>
            <w:r>
              <w:rPr>
                <w:rFonts w:ascii="Times New Roman" w:hAnsi="Times New Roman" w:cs="Times New Roman" w:eastAsia="Times New Roman" w:hint="default"/>
                <w:sz w:val="18"/>
                <w:szCs w:val="18"/>
              </w:rPr>
              <w:t>11</w:t>
            </w:r>
            <w:r>
              <w:rPr>
                <w:rFonts w:ascii="宋体" w:hAnsi="宋体" w:cs="宋体" w:eastAsia="宋体" w:hint="default"/>
                <w:sz w:val="18"/>
                <w:szCs w:val="18"/>
              </w:rPr>
              <w:t>、上海树维</w:t>
            </w:r>
          </w:p>
        </w:tc>
        <w:tc>
          <w:tcPr>
            <w:tcW w:w="1134" w:type="dxa"/>
            <w:vMerge w:val="restart"/>
            <w:tcBorders>
              <w:top w:val="single" w:sz="15" w:space="0" w:color="000000"/>
              <w:left w:val="single" w:sz="4" w:space="0" w:color="000000"/>
              <w:right w:val="single" w:sz="4" w:space="0" w:color="000000"/>
            </w:tcBorders>
          </w:tcPr>
          <w:p>
            <w:pPr>
              <w:pStyle w:val="TableParagraph"/>
              <w:spacing w:line="93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6.2pt;height:468pt;mso-position-horizontal-relative:char;mso-position-vertical-relative:line" coordorigin="0,0" coordsize="1124,9360">
                  <v:group style="position:absolute;left:0;top:0;width:1124;height:9360" coordorigin="0,0" coordsize="1124,9360">
                    <v:shape style="position:absolute;left:0;top:0;width:1124;height:9360" coordorigin="0,0" coordsize="1124,9360" path="m0,0l0,9360,1123,9360,1123,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及其分公司主要财务制度、账册管理、凭证和发票使用以及</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税务申报、代扣代缴均符合中国财务会计和税务法律法规的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规定，不存在因拖欠税款、迟缴税款、逃税、骗税、漏税、</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未完全或适时履行代扣代缴义务或其他违反税收法律法规的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行为而被公开调查或处罚或可能被公开调查或处罚的情形；</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上海树维及其分公司亦不存在依据依国家及地方法律法规应</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交纳但尚未交纳或拖欠的各项费用、规费等，不存在可能被</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收回的政府补助；上海树维及其分公司不存在未依法缴纳的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税款，如上海树维及其分公司因在交割日前未按规定缴纳任</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何税款而于交割日后被要求补缴和</w:t>
            </w:r>
            <w:r>
              <w:rPr>
                <w:rFonts w:ascii="Times New Roman" w:hAnsi="Times New Roman" w:cs="Times New Roman" w:eastAsia="Times New Roman" w:hint="default"/>
                <w:sz w:val="18"/>
                <w:szCs w:val="18"/>
              </w:rPr>
              <w:t>/</w:t>
            </w:r>
            <w:r>
              <w:rPr>
                <w:rFonts w:ascii="宋体" w:hAnsi="宋体" w:cs="宋体" w:eastAsia="宋体" w:hint="default"/>
                <w:sz w:val="18"/>
                <w:szCs w:val="18"/>
              </w:rPr>
              <w:t>或承担其他法律责任，交</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易对方应就上海树维及其分公司的该等损失承担赔偿责任；</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如该等损失由上海树维及其分公司先行承担，交易对方应在</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上海树维及其分公司承担该等损失之日起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日内以除上海树</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维股权以外的其他合法财产对上海树维及其分公司承担全部</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补偿责任。</w:t>
            </w:r>
            <w:r>
              <w:rPr>
                <w:rFonts w:ascii="Times New Roman" w:hAnsi="Times New Roman" w:cs="Times New Roman" w:eastAsia="Times New Roman" w:hint="default"/>
                <w:sz w:val="18"/>
                <w:szCs w:val="18"/>
              </w:rPr>
              <w:t>12</w:t>
            </w:r>
            <w:r>
              <w:rPr>
                <w:rFonts w:ascii="宋体" w:hAnsi="宋体" w:cs="宋体" w:eastAsia="宋体" w:hint="default"/>
                <w:sz w:val="18"/>
                <w:szCs w:val="18"/>
              </w:rPr>
              <w:t>、截至本协议签署日，除了正常的业务合作之</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外，上海树维及其分公司没有与任何第三方开展任何合资、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合作及其他资本性交易等，或者通过口头或书面形式向第三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方作出的准备合资、合作或类似行动的实质性承诺；上海树</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维及其分公司目前不存在拟进行的资产置换、资产剥离、资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产出售或收购等重大资产变化情况。</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上海树维及其分公司</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已向新开普提交了所有重要的正在履行的业务合同、合作合</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同，重要的正在履行的知识产权开发、许可或转让合同，所</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有的正在履行的借款、担保、抵押合同；</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合法、有效的，并能得到有效执行。</w:t>
            </w:r>
            <w:r>
              <w:rPr>
                <w:rFonts w:ascii="Times New Roman" w:hAnsi="Times New Roman" w:cs="Times New Roman" w:eastAsia="Times New Roman" w:hint="default"/>
                <w:sz w:val="18"/>
                <w:szCs w:val="18"/>
              </w:rPr>
              <w:t>14</w:t>
            </w:r>
            <w:r>
              <w:rPr>
                <w:rFonts w:ascii="宋体" w:hAnsi="宋体" w:cs="宋体" w:eastAsia="宋体" w:hint="default"/>
                <w:sz w:val="18"/>
                <w:szCs w:val="18"/>
              </w:rPr>
              <w:t>、交易对方与上海树</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维及其分公司及其任何关联方（包括但不限于上海树维及其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分公司董事、监事、管理人员、股东及上述人士以任何方式</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控制的其他自然人或实体）之间不存在任何损害上海树维及</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其分公司利益的关联交易。除向新开普已披露的或新开普已</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知悉的外，交易对方及其关联方（包括但不限于关联方的董</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r>
        <w:rPr/>
        <w:pict>
          <v:shape style="position:absolute;margin-left:530.030518pt;margin-top:57.18pt;width:80.350pt;height:468pt;mso-position-horizontal-relative:page;mso-position-vertical-relative:page;z-index:-12223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相似、</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1"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事、监事、管理人员、股东及上述人士以任何方式控制的其</w:t>
            </w:r>
          </w:p>
        </w:tc>
        <w:tc>
          <w:tcPr>
            <w:tcW w:w="1134" w:type="dxa"/>
            <w:vMerge w:val="restart"/>
            <w:tcBorders>
              <w:top w:val="single" w:sz="15" w:space="0" w:color="000000"/>
              <w:left w:val="single" w:sz="4" w:space="0" w:color="000000"/>
              <w:right w:val="single" w:sz="4" w:space="0" w:color="000000"/>
            </w:tcBorders>
          </w:tcPr>
          <w:p>
            <w:pPr>
              <w:pStyle w:val="TableParagraph"/>
              <w:spacing w:line="93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6.2pt;height:468pt;mso-position-horizontal-relative:char;mso-position-vertical-relative:line" coordorigin="0,0" coordsize="1124,9360">
                  <v:group style="position:absolute;left:0;top:0;width:1124;height:9360" coordorigin="0,0" coordsize="1124,9360">
                    <v:shape style="position:absolute;left:0;top:0;width:1124;height:9360" coordorigin="0,0" coordsize="1124,9360" path="m0,0l0,9360,1123,9360,1123,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他自然人或实体）不存在以任何形式在任何地区从事或参与</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任何与上海树维及其分公司目前所实际经营业务相同、</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构成或可能构成直接或间接竞争关系的业务或活动。</w:t>
            </w:r>
            <w:r>
              <w:rPr>
                <w:rFonts w:ascii="Times New Roman" w:hAnsi="Times New Roman" w:cs="Times New Roman" w:eastAsia="Times New Roman" w:hint="default"/>
                <w:sz w:val="18"/>
                <w:szCs w:val="18"/>
              </w:rPr>
              <w:t>15</w:t>
            </w:r>
            <w:r>
              <w:rPr>
                <w:rFonts w:ascii="宋体" w:hAnsi="宋体" w:cs="宋体" w:eastAsia="宋体" w:hint="default"/>
                <w:sz w:val="18"/>
                <w:szCs w:val="18"/>
              </w:rPr>
              <w:t>、截</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至本协议签署日，上海树维及其分公司不存在任何可能对上</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海树维及其分公司业务及经营情况产生重大不利影响的情</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w:t>
            </w:r>
            <w:r>
              <w:rPr>
                <w:rFonts w:ascii="Times New Roman" w:hAnsi="Times New Roman" w:cs="Times New Roman" w:eastAsia="Times New Roman" w:hint="default"/>
                <w:sz w:val="18"/>
                <w:szCs w:val="18"/>
              </w:rPr>
              <w:t>16</w:t>
            </w:r>
            <w:r>
              <w:rPr>
                <w:rFonts w:ascii="宋体" w:hAnsi="宋体" w:cs="宋体" w:eastAsia="宋体" w:hint="default"/>
                <w:sz w:val="18"/>
                <w:szCs w:val="18"/>
              </w:rPr>
              <w:t>、上海树维及其分公司已及时与其在职员工依法签署</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了劳动合同；除上海树维及其分公司在本协议签署日前实际</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一直持续实施的常规性奖励方案或制度或已向新开普披露的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或新开普已知悉的外，上海树维及其分公司不存在（或拟采</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取）为其所有或任何董事、高级管理人员或其他雇员的任何</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股权激励方案、股权期权方案或利润分享、佣金或其他该等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奖励方案，经新开普书面同意的除外；如上海树维及其分公</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司因在交割日前未依法为员工缴纳社会保险费或住房公积金</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而在交割日后受到任何处罚、追索、索赔或受到任何损失（包</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括但不限于依法需为员工补缴的社会保险费、住房公积金及</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4"/>
              <w:jc w:val="left"/>
              <w:rPr>
                <w:rFonts w:ascii="宋体" w:hAnsi="宋体" w:cs="宋体" w:eastAsia="宋体" w:hint="default"/>
                <w:sz w:val="18"/>
                <w:szCs w:val="18"/>
              </w:rPr>
            </w:pPr>
            <w:r>
              <w:rPr>
                <w:rFonts w:ascii="宋体" w:hAnsi="宋体" w:cs="宋体" w:eastAsia="宋体" w:hint="default"/>
                <w:sz w:val="18"/>
                <w:szCs w:val="18"/>
              </w:rPr>
              <w:t>任何滞纳金、罚款、损害赔偿金和</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或承担其他法律责任等</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交易对方应就上海树维及其分公司的该等损失承担赔偿责</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任；如该等损失由上海树维及其分公司先行承担，交易对方</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应在上海树维及其分公司承担该等损失之日起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日内以除上</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海树维股权以外的其他合法财产对上海树维及其分公司承担</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全部补偿责任。</w:t>
            </w:r>
            <w:r>
              <w:rPr>
                <w:rFonts w:ascii="Times New Roman" w:hAnsi="Times New Roman" w:cs="Times New Roman" w:eastAsia="Times New Roman" w:hint="default"/>
                <w:sz w:val="18"/>
                <w:szCs w:val="18"/>
              </w:rPr>
              <w:t>17</w:t>
            </w:r>
            <w:r>
              <w:rPr>
                <w:rFonts w:ascii="宋体" w:hAnsi="宋体" w:cs="宋体" w:eastAsia="宋体" w:hint="default"/>
                <w:sz w:val="18"/>
                <w:szCs w:val="18"/>
              </w:rPr>
              <w:t>、上海树维及其分公司的经营活动符合相</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关法律法规的规定；上海树维及其分公司不存在严重违反工</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商、税务、海关、外汇、房产、土地使用和管理、环保、劳</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动及社会保障等方面法律法规和规范性文件的情形（前述所</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严重违反</w:t>
            </w:r>
            <w:r>
              <w:rPr>
                <w:rFonts w:ascii="Times New Roman" w:hAnsi="Times New Roman" w:cs="Times New Roman" w:eastAsia="Times New Roman" w:hint="default"/>
                <w:sz w:val="18"/>
                <w:szCs w:val="18"/>
              </w:rPr>
              <w:t>"</w:t>
            </w:r>
            <w:r>
              <w:rPr>
                <w:rFonts w:ascii="宋体" w:hAnsi="宋体" w:cs="宋体" w:eastAsia="宋体" w:hint="default"/>
                <w:sz w:val="18"/>
                <w:szCs w:val="18"/>
              </w:rPr>
              <w:t>是指依据前述相关法律法规或被主管部门认定</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重大违法</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，或违反前述法律法规和规范性文件的规定足以</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对上海树维及其分公司造成重大不利影响的情形</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除已向新</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开普书面披露的情形外，上海树维及其分公司不存在其他任</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何政府机关的行政处罚（包括但不限于工商、税务、海关、</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r>
        <w:rPr/>
        <w:pict>
          <v:shape style="position:absolute;margin-left:350.030487pt;margin-top:57.18pt;width:260.3500pt;height:468pt;mso-position-horizontal-relative:page;mso-position-vertical-relative:page;z-index:-1222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7"/>
                    <w:ind w:left="0" w:right="1064" w:firstLine="0"/>
                    <w:jc w:val="right"/>
                    <w:rPr>
                      <w:rFonts w:ascii="宋体" w:hAnsi="宋体" w:cs="宋体" w:eastAsia="宋体" w:hint="default"/>
                      <w:sz w:val="18"/>
                      <w:szCs w:val="18"/>
                    </w:rPr>
                  </w:pPr>
                  <w:r>
                    <w:rPr>
                      <w:rFonts w:ascii="宋体" w:hAnsi="宋体" w:cs="宋体" w:eastAsia="宋体" w:hint="default"/>
                      <w:sz w:val="18"/>
                      <w:szCs w:val="18"/>
                    </w:rPr>
                    <w:t>上海树维及其分公司不存在尚未了结的其所提起的、</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1063" w:firstLine="0"/>
                    <w:jc w:val="righ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1"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外汇、房产、土地使用和管理、环保、劳动及社会保障等方</w:t>
            </w:r>
          </w:p>
        </w:tc>
        <w:tc>
          <w:tcPr>
            <w:tcW w:w="1134" w:type="dxa"/>
            <w:vMerge w:val="restart"/>
            <w:tcBorders>
              <w:top w:val="single" w:sz="15" w:space="0" w:color="000000"/>
              <w:left w:val="single" w:sz="4" w:space="0" w:color="000000"/>
              <w:right w:val="single" w:sz="4" w:space="0" w:color="000000"/>
            </w:tcBorders>
          </w:tcPr>
          <w:p>
            <w:pPr>
              <w:pStyle w:val="TableParagraph"/>
              <w:spacing w:line="93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6.2pt;height:468pt;mso-position-horizontal-relative:char;mso-position-vertical-relative:line" coordorigin="0,0" coordsize="1124,9360">
                  <v:group style="position:absolute;left:0;top:0;width:1124;height:9360" coordorigin="0,0" coordsize="1124,9360">
                    <v:shape style="position:absolute;left:0;top:0;width:1124;height:9360" coordorigin="0,0" coordsize="1124,9360" path="m0,0l0,9360,1123,9360,1123,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面的行政处罚</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不存在任何正在进行的或将要发生的为一方</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（或以其财产或资产为标的）诉讼、仲裁、争议及索赔；自</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交割日起，若因上海树维及其分公司在交割日前的经营过程</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中存在违法违规情形、侵权行为或未能及时获得相关资质或</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许可的等原因而导致的一切民事、行政或刑事责任而直接或</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间接致使新开普遭受损失，交易对方将对新开普承担连带赔</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偿责任。</w:t>
            </w:r>
            <w:r>
              <w:rPr>
                <w:rFonts w:ascii="Times New Roman" w:hAnsi="Times New Roman" w:cs="Times New Roman" w:eastAsia="Times New Roman" w:hint="default"/>
                <w:sz w:val="18"/>
                <w:szCs w:val="18"/>
              </w:rPr>
              <w:t>18</w:t>
            </w:r>
            <w:r>
              <w:rPr>
                <w:rFonts w:ascii="宋体" w:hAnsi="宋体" w:cs="宋体" w:eastAsia="宋体" w:hint="default"/>
                <w:sz w:val="18"/>
                <w:szCs w:val="18"/>
              </w:rPr>
              <w:t>、上海树维及其分公司不存在由于违反任何劳动</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和社会保障方面的法律法规而受到任何政府机关的处罚的情</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或以上海树维及其分公司作为相对方的或与之相关的任何进</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行中的诉讼、仲裁、行政处罚、行政复议、申诉等法律程序</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且上海树维及其分公司不存在依照法院、仲裁机构或其他司</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法、行政部门作出的判决、裁决或决定应承担法律责任或义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务但尚未履行完毕的情况。</w:t>
            </w:r>
            <w:r>
              <w:rPr>
                <w:rFonts w:ascii="Times New Roman" w:hAnsi="Times New Roman" w:cs="Times New Roman" w:eastAsia="Times New Roman" w:hint="default"/>
                <w:sz w:val="18"/>
                <w:szCs w:val="18"/>
              </w:rPr>
              <w:t>20</w:t>
            </w:r>
            <w:r>
              <w:rPr>
                <w:rFonts w:ascii="宋体" w:hAnsi="宋体" w:cs="宋体" w:eastAsia="宋体" w:hint="default"/>
                <w:sz w:val="18"/>
                <w:szCs w:val="18"/>
              </w:rPr>
              <w:t>、交易对方已向新开普完全及</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正确披露了上海树维及其分公司截至本协议签署日的所有正</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在履行期限内的债务；交易对方及上海树维及其分公司不存</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在可能严重影响到按本协议项下条款和条件进行本次交易的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未清偿债务和法律责任；并且，在未获得新开普事先书面同</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意之前，交易对方及上海树维及其分公司将不会发生该等未</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清偿债务和法律责任。</w:t>
            </w:r>
            <w:r>
              <w:rPr>
                <w:rFonts w:ascii="Times New Roman" w:hAnsi="Times New Roman" w:cs="Times New Roman" w:eastAsia="Times New Roman" w:hint="default"/>
                <w:sz w:val="18"/>
                <w:szCs w:val="18"/>
              </w:rPr>
              <w:t>21</w:t>
            </w:r>
            <w:r>
              <w:rPr>
                <w:rFonts w:ascii="宋体" w:hAnsi="宋体" w:cs="宋体" w:eastAsia="宋体" w:hint="default"/>
                <w:sz w:val="18"/>
                <w:szCs w:val="18"/>
              </w:rPr>
              <w:t>、截至本协议签署日，上海树维及</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其分公司业务独立于控股股东、实际控制人及其控制的其他</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企业，与控股股东、实际控制人及其控制的其他企业间不存</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在同业竞争，以及严重影响上海树维及其分公司独立性或显</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失公允的关联交易。</w:t>
            </w:r>
            <w:r>
              <w:rPr>
                <w:rFonts w:ascii="Times New Roman" w:hAnsi="Times New Roman" w:cs="Times New Roman" w:eastAsia="Times New Roman" w:hint="default"/>
                <w:sz w:val="18"/>
                <w:szCs w:val="18"/>
              </w:rPr>
              <w:t>22</w:t>
            </w:r>
            <w:r>
              <w:rPr>
                <w:rFonts w:ascii="宋体" w:hAnsi="宋体" w:cs="宋体" w:eastAsia="宋体" w:hint="default"/>
                <w:sz w:val="18"/>
                <w:szCs w:val="18"/>
              </w:rPr>
              <w:t>、自本协议签署日起至交割日，上海</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树维及其分公司的财务、业务、生产和其他经营状况将不会</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发生实质性不利变化。</w:t>
            </w:r>
            <w:r>
              <w:rPr>
                <w:rFonts w:ascii="Times New Roman" w:hAnsi="Times New Roman" w:cs="Times New Roman" w:eastAsia="Times New Roman" w:hint="default"/>
                <w:sz w:val="18"/>
                <w:szCs w:val="18"/>
              </w:rPr>
              <w:t>23</w:t>
            </w:r>
            <w:r>
              <w:rPr>
                <w:rFonts w:ascii="宋体" w:hAnsi="宋体" w:cs="宋体" w:eastAsia="宋体" w:hint="default"/>
                <w:sz w:val="18"/>
                <w:szCs w:val="18"/>
              </w:rPr>
              <w:t>、上海树维及其分公司作为协议一</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方的任何重大协议、合同和法律文件均合法有效并对相关方</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具有约束力；上海树维及其分公司不存在会导致重大不利影</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响的违约行为，并且不存在可能导致任何此类违约的情形。</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6"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、上海树维及其分公司之董事、监事、高级管理人员不存</w:t>
            </w:r>
          </w:p>
        </w:tc>
        <w:tc>
          <w:tcPr>
            <w:tcW w:w="1134"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在任何违反法律、法规或规范性文件的行为，不存在任何影</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响上海树维及其分公司正常运营以及本协议项下交易的重大</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索赔、诉讼、仲裁、司法调查程序、行政调查或处罚。</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交易对方承诺并促使上海树维及其分公司自本协议签署之日</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起将不会从事任何对上海树维及其分公司的正常生产经营或</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本次交易具有实质性不利影响的行为。</w:t>
            </w:r>
            <w:r>
              <w:rPr>
                <w:rFonts w:ascii="Times New Roman" w:hAnsi="Times New Roman" w:cs="Times New Roman" w:eastAsia="Times New Roman" w:hint="default"/>
                <w:sz w:val="18"/>
                <w:szCs w:val="18"/>
              </w:rPr>
              <w:t>26</w:t>
            </w:r>
            <w:r>
              <w:rPr>
                <w:rFonts w:ascii="宋体" w:hAnsi="宋体" w:cs="宋体" w:eastAsia="宋体" w:hint="default"/>
                <w:sz w:val="18"/>
                <w:szCs w:val="18"/>
              </w:rPr>
              <w:t>、上海树维及其分</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公司不存在任何未向新开普披露的或有负债，且上海树维及</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其分公司没有为任何实体和自然人作出任何形式的担保或保</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证（日常交易中的保证除外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本次交易的交易对方承诺：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、本协议约定的内容并不违反上</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海树维及其分公司的章程或其他形式的文件或应适用于上海</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树维及其分公司及其股东的法律、法规和政府机关的行政命</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令，或其他任何上海树维及其分公司及其股东为其中一方订</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立的合同或法律文件。本协议约定的内容并不会解除任何第</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三方的义务或者授予其行使任何权利（包括任何终止权、优</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先取得权或其他选择权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、交易对方及上海树维及其分公</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3" w:right="20"/>
              <w:jc w:val="left"/>
              <w:rPr>
                <w:rFonts w:ascii="宋体" w:hAnsi="宋体" w:cs="宋体" w:eastAsia="宋体" w:hint="default"/>
                <w:sz w:val="18"/>
                <w:szCs w:val="18"/>
              </w:rPr>
            </w:pPr>
            <w:r>
              <w:rPr>
                <w:rFonts w:ascii="宋体" w:hAnsi="宋体" w:cs="宋体" w:eastAsia="宋体" w:hint="default"/>
                <w:sz w:val="18"/>
                <w:szCs w:val="18"/>
              </w:rPr>
              <w:t>现金购买资产的交易对方 </w:t>
            </w:r>
            <w:r>
              <w:rPr>
                <w:rFonts w:ascii="宋体" w:hAnsi="宋体" w:cs="宋体" w:eastAsia="宋体" w:hint="default"/>
                <w:spacing w:val="-8"/>
                <w:sz w:val="18"/>
                <w:szCs w:val="18"/>
              </w:rPr>
              <w:t>何伟、乔志刚、杨宏生、周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华、王建成、吴琼、上海君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略投资管理合伙企业（有限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合伙）</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3"/>
              <w:jc w:val="both"/>
              <w:rPr>
                <w:rFonts w:ascii="宋体" w:hAnsi="宋体" w:cs="宋体" w:eastAsia="宋体" w:hint="default"/>
                <w:sz w:val="18"/>
                <w:szCs w:val="18"/>
              </w:rPr>
            </w:pPr>
            <w:r>
              <w:rPr>
                <w:rFonts w:ascii="宋体" w:hAnsi="宋体" w:cs="宋体" w:eastAsia="宋体" w:hint="default"/>
                <w:sz w:val="18"/>
                <w:szCs w:val="18"/>
              </w:rPr>
              <w:t>司未从事或达成任何可能严重影响到依本协议项下条款和条 件所达成预期交易之合同、协议、文件或安排；如存在前述 合同、协议、文件或安排，交易对方承诺并保证相关合同、 协议、文件或安排已经被依法终止、解除或已经采取其他有 效措施以避免前述合同、协议、文件或安排影响本协议项下 条款和条件的达成。</w:t>
            </w:r>
            <w:r>
              <w:rPr>
                <w:rFonts w:ascii="Times New Roman" w:hAnsi="Times New Roman" w:cs="Times New Roman" w:eastAsia="Times New Roman" w:hint="default"/>
                <w:sz w:val="18"/>
                <w:szCs w:val="18"/>
              </w:rPr>
              <w:t>3</w:t>
            </w:r>
            <w:r>
              <w:rPr>
                <w:rFonts w:ascii="宋体" w:hAnsi="宋体" w:cs="宋体" w:eastAsia="宋体" w:hint="default"/>
                <w:sz w:val="18"/>
                <w:szCs w:val="18"/>
              </w:rPr>
              <w:t>、交易对方及上海树维及其分公司向新</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02" w:lineRule="auto"/>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开普及其聘请的中介机构提供的与本协议所述交易有关的所</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有文件、资料和信息是真实、准确、完整和有效的，不存在</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任何重大遗漏或误导，并已经向新开普披露了新开普于交割</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日后正常行使标的资产所有权所需的关于标的资产及上海树</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维及其分公司的信息，并未保留任何一经披露便会影响本协</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议签署、履行或新开普决策的信息；所有提交文件的复印件</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与其原件均是一致的；所有文件均由相关当事方合法授权、</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r>
        <w:rPr/>
        <w:pict>
          <v:shape style="position:absolute;margin-left:530.030518pt;margin-top:57.18pt;width:80.350pt;height:189.25pt;mso-position-horizontal-relative:page;mso-position-vertical-relative:page;z-index:-1222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声明、</w:t>
                  </w:r>
                </w:p>
              </w:txbxContent>
            </v:textbox>
            <w10:wrap type="none"/>
          </v:shape>
        </w:pict>
      </w:r>
      <w:r>
        <w:rPr/>
        <w:pict>
          <v:shape style="position:absolute;margin-left:413.030518pt;margin-top:246.899994pt;width:197.35pt;height:282.8pt;mso-position-horizontal-relative:page;mso-position-vertical-relative:page;z-index:-1222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不得在其他与新开普及其关联公司、</w:t>
                  </w:r>
                </w:p>
              </w:txbxContent>
            </v:textbox>
            <w10:wrap type="none"/>
          </v:shape>
        </w:pict>
      </w:r>
      <w:r>
        <w:rPr/>
        <w:pict>
          <v:group style="position:absolute;margin-left:554.210999pt;margin-top:57.18pt;width:56.2pt;height:472.5pt;mso-position-horizontal-relative:page;mso-position-vertical-relative:page;z-index:-1222264" coordorigin="11084,1144" coordsize="1124,9450">
            <v:group style="position:absolute;left:11084;top:1144;width:1124;height:3785" coordorigin="11084,1144" coordsize="1124,3785">
              <v:shape style="position:absolute;left:11084;top:1144;width:1124;height:3785" coordorigin="11084,1144" coordsize="1124,3785" path="m11084,1144l11084,4928,12207,4928,12207,1144,11084,1144xe" filled="true" fillcolor="#ffffff" stroked="false">
                <v:path arrowok="t"/>
                <v:fill type="solid"/>
              </v:shape>
            </v:group>
            <v:group style="position:absolute;left:11084;top:4938;width:1124;height:5656" coordorigin="11084,4938" coordsize="1124,5656">
              <v:shape style="position:absolute;left:11084;top:4938;width:1124;height:5656" coordorigin="11084,4938" coordsize="1124,5656" path="m11084,4938l11084,10594,12207,10594,12207,4938,11084,4938xe" filled="true" fillcolor="#ffffff" stroked="false">
                <v:path arrowok="t"/>
                <v:fill type="solid"/>
              </v:shape>
            </v:group>
            <v:group style="position:absolute;left:11107;top:7414;width:1078;height:353" coordorigin="11107,7414" coordsize="1078,353">
              <v:shape style="position:absolute;left:11107;top:7414;width:1078;height:353" coordorigin="11107,7414" coordsize="1078,353" path="m11107,7414l11107,7766,12185,7766,12185,7414,11107,7414xe" filled="true" fillcolor="#ffffff" stroked="false">
                <v:path arrowok="t"/>
                <v:fill type="solid"/>
              </v:shape>
            </v:group>
            <v:group style="position:absolute;left:11107;top:7766;width:1078;height:352" coordorigin="11107,7766" coordsize="1078,352">
              <v:shape style="position:absolute;left:11107;top:7766;width:1078;height:352" coordorigin="11107,7766" coordsize="1078,352" path="m11107,7766l11107,8118,12185,8118,12185,7766,11107,7766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1"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签署和递交且文件上的签字、印章均是真实的；交易对方及</w:t>
            </w:r>
          </w:p>
        </w:tc>
        <w:tc>
          <w:tcPr>
            <w:tcW w:w="1134"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上海树维及其分公司对新开普做出的有关事实的阐述、</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保证均为真实、准确、完整和可靠的。</w:t>
            </w:r>
            <w:r>
              <w:rPr>
                <w:rFonts w:ascii="Times New Roman" w:hAnsi="Times New Roman" w:cs="Times New Roman" w:eastAsia="Times New Roman" w:hint="default"/>
                <w:sz w:val="18"/>
                <w:szCs w:val="18"/>
              </w:rPr>
              <w:t>4</w:t>
            </w:r>
            <w:r>
              <w:rPr>
                <w:rFonts w:ascii="宋体" w:hAnsi="宋体" w:cs="宋体" w:eastAsia="宋体" w:hint="default"/>
                <w:sz w:val="18"/>
                <w:szCs w:val="18"/>
              </w:rPr>
              <w:t>、交易对方保证将切</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实履行本协议约定的其在过渡期内的各项义务和责任，并承</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担应当由其承担的相关税项和费用；</w:t>
            </w:r>
            <w:r>
              <w:rPr>
                <w:rFonts w:ascii="Times New Roman" w:hAnsi="Times New Roman" w:cs="Times New Roman" w:eastAsia="Times New Roman" w:hint="default"/>
                <w:sz w:val="18"/>
                <w:szCs w:val="18"/>
              </w:rPr>
              <w:t>5</w:t>
            </w:r>
            <w:r>
              <w:rPr>
                <w:rFonts w:ascii="宋体" w:hAnsi="宋体" w:cs="宋体" w:eastAsia="宋体" w:hint="default"/>
                <w:sz w:val="18"/>
                <w:szCs w:val="18"/>
              </w:rPr>
              <w:t>、交易对方保证承担并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促使上海树维及其分公司承担本协议约定的相关义务和责</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任，并在新开普提出与本协议所述交易事项有关的其他合理</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要求时给予必要的协助。</w:t>
            </w:r>
            <w:r>
              <w:rPr>
                <w:rFonts w:ascii="Times New Roman" w:hAnsi="Times New Roman" w:cs="Times New Roman" w:eastAsia="Times New Roman" w:hint="default"/>
                <w:sz w:val="18"/>
                <w:szCs w:val="18"/>
              </w:rPr>
              <w:t>6</w:t>
            </w:r>
            <w:r>
              <w:rPr>
                <w:rFonts w:ascii="宋体" w:hAnsi="宋体" w:cs="宋体" w:eastAsia="宋体" w:hint="default"/>
                <w:sz w:val="18"/>
                <w:szCs w:val="18"/>
              </w:rPr>
              <w:t>、交易对方保证不存在假借订立本</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协议进行恶意磋商或其他违背诚实信用原则的情形。</w:t>
            </w:r>
            <w:r>
              <w:rPr>
                <w:rFonts w:ascii="Times New Roman" w:hAnsi="Times New Roman" w:cs="Times New Roman" w:eastAsia="Times New Roman" w:hint="default"/>
                <w:sz w:val="18"/>
                <w:szCs w:val="18"/>
              </w:rPr>
              <w:t>7</w:t>
            </w:r>
            <w:r>
              <w:rPr>
                <w:rFonts w:ascii="宋体" w:hAnsi="宋体" w:cs="宋体" w:eastAsia="宋体" w:hint="default"/>
                <w:sz w:val="18"/>
                <w:szCs w:val="18"/>
              </w:rPr>
              <w:t>、截至</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本协议签署日，除已向各方披露的情形外，交易对方均不存</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在针对其自身任何可能影响其签署或履行本协议及本协议项</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下交易能力的诉讼、仲裁或行政处罚。</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、为保证上海树维持续发展和持续竞争优势，本人承诺，自</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本承诺函签署之日起至本次交易完成期间在上海树维或其下</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属公司任职，自本次交易完成之日起至少在上海树维或其下</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属公司任职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个月，且在上海树维或其下属公司任职期限内</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未经新开普同意，不得在新开普及其关联公司、上海树维及</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其下属公司以外的单位任职或担任任何形式的顾问（不包括</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担任董事职务</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或从事与新开普及其关联公司</w:t>
            </w:r>
            <w:r>
              <w:rPr>
                <w:rFonts w:ascii="宋体" w:hAnsi="宋体" w:cs="宋体" w:eastAsia="宋体" w:hint="default"/>
                <w:spacing w:val="-4"/>
                <w:sz w:val="18"/>
                <w:szCs w:val="18"/>
              </w:rPr>
              <w:t>、</w:t>
            </w:r>
            <w:r>
              <w:rPr>
                <w:rFonts w:ascii="宋体" w:hAnsi="宋体" w:cs="宋体" w:eastAsia="宋体" w:hint="default"/>
                <w:sz w:val="18"/>
                <w:szCs w:val="18"/>
              </w:rPr>
              <w:t>上海树维及</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1258"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10"/>
              <w:jc w:val="left"/>
              <w:rPr>
                <w:rFonts w:ascii="宋体" w:hAnsi="宋体" w:cs="宋体" w:eastAsia="宋体" w:hint="default"/>
                <w:sz w:val="18"/>
                <w:szCs w:val="18"/>
              </w:rPr>
            </w:pPr>
            <w:r>
              <w:rPr>
                <w:rFonts w:ascii="宋体" w:hAnsi="宋体" w:cs="宋体" w:eastAsia="宋体" w:hint="default"/>
                <w:sz w:val="18"/>
                <w:szCs w:val="18"/>
              </w:rPr>
              <w:t>现金购买资产的交易对方 何伟、杨宏生、王建成</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7"/>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占用方面的承</w:t>
            </w:r>
          </w:p>
          <w:p>
            <w:pPr>
              <w:pStyle w:val="TableParagraph"/>
              <w:spacing w:line="240" w:lineRule="auto" w:before="20"/>
              <w:ind w:left="23" w:right="0"/>
              <w:jc w:val="both"/>
              <w:rPr>
                <w:rFonts w:ascii="宋体" w:hAnsi="宋体" w:cs="宋体" w:eastAsia="宋体" w:hint="default"/>
                <w:sz w:val="18"/>
                <w:szCs w:val="18"/>
              </w:rPr>
            </w:pPr>
            <w:r>
              <w:rPr>
                <w:rFonts w:ascii="宋体" w:hAnsi="宋体" w:cs="宋体" w:eastAsia="宋体" w:hint="default"/>
                <w:sz w:val="18"/>
                <w:szCs w:val="18"/>
              </w:rPr>
              <w:t>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3"/>
              <w:jc w:val="left"/>
              <w:rPr>
                <w:rFonts w:ascii="宋体" w:hAnsi="宋体" w:cs="宋体" w:eastAsia="宋体" w:hint="default"/>
                <w:sz w:val="18"/>
                <w:szCs w:val="18"/>
              </w:rPr>
            </w:pPr>
            <w:r>
              <w:rPr>
                <w:rFonts w:ascii="宋体" w:hAnsi="宋体" w:cs="宋体" w:eastAsia="宋体" w:hint="default"/>
                <w:sz w:val="18"/>
                <w:szCs w:val="18"/>
              </w:rPr>
              <w:t>其下属公司相同或类似的业务或通过直接或间接控制的其他 经营主体从事该等业务， 上海树维及其下属公司有竞争关系的公司任职或担任任何形 </w:t>
            </w:r>
            <w:r>
              <w:rPr>
                <w:rFonts w:ascii="宋体" w:hAnsi="宋体" w:cs="宋体" w:eastAsia="宋体" w:hint="default"/>
                <w:spacing w:val="-4"/>
                <w:sz w:val="18"/>
                <w:szCs w:val="18"/>
              </w:rPr>
              <w:t>式的顾问（不包括担任董事职务），违反前述承诺将承担因此</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给新开普和上海树维造成的一切损失，但是，本人有权对与</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新开普无竞争关系的相关公司进行投资，且不构成对本承诺</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的违反。</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、本人承诺，自上海树维或其子公司离职后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月内不得在新开普及其关联公司以及、上海树维及其下属公</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司以外，从事主营业务与新开普及其关联公司、上海树维及</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其下属公司于离职时相同或类似的经营业务或通过直接或间</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接控制的其他经营主体从事该等业务；不在主营业务同新开</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1"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普及其关联公司、上海树维及其下属公司于离职时存在相同</w:t>
            </w:r>
          </w:p>
        </w:tc>
        <w:tc>
          <w:tcPr>
            <w:tcW w:w="1134"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或类似的经营业务的单位任职或者担任任何形式的顾问（不</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包括担任董事职务</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不以上海树维及其下属公司以外的名义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为上海树维及其下属公司现有及潜在客户提供与于离职时上</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海树维及其下属公司所从事的相同或类似的经营业务，违反</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前述承诺将承担因此给新开普和上海树维造成的一切损失。</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、本人承诺，严格遵守劳动合同的约定，尽责为上海树维提</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供相应的服务，并严格遵守新开普及上海树维的相关规章制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2"/>
                <w:sz w:val="18"/>
                <w:szCs w:val="18"/>
              </w:rPr>
              <w:t>、</w:t>
            </w:r>
            <w:r>
              <w:rPr>
                <w:rFonts w:ascii="宋体" w:hAnsi="宋体" w:cs="宋体" w:eastAsia="宋体" w:hint="default"/>
                <w:sz w:val="18"/>
                <w:szCs w:val="18"/>
              </w:rPr>
              <w:t>存在以下情形的</w:t>
            </w:r>
            <w:r>
              <w:rPr>
                <w:rFonts w:ascii="宋体" w:hAnsi="宋体" w:cs="宋体" w:eastAsia="宋体" w:hint="default"/>
                <w:spacing w:val="-2"/>
                <w:sz w:val="18"/>
                <w:szCs w:val="18"/>
              </w:rPr>
              <w:t>，</w:t>
            </w:r>
            <w:r>
              <w:rPr>
                <w:rFonts w:ascii="宋体" w:hAnsi="宋体" w:cs="宋体" w:eastAsia="宋体" w:hint="default"/>
                <w:sz w:val="18"/>
                <w:szCs w:val="18"/>
              </w:rPr>
              <w:t>不视为本人违反本承诺函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
                <w:sz w:val="18"/>
                <w:szCs w:val="18"/>
              </w:rPr>
              <w:t>）本</w:t>
            </w:r>
            <w:r>
              <w:rPr>
                <w:rFonts w:ascii="宋体" w:hAnsi="宋体" w:cs="宋体" w:eastAsia="宋体" w:hint="default"/>
                <w:sz w:val="18"/>
                <w:szCs w:val="18"/>
              </w:rPr>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人丧失或部分丧失民事行为能力、被宣告失踪、死亡或被宣</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告死亡而当然与新开普或上海树维及其下属公司终止劳动关</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系的</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）因新开普或上海树维及其下属公司自身原因主动</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解聘本人或者批准本人离职的，或因新开普或上海树维调动</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本人的工作城市、减少薪酬导致劳动关系终止的，不视为本</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人违反本承诺函约定的任职期限承诺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）新开普书面同意</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修改本承诺函约定的任职期限及竞业禁止承诺的。</w:t>
            </w:r>
            <w:r>
              <w:rPr>
                <w:rFonts w:ascii="Times New Roman" w:hAnsi="Times New Roman" w:cs="Times New Roman" w:eastAsia="Times New Roman" w:hint="default"/>
                <w:sz w:val="18"/>
                <w:szCs w:val="18"/>
              </w:rPr>
              <w:t>5</w:t>
            </w:r>
            <w:r>
              <w:rPr>
                <w:rFonts w:ascii="宋体" w:hAnsi="宋体" w:cs="宋体" w:eastAsia="宋体" w:hint="default"/>
                <w:sz w:val="18"/>
                <w:szCs w:val="18"/>
              </w:rPr>
              <w:t>、本人承</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诺，截至本承诺函签署日，在上海树维及其子公司任职不存</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在违反上海树维的任何规章制度、不存在与其他单位签署的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任何劳动合同的情形。</w:t>
            </w:r>
            <w:r>
              <w:rPr>
                <w:rFonts w:ascii="Times New Roman" w:hAnsi="Times New Roman" w:cs="Times New Roman" w:eastAsia="Times New Roman" w:hint="default"/>
                <w:sz w:val="18"/>
                <w:szCs w:val="18"/>
              </w:rPr>
              <w:t>6</w:t>
            </w:r>
            <w:r>
              <w:rPr>
                <w:rFonts w:ascii="宋体" w:hAnsi="宋体" w:cs="宋体" w:eastAsia="宋体" w:hint="default"/>
                <w:sz w:val="18"/>
                <w:szCs w:val="18"/>
              </w:rPr>
              <w:t>、自本承诺函签署之日起，如本人自</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上海树维或其下属企业单方离职的，本人应当向新开普支付</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违约金，应支付的违约金为：本人任职未满承诺任职期限（自</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本承诺函签署之日起至本次交易完成届满四十八个月的期间</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的差额）月度数量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本人离职前一年从上海树维或其下属公司</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取得的平均年收入（包括但不限工资、奖金、绩效等全部收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w:t>
            </w:r>
            <w:r>
              <w:rPr>
                <w:rFonts w:ascii="Times New Roman" w:hAnsi="Times New Roman" w:cs="Times New Roman" w:eastAsia="Times New Roman" w:hint="default"/>
                <w:sz w:val="18"/>
                <w:szCs w:val="18"/>
              </w:rPr>
              <w:t>÷12</w:t>
            </w:r>
            <w:r>
              <w:rPr>
                <w:rFonts w:ascii="宋体" w:hAnsi="宋体" w:cs="宋体" w:eastAsia="宋体" w:hint="default"/>
                <w:sz w:val="18"/>
                <w:szCs w:val="18"/>
              </w:rPr>
              <w:t>；同时，本人承诺本人或本人控制的其他公司、企业</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或其他经营实体因违反上述声明与承诺所得的收入全部归新</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开普、上海树维所有，并赔偿新开普及上海树维因此遭受的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全部损失。</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r>
        <w:trPr>
          <w:trHeight w:val="373"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现金购买资产的交易对方</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right="-17"/>
              <w:jc w:val="right"/>
              <w:rPr>
                <w:rFonts w:ascii="宋体" w:hAnsi="宋体" w:cs="宋体" w:eastAsia="宋体" w:hint="default"/>
                <w:sz w:val="18"/>
                <w:szCs w:val="18"/>
              </w:rPr>
            </w:pPr>
            <w:r>
              <w:rPr>
                <w:rFonts w:ascii="宋体" w:hAnsi="宋体" w:cs="宋体" w:eastAsia="宋体" w:hint="default"/>
                <w:sz w:val="18"/>
                <w:szCs w:val="18"/>
              </w:rPr>
              <w:t>关于同业竞争、</w:t>
            </w: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、自本承诺函签署日起五年内，本人不再从事主营业务（包</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2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截至报告期末</w:t>
            </w:r>
            <w:r>
              <w:rPr>
                <w:rFonts w:ascii="宋体" w:hAnsi="宋体" w:cs="宋体" w:eastAsia="宋体" w:hint="default"/>
                <w:spacing w:val="-90"/>
                <w:sz w:val="18"/>
                <w:szCs w:val="18"/>
              </w:rPr>
              <w:t>，</w:t>
            </w:r>
            <w:r>
              <w:rPr>
                <w:rFonts w:ascii="宋体" w:hAnsi="宋体" w:cs="宋体" w:eastAsia="宋体" w:hint="default"/>
                <w:sz w:val="18"/>
                <w:szCs w:val="18"/>
              </w:rPr>
              <w:t>上述承诺人</w:t>
            </w:r>
          </w:p>
        </w:tc>
      </w:tr>
      <w:tr>
        <w:trPr>
          <w:trHeight w:val="341"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乔志刚、吴琼</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hAnsi="宋体" w:cs="宋体" w:eastAsia="宋体" w:hint="default"/>
                <w:spacing w:val="-6"/>
                <w:sz w:val="18"/>
                <w:szCs w:val="18"/>
              </w:rPr>
              <w:t>关联交易、资金</w:t>
            </w: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括直接和间接）与上海树维在本协议签署日所从事业务（上</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2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严格信守承诺</w:t>
            </w:r>
            <w:r>
              <w:rPr>
                <w:rFonts w:ascii="宋体" w:hAnsi="宋体" w:cs="宋体" w:eastAsia="宋体" w:hint="default"/>
                <w:spacing w:val="-90"/>
                <w:sz w:val="18"/>
                <w:szCs w:val="18"/>
              </w:rPr>
              <w:t>，</w:t>
            </w:r>
            <w:r>
              <w:rPr>
                <w:rFonts w:ascii="宋体" w:hAnsi="宋体" w:cs="宋体" w:eastAsia="宋体" w:hint="default"/>
                <w:sz w:val="18"/>
                <w:szCs w:val="18"/>
              </w:rPr>
              <w:t>未发生违反</w:t>
            </w:r>
          </w:p>
        </w:tc>
      </w:tr>
    </w:tbl>
    <w:p>
      <w:pPr>
        <w:spacing w:after="0" w:line="240" w:lineRule="auto"/>
        <w:jc w:val="center"/>
        <w:rPr>
          <w:rFonts w:ascii="宋体" w:hAnsi="宋体" w:cs="宋体" w:eastAsia="宋体" w:hint="default"/>
          <w:sz w:val="18"/>
          <w:szCs w:val="18"/>
        </w:rPr>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r>
        <w:rPr/>
        <w:pict>
          <v:shape style="position:absolute;margin-left:144.290497pt;margin-top:298.200012pt;width:168.5pt;height:160.050pt;mso-position-horizontal-relative:page;mso-position-vertical-relative:page;z-index:-12222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316" w:lineRule="auto" w:before="108"/>
                    <w:ind w:left="0" w:right="1207" w:firstLine="0"/>
                    <w:jc w:val="left"/>
                    <w:rPr>
                      <w:rFonts w:ascii="宋体" w:hAnsi="宋体" w:cs="宋体" w:eastAsia="宋体" w:hint="default"/>
                      <w:sz w:val="18"/>
                      <w:szCs w:val="18"/>
                    </w:rPr>
                  </w:pPr>
                  <w:r>
                    <w:rPr>
                      <w:rFonts w:ascii="宋体" w:hAnsi="宋体" w:cs="宋体" w:eastAsia="宋体" w:hint="default"/>
                      <w:sz w:val="18"/>
                      <w:szCs w:val="18"/>
                    </w:rPr>
                    <w:t>杨维国、尚卫国、付秋生、 赵利宾、华梦阳、刘恩臣、</w:t>
                  </w:r>
                </w:p>
                <w:p>
                  <w:pPr>
                    <w:spacing w:before="20"/>
                    <w:ind w:left="1080" w:right="0" w:firstLine="0"/>
                    <w:jc w:val="left"/>
                    <w:rPr>
                      <w:rFonts w:ascii="宋体" w:hAnsi="宋体" w:cs="宋体" w:eastAsia="宋体" w:hint="default"/>
                      <w:sz w:val="18"/>
                      <w:szCs w:val="18"/>
                    </w:rPr>
                  </w:pPr>
                  <w:r>
                    <w:rPr>
                      <w:rFonts w:ascii="宋体" w:hAnsi="宋体" w:cs="宋体" w:eastAsia="宋体" w:hint="default"/>
                      <w:sz w:val="18"/>
                      <w:szCs w:val="18"/>
                    </w:rPr>
                    <w:t>自然人股东。</w:t>
                  </w:r>
                </w:p>
              </w:txbxContent>
            </v:textbox>
            <w10:wrap type="none"/>
          </v:shape>
        </w:pict>
      </w:r>
      <w:r>
        <w:rPr/>
        <w:pict>
          <v:group style="position:absolute;margin-left:249.410995pt;margin-top:298.200012pt;width:63.4pt;height:160.050pt;mso-position-horizontal-relative:page;mso-position-vertical-relative:page;z-index:-1222216" coordorigin="4988,5964" coordsize="1268,3201">
            <v:group style="position:absolute;left:4988;top:5964;width:1268;height:3201" coordorigin="4988,5964" coordsize="1268,3201">
              <v:shape style="position:absolute;left:4988;top:5964;width:1268;height:3201" coordorigin="4988,5964" coordsize="1268,3201" path="m4988,5964l4988,9164,6255,9164,6255,5964,4988,5964xe" filled="true" fillcolor="#ffffff" stroked="false">
                <v:path arrowok="t"/>
                <v:fill type="solid"/>
              </v:shape>
            </v:group>
            <v:group style="position:absolute;left:5012;top:7368;width:1220;height:393" coordorigin="5012,7368" coordsize="1220,393">
              <v:shape style="position:absolute;left:5012;top:7368;width:1220;height:393" coordorigin="5012,7368" coordsize="1220,393" path="m5012,7368l5012,7760,6231,7760,6231,7368,5012,7368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2"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占用方面的承</w:t>
            </w: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海树维在本协议签署日所从事的业务为：高校一卡通、高校</w:t>
            </w:r>
          </w:p>
        </w:tc>
        <w:tc>
          <w:tcPr>
            <w:tcW w:w="1134"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212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16"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数字化校园与教务管理系统软件及服务）相竞争的业务。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自本承诺函签署日起五年内，本人不得投资主营业务与竞争</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业务相同的企业、公司或其他组织（不包括二级市场购买股</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以上承诺均有效期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pacing w:val="-3"/>
                <w:sz w:val="18"/>
                <w:szCs w:val="18"/>
              </w:rPr>
              <w:t>，</w:t>
            </w:r>
            <w:r>
              <w:rPr>
                <w:rFonts w:ascii="宋体" w:hAnsi="宋体" w:cs="宋体" w:eastAsia="宋体" w:hint="default"/>
                <w:sz w:val="18"/>
                <w:szCs w:val="18"/>
              </w:rPr>
              <w:t>如违反上述承诺</w:t>
            </w:r>
            <w:r>
              <w:rPr>
                <w:rFonts w:ascii="宋体" w:hAnsi="宋体" w:cs="宋体" w:eastAsia="宋体" w:hint="default"/>
                <w:spacing w:val="-3"/>
                <w:sz w:val="18"/>
                <w:szCs w:val="18"/>
              </w:rPr>
              <w:t>，</w:t>
            </w:r>
            <w:r>
              <w:rPr>
                <w:rFonts w:ascii="宋体" w:hAnsi="宋体" w:cs="宋体" w:eastAsia="宋体" w:hint="default"/>
                <w:sz w:val="18"/>
                <w:szCs w:val="18"/>
              </w:rPr>
              <w:t>本人愿意赔</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偿新开普及其关联公司、上海树维及其下属企业所遭受的一</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切经济损失及因此而支出的额外费用并承担相应的法律责</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公司的所有募集资金将存放于专户管理，并用于公司主营业</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844" w:type="dxa"/>
            <w:tcBorders>
              <w:top w:val="nil" w:sz="6" w:space="0" w:color="auto"/>
              <w:left w:val="single" w:sz="4" w:space="0" w:color="000000"/>
              <w:bottom w:val="nil" w:sz="6" w:space="0" w:color="auto"/>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募集资金使用 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31"/>
              <w:jc w:val="left"/>
              <w:rPr>
                <w:rFonts w:ascii="宋体" w:hAnsi="宋体" w:cs="宋体" w:eastAsia="宋体" w:hint="default"/>
                <w:sz w:val="18"/>
                <w:szCs w:val="18"/>
              </w:rPr>
            </w:pPr>
            <w:r>
              <w:rPr>
                <w:rFonts w:ascii="宋体" w:hAnsi="宋体" w:cs="宋体" w:eastAsia="宋体" w:hint="default"/>
                <w:sz w:val="18"/>
                <w:szCs w:val="18"/>
              </w:rPr>
              <w:t>务。对于尚没有具体使用项目的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其他与主营业务相关的营运 资金</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，本公司最晚于募集资金到帐后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个月内，根据公司的 发展规划及实际生产经营需求，妥善安排该部分资金的使用 计划，提交董事会审议通过后及时披露。公司实际使用该部 分资金前，将履行相应的董事会或股东大会审议程序，并及</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截至报告期末，公司首次公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开发行募集资金已经使用 </w:t>
            </w:r>
            <w:r>
              <w:rPr>
                <w:rFonts w:ascii="宋体" w:hAnsi="宋体" w:cs="宋体" w:eastAsia="宋体" w:hint="default"/>
                <w:spacing w:val="-8"/>
                <w:sz w:val="18"/>
                <w:szCs w:val="18"/>
              </w:rPr>
              <w:t>完毕，未发生违反承诺的情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况。</w:t>
            </w:r>
          </w:p>
        </w:tc>
      </w:tr>
      <w:tr>
        <w:trPr>
          <w:trHeight w:val="357" w:hRule="exact"/>
        </w:trPr>
        <w:tc>
          <w:tcPr>
            <w:tcW w:w="1844" w:type="dxa"/>
            <w:tcBorders>
              <w:top w:val="nil" w:sz="6" w:space="0" w:color="auto"/>
              <w:left w:val="single" w:sz="4" w:space="0" w:color="000000"/>
              <w:bottom w:val="nil" w:sz="6" w:space="0" w:color="auto"/>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时披露。</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4" w:type="dxa"/>
            <w:tcBorders>
              <w:top w:val="nil" w:sz="6" w:space="0" w:color="auto"/>
              <w:left w:val="single" w:sz="4" w:space="0" w:color="000000"/>
              <w:bottom w:val="nil" w:sz="6" w:space="0" w:color="auto"/>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严格遵守《公司法》和深圳证券交易所关于上市公司董事、</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4" w:type="dxa"/>
            <w:tcBorders>
              <w:top w:val="nil" w:sz="6" w:space="0" w:color="auto"/>
              <w:left w:val="single" w:sz="4" w:space="0" w:color="000000"/>
              <w:bottom w:val="nil" w:sz="6" w:space="0" w:color="auto"/>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监事与高级管理人员买卖本公司股份行为的相关规定，在任</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8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王葆玲等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职期间每年转让的股份不超过本人所持有发行人股份总数的 百分之二十五；所持发行人股份自发行人股票上市交易之日 起十二个月内不得转让；在公司首次公开发行股票上市之日 起六个月内申报离职的，自申报离职之日起十八个月内不转 让本人直接持有的发行人股份；在公司首次公开发行股票上</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r>
        <w:trPr>
          <w:trHeight w:val="312" w:hRule="exact"/>
        </w:trPr>
        <w:tc>
          <w:tcPr>
            <w:tcW w:w="1844" w:type="dxa"/>
            <w:tcBorders>
              <w:top w:val="nil" w:sz="6" w:space="0" w:color="auto"/>
              <w:left w:val="single" w:sz="4" w:space="0" w:color="000000"/>
              <w:bottom w:val="nil" w:sz="6" w:space="0" w:color="auto"/>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市之日起第七个月至第十二个月之间申报离职的，自申报离</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4" w:type="dxa"/>
            <w:tcBorders>
              <w:top w:val="nil" w:sz="6" w:space="0" w:color="auto"/>
              <w:left w:val="single" w:sz="4" w:space="0" w:color="000000"/>
              <w:bottom w:val="nil" w:sz="6" w:space="0" w:color="auto"/>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职之日起十二个月内不转让本人直接持有的发行人股份；在</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4" w:type="dxa"/>
            <w:tcBorders>
              <w:top w:val="nil" w:sz="6" w:space="0" w:color="auto"/>
              <w:left w:val="single" w:sz="4" w:space="0" w:color="000000"/>
              <w:bottom w:val="nil" w:sz="6" w:space="0" w:color="auto"/>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离职后六个月内，不转让本人所持有的发行人股份。</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10"/>
              <w:jc w:val="left"/>
              <w:rPr>
                <w:rFonts w:ascii="宋体" w:hAnsi="宋体" w:cs="宋体" w:eastAsia="宋体" w:hint="default"/>
                <w:sz w:val="18"/>
                <w:szCs w:val="18"/>
              </w:rPr>
            </w:pPr>
            <w:r>
              <w:rPr>
                <w:rFonts w:ascii="宋体" w:hAnsi="宋体" w:cs="宋体" w:eastAsia="宋体" w:hint="default"/>
                <w:sz w:val="18"/>
                <w:szCs w:val="18"/>
              </w:rPr>
              <w:t>公司控股股东暨实际控制 人杨维国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占用方面的承</w:t>
            </w:r>
          </w:p>
          <w:p>
            <w:pPr>
              <w:pStyle w:val="TableParagraph"/>
              <w:spacing w:line="240" w:lineRule="auto" w:before="20"/>
              <w:ind w:left="23" w:right="0"/>
              <w:jc w:val="both"/>
              <w:rPr>
                <w:rFonts w:ascii="宋体" w:hAnsi="宋体" w:cs="宋体" w:eastAsia="宋体" w:hint="default"/>
                <w:sz w:val="18"/>
                <w:szCs w:val="18"/>
              </w:rPr>
            </w:pPr>
            <w:r>
              <w:rPr>
                <w:rFonts w:ascii="宋体" w:hAnsi="宋体" w:cs="宋体" w:eastAsia="宋体" w:hint="default"/>
                <w:sz w:val="18"/>
                <w:szCs w:val="18"/>
              </w:rPr>
              <w:t>诺</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、截至本承诺函出具日，本人未控制任何与新开普存在有相 同或类似业务的公司、企业或其他经营实体，未经营也没有 为他人经营与新开普相同或类似的产品或业务；本人与新开 普不存在同业竞争。</w:t>
            </w:r>
            <w:r>
              <w:rPr>
                <w:rFonts w:ascii="Times New Roman" w:hAnsi="Times New Roman" w:cs="Times New Roman" w:eastAsia="Times New Roman" w:hint="default"/>
                <w:sz w:val="18"/>
                <w:szCs w:val="18"/>
              </w:rPr>
              <w:t>2</w:t>
            </w:r>
            <w:r>
              <w:rPr>
                <w:rFonts w:ascii="宋体" w:hAnsi="宋体" w:cs="宋体" w:eastAsia="宋体" w:hint="default"/>
                <w:sz w:val="18"/>
                <w:szCs w:val="18"/>
              </w:rPr>
              <w:t>、本人保证自本承诺函出具日起，将不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bl>
    <w:p>
      <w:pPr>
        <w:spacing w:after="0" w:line="316" w:lineRule="auto"/>
        <w:jc w:val="both"/>
        <w:rPr>
          <w:rFonts w:ascii="宋体" w:hAnsi="宋体" w:cs="宋体" w:eastAsia="宋体" w:hint="default"/>
          <w:sz w:val="18"/>
          <w:szCs w:val="18"/>
        </w:rPr>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r>
        <w:rPr/>
        <w:pict>
          <v:shape style="position:absolute;margin-left:144.290497pt;margin-top:309.299988pt;width:168.5pt;height:220.4pt;mso-position-horizontal-relative:page;mso-position-vertical-relative:page;z-index:-1222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1"/>
                      <w:szCs w:val="21"/>
                    </w:rPr>
                  </w:pPr>
                </w:p>
                <w:p>
                  <w:pPr>
                    <w:spacing w:line="316" w:lineRule="auto" w:before="0"/>
                    <w:ind w:left="0" w:right="1207" w:firstLine="0"/>
                    <w:jc w:val="left"/>
                    <w:rPr>
                      <w:rFonts w:ascii="宋体" w:hAnsi="宋体" w:cs="宋体" w:eastAsia="宋体" w:hint="default"/>
                      <w:sz w:val="18"/>
                      <w:szCs w:val="18"/>
                    </w:rPr>
                  </w:pPr>
                  <w:r>
                    <w:rPr>
                      <w:rFonts w:ascii="宋体" w:hAnsi="宋体" w:cs="宋体" w:eastAsia="宋体" w:hint="default"/>
                      <w:sz w:val="18"/>
                      <w:szCs w:val="18"/>
                    </w:rPr>
                    <w:t>杨维国、尚卫国、赵利宾、 华梦阳、郎金文、杜建平、</w:t>
                  </w:r>
                </w:p>
              </w:txbxContent>
            </v:textbox>
            <w10:wrap type="none"/>
          </v:shape>
        </w:pict>
      </w:r>
      <w:r>
        <w:rPr/>
        <w:pict>
          <v:shape style="position:absolute;margin-left:548.09082pt;margin-top:309.299988pt;width:62.3pt;height:220.4pt;mso-position-horizontal-relative:page;mso-position-vertical-relative:page;z-index:-12221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49.410995pt;margin-top:309.299988pt;width:63.4pt;height:220.4pt;mso-position-horizontal-relative:page;mso-position-vertical-relative:page;z-index:-1222144" coordorigin="4988,6186" coordsize="1268,4408">
            <v:group style="position:absolute;left:4988;top:6186;width:1268;height:4408" coordorigin="4988,6186" coordsize="1268,4408">
              <v:shape style="position:absolute;left:4988;top:6186;width:1268;height:4408" coordorigin="4988,6186" coordsize="1268,4408" path="m4988,6186l4988,10594,6255,10594,6255,6186,4988,6186xe" filled="true" fillcolor="#ffffff" stroked="false">
                <v:path arrowok="t"/>
                <v:fill type="solid"/>
              </v:shape>
            </v:group>
            <v:group style="position:absolute;left:5012;top:8194;width:1220;height:393" coordorigin="5012,8194" coordsize="1220,393">
              <v:shape style="position:absolute;left:5012;top:8194;width:1220;height:393" coordorigin="5012,8194" coordsize="1220,393" path="m5012,8194l5012,8586,6231,8586,6231,8194,5012,8194xe" filled="true" fillcolor="#ffffff" stroked="false">
                <v:path arrowok="t"/>
                <v:fill type="solid"/>
              </v:shape>
            </v:group>
            <w10:wrap type="none"/>
          </v:group>
        </w:pict>
      </w:r>
      <w:r>
        <w:rPr/>
        <w:pict>
          <v:group style="position:absolute;margin-left:554.210999pt;margin-top:309.299988pt;width:56.2pt;height:220.4pt;mso-position-horizontal-relative:page;mso-position-vertical-relative:page;z-index:-1222120" coordorigin="11084,6186" coordsize="1124,4408">
            <v:group style="position:absolute;left:11084;top:6186;width:1124;height:4408" coordorigin="11084,6186" coordsize="1124,4408">
              <v:shape style="position:absolute;left:11084;top:6186;width:1124;height:4408" coordorigin="11084,6186" coordsize="1124,4408" path="m11084,6186l11084,10594,12207,10594,12207,6186,11084,6186xe" filled="true" fillcolor="#ffffff" stroked="false">
                <v:path arrowok="t"/>
                <v:fill type="solid"/>
              </v:shape>
            </v:group>
            <v:group style="position:absolute;left:11107;top:8038;width:1078;height:353" coordorigin="11107,8038" coordsize="1078,353">
              <v:shape style="position:absolute;left:11107;top:8038;width:1078;height:353" coordorigin="11107,8038" coordsize="1078,353" path="m11107,8038l11107,8390,12185,8390,12185,8038,11107,8038xe" filled="true" fillcolor="#ffffff" stroked="false">
                <v:path arrowok="t"/>
                <v:fill type="solid"/>
              </v:shape>
            </v:group>
            <v:group style="position:absolute;left:11107;top:8390;width:1078;height:352" coordorigin="11107,8390" coordsize="1078,352">
              <v:shape style="position:absolute;left:11107;top:8390;width:1078;height:352" coordorigin="11107,8390" coordsize="1078,352" path="m11107,8390l11107,8742,12185,8742,12185,8390,11107,8390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1"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在中国境内外投资、收购、兼并、经营与新开普生产、经营</w:t>
            </w:r>
          </w:p>
        </w:tc>
        <w:tc>
          <w:tcPr>
            <w:tcW w:w="1134"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存在有相同或类似业务的公司、企业或其他经营实体，不在</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中国境内外从事任何与新开普业务直接竞争或可能竞争的任</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何活动，以避免对新开普的生产经营构成直接或间接的业务</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、本人承诺不会利用新开普的控股股东和实际控制人</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地位损害新开普及新开普其他股东的合法权益。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、本人保证</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自本承诺函出具日起，若本人控制的公司、企业或其他经营</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实体出现与新开普业务有竞争的经营业务情况时，新开普可</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以采取优先收购或委托经营的方式将相关公司、企业或其他</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经营实体的竞争业务集中到新开普经营。</w:t>
            </w:r>
            <w:r>
              <w:rPr>
                <w:rFonts w:ascii="Times New Roman" w:hAnsi="Times New Roman" w:cs="Times New Roman" w:eastAsia="Times New Roman" w:hint="default"/>
                <w:sz w:val="18"/>
                <w:szCs w:val="18"/>
              </w:rPr>
              <w:t>5</w:t>
            </w:r>
            <w:r>
              <w:rPr>
                <w:rFonts w:ascii="宋体" w:hAnsi="宋体" w:cs="宋体" w:eastAsia="宋体" w:hint="default"/>
                <w:sz w:val="18"/>
                <w:szCs w:val="18"/>
              </w:rPr>
              <w:t>、本人保证自本承</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诺函出具日起，若本人控制的公司、企业或其他经营实体在</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出售或转让与新开普主营业务相关的资产、业务或权益时，</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在同等条件下给予新开普优先购买的权利。</w:t>
            </w:r>
            <w:r>
              <w:rPr>
                <w:rFonts w:ascii="Times New Roman" w:hAnsi="Times New Roman" w:cs="Times New Roman" w:eastAsia="Times New Roman" w:hint="default"/>
                <w:sz w:val="18"/>
                <w:szCs w:val="18"/>
              </w:rPr>
              <w:t>6</w:t>
            </w:r>
            <w:r>
              <w:rPr>
                <w:rFonts w:ascii="宋体" w:hAnsi="宋体" w:cs="宋体" w:eastAsia="宋体" w:hint="default"/>
                <w:sz w:val="18"/>
                <w:szCs w:val="18"/>
              </w:rPr>
              <w:t>、如本人及其控</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制的公司、企业或其他经营实体有任何违反上述承诺的事项</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发生，本人将承担因此给新开普造成的一切损失（含直接损</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失和间接损失</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pacing w:val="-3"/>
                <w:sz w:val="18"/>
                <w:szCs w:val="18"/>
              </w:rPr>
              <w:t>月，郑州新开普电子技术有限公司注册资本由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万</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万元，但该次增资并未及时到位，而是于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2002</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月前陆续到位。为此，杨维国、尚卫国、赵利宾、华梦</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阳、郎金文、杜建平、傅常顺、葛晓阁和刘恩臣等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名增资</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日共同作出书面承诺：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）有限公</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1234"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09" w:lineRule="auto"/>
              <w:ind w:left="23" w:right="20"/>
              <w:jc w:val="both"/>
              <w:rPr>
                <w:rFonts w:ascii="宋体" w:hAnsi="宋体" w:cs="宋体" w:eastAsia="宋体" w:hint="default"/>
                <w:sz w:val="18"/>
                <w:szCs w:val="18"/>
              </w:rPr>
            </w:pPr>
            <w:r>
              <w:rPr>
                <w:rFonts w:ascii="宋体" w:hAnsi="宋体" w:cs="宋体" w:eastAsia="宋体" w:hint="default"/>
                <w:spacing w:val="-8"/>
                <w:sz w:val="18"/>
                <w:szCs w:val="18"/>
              </w:rPr>
              <w:t>傅常顺、葛晓阁和刘恩臣等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月郑州新开 普电子技术有限公司增资</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2" w:right="21"/>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月增资时，增资股东用于出资的资金和实物资产 均系增资股东自筹资金或自有实物资产，前述资金和实物资 产来源真实合法，不存在违法违规的情形，不存在被有关部 门收缴、追索等法律风险；如因前述资金和实物资产来源而</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r>
        <w:trPr>
          <w:trHeight w:val="321"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引起的一切法律责任由杨维国、尚卫国、赵利宾、华梦阳、</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郎金文</w:t>
            </w:r>
            <w:r>
              <w:rPr>
                <w:rFonts w:ascii="宋体" w:hAnsi="宋体" w:cs="宋体" w:eastAsia="宋体" w:hint="default"/>
                <w:spacing w:val="-2"/>
                <w:sz w:val="18"/>
                <w:szCs w:val="18"/>
              </w:rPr>
              <w:t>、</w:t>
            </w:r>
            <w:r>
              <w:rPr>
                <w:rFonts w:ascii="宋体" w:hAnsi="宋体" w:cs="宋体" w:eastAsia="宋体" w:hint="default"/>
                <w:sz w:val="18"/>
                <w:szCs w:val="18"/>
              </w:rPr>
              <w:t>杜建平</w:t>
            </w:r>
            <w:r>
              <w:rPr>
                <w:rFonts w:ascii="宋体" w:hAnsi="宋体" w:cs="宋体" w:eastAsia="宋体" w:hint="default"/>
                <w:spacing w:val="-2"/>
                <w:sz w:val="18"/>
                <w:szCs w:val="18"/>
              </w:rPr>
              <w:t>、</w:t>
            </w:r>
            <w:r>
              <w:rPr>
                <w:rFonts w:ascii="宋体" w:hAnsi="宋体" w:cs="宋体" w:eastAsia="宋体" w:hint="default"/>
                <w:sz w:val="18"/>
                <w:szCs w:val="18"/>
              </w:rPr>
              <w:t>傅常顺</w:t>
            </w:r>
            <w:r>
              <w:rPr>
                <w:rFonts w:ascii="宋体" w:hAnsi="宋体" w:cs="宋体" w:eastAsia="宋体" w:hint="default"/>
                <w:spacing w:val="-3"/>
                <w:sz w:val="18"/>
                <w:szCs w:val="18"/>
              </w:rPr>
              <w:t>、</w:t>
            </w:r>
            <w:r>
              <w:rPr>
                <w:rFonts w:ascii="宋体" w:hAnsi="宋体" w:cs="宋体" w:eastAsia="宋体" w:hint="default"/>
                <w:sz w:val="18"/>
                <w:szCs w:val="18"/>
              </w:rPr>
              <w:t>葛晓阁和刘恩臣等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人承担</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各增资股东对前述有限公司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月增资时其他增资股东</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的出资方式和出资金额均无任何争议，也不存在任何纠纷或</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潜在纠纷</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4"/>
                <w:sz w:val="18"/>
                <w:szCs w:val="18"/>
              </w:rPr>
              <w:t>）</w:t>
            </w:r>
            <w:r>
              <w:rPr>
                <w:rFonts w:ascii="宋体" w:hAnsi="宋体" w:cs="宋体" w:eastAsia="宋体" w:hint="default"/>
                <w:sz w:val="18"/>
                <w:szCs w:val="18"/>
              </w:rPr>
              <w:t>若因前述有限公司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月增资时股东出</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1"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资没有及时全额到位的问题，致使郑州新开普电子股份有限</w:t>
            </w:r>
          </w:p>
        </w:tc>
        <w:tc>
          <w:tcPr>
            <w:tcW w:w="1134"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公司遭受任何处罚，杨维国、尚卫国、赵利宾、华梦阳、郎</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8"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金文、杜建平、傅常顺、葛晓阁和刘恩臣等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人将无条件全</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5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额承担因此而产生的任何费用支出、经济赔偿或其他损失。</w:t>
            </w:r>
            <w:r>
              <w:rPr>
                <w:rFonts w:ascii="Times New Roman" w:hAnsi="Times New Roman" w:cs="Times New Roman" w:eastAsia="Times New Roman" w:hint="default"/>
                <w:sz w:val="18"/>
                <w:szCs w:val="18"/>
              </w:rPr>
              <w:t>"</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若根据有权部门的要求或决定，郑州新开普电子股份有限公</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司及其控股子公司需要为员工补缴社会保险金或住房公积</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10"/>
              <w:jc w:val="left"/>
              <w:rPr>
                <w:rFonts w:ascii="宋体" w:hAnsi="宋体" w:cs="宋体" w:eastAsia="宋体" w:hint="default"/>
                <w:sz w:val="18"/>
                <w:szCs w:val="18"/>
              </w:rPr>
            </w:pPr>
            <w:r>
              <w:rPr>
                <w:rFonts w:ascii="宋体" w:hAnsi="宋体" w:cs="宋体" w:eastAsia="宋体" w:hint="default"/>
                <w:sz w:val="18"/>
                <w:szCs w:val="18"/>
              </w:rPr>
              <w:t>公司控股股东暨实际控制 人杨维国</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金，或因未足额缴纳社会保险金或住房公积金需承担任何罚 款或损失，本人将足额补偿郑州新开普电子股份有限公司及 其控股子公司因此发生的支出或所受损失，且在承担后不向 郑州新开普电子股份有限公司或其控股子公司追偿，确保郑</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州新开普电子股份有限公司及其控股子公司不会因此遭受任</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何损失。</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r>
        <w:trPr>
          <w:trHeight w:val="1534"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严格遵守《公司法》和深圳证券交易所关于上市公司董事、</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监事与高级管理人员买卖本公司股份行为的相关规定，在任</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职期间每年转让的股份不超过本人所持有发行人股份总数的</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6"/>
              <w:ind w:left="23" w:right="23"/>
              <w:jc w:val="left"/>
              <w:rPr>
                <w:rFonts w:ascii="宋体" w:hAnsi="宋体" w:cs="宋体" w:eastAsia="宋体" w:hint="default"/>
                <w:sz w:val="18"/>
                <w:szCs w:val="18"/>
              </w:rPr>
            </w:pPr>
            <w:r>
              <w:rPr>
                <w:rFonts w:ascii="宋体" w:hAnsi="宋体" w:cs="宋体" w:eastAsia="宋体" w:hint="default"/>
                <w:spacing w:val="-12"/>
                <w:sz w:val="18"/>
                <w:szCs w:val="18"/>
              </w:rPr>
              <w:t>傅常顺、杜建平等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 人股东</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百分之二十五；所持发行人股份自发行人股票上市交易之日 起十二个月内不得转让；在公司首次公开发行股票上市之日 起六个月内申报离职的，自申报离职之日起十八个月内不转 让本人直接持有的发行人股份；在公司首次公开发行股票上</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8"/>
                <w:sz w:val="18"/>
                <w:szCs w:val="18"/>
              </w:rPr>
              <w:t>截至报告期末，上述承诺人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严格信守承诺，未发生违反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承诺的情况。</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市之日起第七个月至第十二个月之间申报离职的，自申报离</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职之日起十二个月内不转让本人直接持有的发行人股份；在</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1534"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离职后六个月内，不转让本人所持有的发行人股份。</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900" w:right="820"/>
        </w:sectPr>
      </w:pPr>
    </w:p>
    <w:p>
      <w:pPr>
        <w:spacing w:line="240" w:lineRule="auto" w:before="0"/>
        <w:rPr>
          <w:rFonts w:ascii="Times New Roman" w:hAnsi="Times New Roman" w:cs="Times New Roman" w:eastAsia="Times New Roman" w:hint="default"/>
          <w:sz w:val="20"/>
          <w:szCs w:val="20"/>
        </w:rPr>
      </w:pPr>
      <w:r>
        <w:rPr/>
        <w:pict>
          <v:shape style="position:absolute;margin-left:50.451pt;margin-top:55.259998pt;width:745pt;height:465.85pt;mso-position-horizontal-relative:page;mso-position-vertical-relative:page;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72"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tcBorders>
                          <w:top w:val="single" w:sz="15" w:space="0" w:color="000000"/>
                          <w:left w:val="single" w:sz="4" w:space="0" w:color="000000"/>
                          <w:bottom w:val="nil" w:sz="6" w:space="0" w:color="auto"/>
                          <w:right w:val="single" w:sz="4" w:space="0" w:color="000000"/>
                        </w:tcBorders>
                      </w:tcPr>
                      <w:p>
                        <w:pPr/>
                      </w:p>
                    </w:tc>
                    <w:tc>
                      <w:tcPr>
                        <w:tcW w:w="1277" w:type="dxa"/>
                        <w:tcBorders>
                          <w:top w:val="single" w:sz="15" w:space="0" w:color="000000"/>
                          <w:left w:val="single" w:sz="4" w:space="0" w:color="000000"/>
                          <w:bottom w:val="nil" w:sz="6" w:space="0" w:color="auto"/>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w:t>
                        </w:r>
                      </w:p>
                    </w:tc>
                    <w:tc>
                      <w:tcPr>
                        <w:tcW w:w="1134" w:type="dxa"/>
                        <w:tcBorders>
                          <w:top w:val="single" w:sz="15" w:space="0" w:color="000000"/>
                          <w:left w:val="single" w:sz="4" w:space="0" w:color="000000"/>
                          <w:bottom w:val="nil" w:sz="6" w:space="0" w:color="auto"/>
                          <w:right w:val="single" w:sz="4" w:space="0" w:color="000000"/>
                        </w:tcBorders>
                      </w:tcPr>
                      <w:p>
                        <w:pPr/>
                      </w:p>
                    </w:tc>
                    <w:tc>
                      <w:tcPr>
                        <w:tcW w:w="1560" w:type="dxa"/>
                        <w:tcBorders>
                          <w:top w:val="single" w:sz="15" w:space="0" w:color="000000"/>
                          <w:left w:val="single" w:sz="4" w:space="0" w:color="000000"/>
                          <w:bottom w:val="nil" w:sz="6" w:space="0" w:color="auto"/>
                          <w:right w:val="single" w:sz="4" w:space="0" w:color="000000"/>
                        </w:tcBorders>
                      </w:tcPr>
                      <w:p>
                        <w:pPr/>
                      </w:p>
                    </w:tc>
                    <w:tc>
                      <w:tcPr>
                        <w:tcW w:w="2125" w:type="dxa"/>
                        <w:tcBorders>
                          <w:top w:val="single" w:sz="15" w:space="0" w:color="000000"/>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期回报有关事项的指导意见</w:t>
                        </w:r>
                        <w:r>
                          <w:rPr>
                            <w:rFonts w:ascii="宋体" w:hAnsi="宋体" w:cs="宋体" w:eastAsia="宋体" w:hint="default"/>
                            <w:spacing w:val="-90"/>
                            <w:sz w:val="18"/>
                            <w:szCs w:val="18"/>
                          </w:rPr>
                          <w:t>》</w:t>
                        </w:r>
                        <w:r>
                          <w:rPr>
                            <w:rFonts w:ascii="宋体" w:hAnsi="宋体" w:cs="宋体" w:eastAsia="宋体" w:hint="default"/>
                            <w:sz w:val="18"/>
                            <w:szCs w:val="18"/>
                          </w:rPr>
                          <w:t>（证监会公告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等</w:t>
                        </w:r>
                        <w:r>
                          <w:rPr>
                            <w:rFonts w:ascii="宋体" w:hAnsi="宋体" w:cs="宋体" w:eastAsia="宋体" w:hint="default"/>
                            <w:sz w:val="18"/>
                            <w:szCs w:val="18"/>
                          </w:rPr>
                          <w:t>文</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3" w:right="110"/>
                          <w:jc w:val="left"/>
                          <w:rPr>
                            <w:rFonts w:ascii="宋体" w:hAnsi="宋体" w:cs="宋体" w:eastAsia="宋体" w:hint="default"/>
                            <w:sz w:val="18"/>
                            <w:szCs w:val="18"/>
                          </w:rPr>
                        </w:pPr>
                        <w:r>
                          <w:rPr>
                            <w:rFonts w:ascii="宋体" w:hAnsi="宋体" w:cs="宋体" w:eastAsia="宋体" w:hint="default"/>
                            <w:sz w:val="18"/>
                            <w:szCs w:val="18"/>
                          </w:rPr>
                          <w:t>公司控股股东暨实际控制 人杨维国</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件的有关规定，公司就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年度非公开发行股票事宜对即期 回报摊薄的影响进行了认真分析，并提出了具体的填补回报 措施，作为相关责任主体，公司控股股东、实际控制人对公</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2" w:right="110"/>
                          <w:jc w:val="left"/>
                          <w:rPr>
                            <w:rFonts w:ascii="宋体" w:hAnsi="宋体" w:cs="宋体" w:eastAsia="宋体" w:hint="default"/>
                            <w:sz w:val="18"/>
                            <w:szCs w:val="18"/>
                          </w:rPr>
                        </w:pPr>
                        <w:r>
                          <w:rPr>
                            <w:rFonts w:ascii="宋体" w:hAnsi="宋体" w:cs="宋体" w:eastAsia="宋体" w:hint="default"/>
                            <w:sz w:val="18"/>
                            <w:szCs w:val="18"/>
                          </w:rPr>
                          <w:t>上述承诺人严格信守承诺 未发生违反承诺的情况。</w:t>
                        </w: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司填补回报措施能够得到切实履行作出了承诺，承诺不越权</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干预公司经营管理活动，不侵占公司利益。</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鉴于甘勇先生</w:t>
                        </w:r>
                        <w:r>
                          <w:rPr>
                            <w:rFonts w:ascii="宋体" w:hAnsi="宋体" w:cs="宋体" w:eastAsia="宋体" w:hint="default"/>
                            <w:spacing w:val="-90"/>
                            <w:sz w:val="18"/>
                            <w:szCs w:val="18"/>
                          </w:rPr>
                          <w:t>、</w:t>
                        </w:r>
                        <w:r>
                          <w:rPr>
                            <w:rFonts w:ascii="宋体" w:hAnsi="宋体" w:cs="宋体" w:eastAsia="宋体" w:hint="default"/>
                            <w:sz w:val="18"/>
                            <w:szCs w:val="18"/>
                          </w:rPr>
                          <w:t>祝田山先生</w:t>
                        </w: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期回报有关事项的指导意见</w:t>
                        </w:r>
                        <w:r>
                          <w:rPr>
                            <w:rFonts w:ascii="宋体" w:hAnsi="宋体" w:cs="宋体" w:eastAsia="宋体" w:hint="default"/>
                            <w:spacing w:val="-90"/>
                            <w:sz w:val="18"/>
                            <w:szCs w:val="18"/>
                          </w:rPr>
                          <w:t>》</w:t>
                        </w:r>
                        <w:r>
                          <w:rPr>
                            <w:rFonts w:ascii="宋体" w:hAnsi="宋体" w:cs="宋体" w:eastAsia="宋体" w:hint="default"/>
                            <w:sz w:val="18"/>
                            <w:szCs w:val="18"/>
                          </w:rPr>
                          <w:t>（证监会公告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等</w:t>
                        </w:r>
                        <w:r>
                          <w:rPr>
                            <w:rFonts w:ascii="宋体" w:hAnsi="宋体" w:cs="宋体" w:eastAsia="宋体" w:hint="default"/>
                            <w:sz w:val="18"/>
                            <w:szCs w:val="18"/>
                          </w:rPr>
                          <w:t>文</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件的有关规定，公司就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年度非公开发行股票事宜对即期</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日及</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日辞去</w:t>
                        </w: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回报摊薄的影响进行了认真分析，并提出了具体的填补回报</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公司独立董事职务</w:t>
                        </w:r>
                        <w:r>
                          <w:rPr>
                            <w:rFonts w:ascii="宋体" w:hAnsi="宋体" w:cs="宋体" w:eastAsia="宋体" w:hint="default"/>
                            <w:spacing w:val="-90"/>
                            <w:sz w:val="18"/>
                            <w:szCs w:val="18"/>
                          </w:rPr>
                          <w:t>，</w:t>
                        </w:r>
                        <w:r>
                          <w:rPr>
                            <w:rFonts w:ascii="宋体" w:hAnsi="宋体" w:cs="宋体" w:eastAsia="宋体" w:hint="default"/>
                            <w:sz w:val="18"/>
                            <w:szCs w:val="18"/>
                          </w:rPr>
                          <w:t>故甘勇</w:t>
                        </w:r>
                      </w:p>
                    </w:tc>
                  </w:tr>
                  <w:tr>
                    <w:trPr>
                      <w:trHeight w:val="1560"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00" w:lineRule="auto"/>
                          <w:ind w:left="23" w:right="90"/>
                          <w:jc w:val="both"/>
                          <w:rPr>
                            <w:rFonts w:ascii="宋体" w:hAnsi="宋体" w:cs="宋体" w:eastAsia="宋体" w:hint="default"/>
                            <w:sz w:val="18"/>
                            <w:szCs w:val="18"/>
                          </w:rPr>
                        </w:pPr>
                        <w:r>
                          <w:rPr>
                            <w:rFonts w:ascii="宋体" w:hAnsi="宋体" w:cs="宋体" w:eastAsia="宋体" w:hint="default"/>
                            <w:sz w:val="18"/>
                            <w:szCs w:val="18"/>
                          </w:rPr>
                          <w:t>杨维国</w:t>
                        </w:r>
                        <w:r>
                          <w:rPr>
                            <w:rFonts w:ascii="Times New Roman" w:hAnsi="Times New Roman" w:cs="Times New Roman" w:eastAsia="Times New Roman" w:hint="default"/>
                            <w:sz w:val="18"/>
                            <w:szCs w:val="18"/>
                          </w:rPr>
                          <w:t>;</w:t>
                        </w:r>
                        <w:r>
                          <w:rPr>
                            <w:rFonts w:ascii="宋体" w:hAnsi="宋体" w:cs="宋体" w:eastAsia="宋体" w:hint="default"/>
                            <w:sz w:val="18"/>
                            <w:szCs w:val="18"/>
                          </w:rPr>
                          <w:t>付秋生</w:t>
                        </w:r>
                        <w:r>
                          <w:rPr>
                            <w:rFonts w:ascii="Times New Roman" w:hAnsi="Times New Roman" w:cs="Times New Roman" w:eastAsia="Times New Roman" w:hint="default"/>
                            <w:sz w:val="18"/>
                            <w:szCs w:val="18"/>
                          </w:rPr>
                          <w:t>;</w:t>
                        </w:r>
                        <w:r>
                          <w:rPr>
                            <w:rFonts w:ascii="宋体" w:hAnsi="宋体" w:cs="宋体" w:eastAsia="宋体" w:hint="default"/>
                            <w:sz w:val="18"/>
                            <w:szCs w:val="18"/>
                          </w:rPr>
                          <w:t>尚卫国</w:t>
                        </w:r>
                        <w:r>
                          <w:rPr>
                            <w:rFonts w:ascii="Times New Roman" w:hAnsi="Times New Roman" w:cs="Times New Roman" w:eastAsia="Times New Roman" w:hint="default"/>
                            <w:sz w:val="18"/>
                            <w:szCs w:val="18"/>
                          </w:rPr>
                          <w:t>;</w:t>
                        </w:r>
                        <w:r>
                          <w:rPr>
                            <w:rFonts w:ascii="宋体" w:hAnsi="宋体" w:cs="宋体" w:eastAsia="宋体" w:hint="default"/>
                            <w:sz w:val="18"/>
                            <w:szCs w:val="18"/>
                          </w:rPr>
                          <w:t>罗 会军</w:t>
                        </w:r>
                        <w:r>
                          <w:rPr>
                            <w:rFonts w:ascii="Times New Roman" w:hAnsi="Times New Roman" w:cs="Times New Roman" w:eastAsia="Times New Roman" w:hint="default"/>
                            <w:sz w:val="18"/>
                            <w:szCs w:val="18"/>
                          </w:rPr>
                          <w:t>;</w:t>
                        </w:r>
                        <w:r>
                          <w:rPr>
                            <w:rFonts w:ascii="宋体" w:hAnsi="宋体" w:cs="宋体" w:eastAsia="宋体" w:hint="default"/>
                            <w:sz w:val="18"/>
                            <w:szCs w:val="18"/>
                          </w:rPr>
                          <w:t>甘勇</w:t>
                        </w:r>
                        <w:r>
                          <w:rPr>
                            <w:rFonts w:ascii="Times New Roman" w:hAnsi="Times New Roman" w:cs="Times New Roman" w:eastAsia="Times New Roman" w:hint="default"/>
                            <w:sz w:val="18"/>
                            <w:szCs w:val="18"/>
                          </w:rPr>
                          <w:t>;</w:t>
                        </w:r>
                        <w:r>
                          <w:rPr>
                            <w:rFonts w:ascii="宋体" w:hAnsi="宋体" w:cs="宋体" w:eastAsia="宋体" w:hint="default"/>
                            <w:sz w:val="18"/>
                            <w:szCs w:val="18"/>
                          </w:rPr>
                          <w:t>王世卿</w:t>
                        </w:r>
                        <w:r>
                          <w:rPr>
                            <w:rFonts w:ascii="Times New Roman" w:hAnsi="Times New Roman" w:cs="Times New Roman" w:eastAsia="Times New Roman" w:hint="default"/>
                            <w:sz w:val="18"/>
                            <w:szCs w:val="18"/>
                          </w:rPr>
                          <w:t>;</w:t>
                        </w:r>
                        <w:r>
                          <w:rPr>
                            <w:rFonts w:ascii="宋体" w:hAnsi="宋体" w:cs="宋体" w:eastAsia="宋体" w:hint="default"/>
                            <w:sz w:val="18"/>
                            <w:szCs w:val="18"/>
                          </w:rPr>
                          <w:t>赵利宾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祝田山</w:t>
                        </w:r>
                        <w:r>
                          <w:rPr>
                            <w:rFonts w:ascii="Times New Roman" w:hAnsi="Times New Roman" w:cs="Times New Roman" w:eastAsia="Times New Roman" w:hint="default"/>
                            <w:sz w:val="18"/>
                            <w:szCs w:val="18"/>
                          </w:rPr>
                          <w:t>;</w:t>
                        </w:r>
                        <w:r>
                          <w:rPr>
                            <w:rFonts w:ascii="宋体" w:hAnsi="宋体" w:cs="宋体" w:eastAsia="宋体" w:hint="default"/>
                            <w:sz w:val="18"/>
                            <w:szCs w:val="18"/>
                          </w:rPr>
                          <w:t>华梦阳</w:t>
                        </w:r>
                        <w:r>
                          <w:rPr>
                            <w:rFonts w:ascii="Times New Roman" w:hAnsi="Times New Roman" w:cs="Times New Roman" w:eastAsia="Times New Roman" w:hint="default"/>
                            <w:sz w:val="18"/>
                            <w:szCs w:val="18"/>
                          </w:rPr>
                          <w:t>;</w:t>
                        </w:r>
                        <w:r>
                          <w:rPr>
                            <w:rFonts w:ascii="宋体" w:hAnsi="宋体" w:cs="宋体" w:eastAsia="宋体" w:hint="default"/>
                            <w:sz w:val="18"/>
                            <w:szCs w:val="18"/>
                          </w:rPr>
                          <w:t>李玉玲</w:t>
                        </w:r>
                        <w:r>
                          <w:rPr>
                            <w:rFonts w:ascii="Times New Roman" w:hAnsi="Times New Roman" w:cs="Times New Roman" w:eastAsia="Times New Roman" w:hint="default"/>
                            <w:sz w:val="18"/>
                            <w:szCs w:val="18"/>
                          </w:rPr>
                          <w:t>;</w:t>
                        </w:r>
                        <w:r>
                          <w:rPr>
                            <w:rFonts w:ascii="宋体" w:hAnsi="宋体" w:cs="宋体" w:eastAsia="宋体" w:hint="default"/>
                            <w:sz w:val="18"/>
                            <w:szCs w:val="18"/>
                          </w:rPr>
                          <w:t>傅 常顺</w:t>
                        </w:r>
                        <w:r>
                          <w:rPr>
                            <w:rFonts w:ascii="Times New Roman" w:hAnsi="Times New Roman" w:cs="Times New Roman" w:eastAsia="Times New Roman" w:hint="default"/>
                            <w:sz w:val="18"/>
                            <w:szCs w:val="18"/>
                          </w:rPr>
                          <w:t>;</w:t>
                        </w:r>
                        <w:r>
                          <w:rPr>
                            <w:rFonts w:ascii="宋体" w:hAnsi="宋体" w:cs="宋体" w:eastAsia="宋体" w:hint="default"/>
                            <w:sz w:val="18"/>
                            <w:szCs w:val="18"/>
                          </w:rPr>
                          <w:t>杜建平</w:t>
                        </w:r>
                        <w:r>
                          <w:rPr>
                            <w:rFonts w:ascii="Times New Roman" w:hAnsi="Times New Roman" w:cs="Times New Roman" w:eastAsia="Times New Roman" w:hint="default"/>
                            <w:sz w:val="18"/>
                            <w:szCs w:val="18"/>
                          </w:rPr>
                          <w:t>;</w:t>
                        </w:r>
                        <w:r>
                          <w:rPr>
                            <w:rFonts w:ascii="宋体" w:hAnsi="宋体" w:cs="宋体" w:eastAsia="宋体" w:hint="default"/>
                            <w:sz w:val="18"/>
                            <w:szCs w:val="18"/>
                          </w:rPr>
                          <w:t>刘永春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措施，作为相关责任主体，公司全体董事、高级管理人员对 公司填补回报措施能够得到切实履行作出了承诺，具体承诺 </w:t>
                        </w:r>
                        <w:r>
                          <w:rPr>
                            <w:rFonts w:ascii="宋体" w:hAnsi="宋体" w:cs="宋体" w:eastAsia="宋体" w:hint="default"/>
                            <w:spacing w:val="-4"/>
                            <w:sz w:val="18"/>
                            <w:szCs w:val="18"/>
                          </w:rPr>
                          <w:t>如下：（一）承诺不无偿或以不公平条件向其他单位或者个人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输送利益，也不采用其他方式损害公司利益。（二）承诺对董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事和高级管理人员的职务消费行为进行约束。（三）承诺不动</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先生及祝田山先生自其离 任之日起不继续履行本承 诺；鉴于罗会军先生已于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日辞去公 </w:t>
                        </w:r>
                        <w:r>
                          <w:rPr>
                            <w:rFonts w:ascii="宋体" w:hAnsi="宋体" w:cs="宋体" w:eastAsia="宋体" w:hint="default"/>
                            <w:spacing w:val="-8"/>
                            <w:sz w:val="18"/>
                            <w:szCs w:val="18"/>
                          </w:rPr>
                          <w:t>司董事职务，故罗会军先生</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用公司资产从事与其履行职责无关的投资、消费活动</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自其离任之日起不继续履</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承诺由董事会或薪酬委员会制定的薪酬制度与公司填补回报</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行本承诺；报告期内，其余</w:t>
                        </w: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措施的执行情况相挂钩</w:t>
                        </w:r>
                        <w:r>
                          <w:rPr>
                            <w:rFonts w:ascii="宋体" w:hAnsi="宋体" w:cs="宋体" w:eastAsia="宋体" w:hint="default"/>
                            <w:spacing w:val="-94"/>
                            <w:sz w:val="18"/>
                            <w:szCs w:val="18"/>
                          </w:rPr>
                          <w:t>。</w:t>
                        </w:r>
                        <w:r>
                          <w:rPr>
                            <w:rFonts w:ascii="宋体" w:hAnsi="宋体" w:cs="宋体" w:eastAsia="宋体" w:hint="default"/>
                            <w:sz w:val="18"/>
                            <w:szCs w:val="18"/>
                          </w:rPr>
                          <w:t>（五</w:t>
                        </w:r>
                        <w:r>
                          <w:rPr>
                            <w:rFonts w:ascii="宋体" w:hAnsi="宋体" w:cs="宋体" w:eastAsia="宋体" w:hint="default"/>
                            <w:spacing w:val="-4"/>
                            <w:sz w:val="18"/>
                            <w:szCs w:val="18"/>
                          </w:rPr>
                          <w:t>）</w:t>
                        </w:r>
                        <w:r>
                          <w:rPr>
                            <w:rFonts w:ascii="宋体" w:hAnsi="宋体" w:cs="宋体" w:eastAsia="宋体" w:hint="default"/>
                            <w:sz w:val="18"/>
                            <w:szCs w:val="18"/>
                          </w:rPr>
                          <w:t>承诺拟公布的公司股权激励的</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承诺人严格信守承诺</w:t>
                        </w:r>
                        <w:r>
                          <w:rPr>
                            <w:rFonts w:ascii="宋体" w:hAnsi="宋体" w:cs="宋体" w:eastAsia="宋体" w:hint="default"/>
                            <w:spacing w:val="-90"/>
                            <w:sz w:val="18"/>
                            <w:szCs w:val="18"/>
                          </w:rPr>
                          <w:t>，</w:t>
                        </w:r>
                        <w:r>
                          <w:rPr>
                            <w:rFonts w:ascii="宋体" w:hAnsi="宋体" w:cs="宋体" w:eastAsia="宋体" w:hint="default"/>
                            <w:sz w:val="18"/>
                            <w:szCs w:val="18"/>
                          </w:rPr>
                          <w:t>未发</w:t>
                        </w:r>
                      </w:p>
                    </w:tc>
                  </w:tr>
                  <w:tr>
                    <w:trPr>
                      <w:trHeight w:val="35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行权条件与公司填补回报措施的执行情况相挂钩。</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生违反承诺的情况。</w:t>
                        </w:r>
                      </w:p>
                    </w:tc>
                  </w:tr>
                  <w:tr>
                    <w:trPr>
                      <w:trHeight w:val="358"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期回报有关事项的指导意见</w:t>
                        </w:r>
                        <w:r>
                          <w:rPr>
                            <w:rFonts w:ascii="宋体" w:hAnsi="宋体" w:cs="宋体" w:eastAsia="宋体" w:hint="default"/>
                            <w:spacing w:val="-90"/>
                            <w:sz w:val="18"/>
                            <w:szCs w:val="18"/>
                          </w:rPr>
                          <w:t>》</w:t>
                        </w:r>
                        <w:r>
                          <w:rPr>
                            <w:rFonts w:ascii="宋体" w:hAnsi="宋体" w:cs="宋体" w:eastAsia="宋体" w:hint="default"/>
                            <w:sz w:val="18"/>
                            <w:szCs w:val="18"/>
                          </w:rPr>
                          <w:t>（证监会公告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等</w:t>
                        </w:r>
                        <w:r>
                          <w:rPr>
                            <w:rFonts w:ascii="宋体" w:hAnsi="宋体" w:cs="宋体" w:eastAsia="宋体" w:hint="default"/>
                            <w:sz w:val="18"/>
                            <w:szCs w:val="18"/>
                          </w:rPr>
                          <w:t>文</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件的有关规定，公司就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年度非公开发行股票事宜对即期</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王玉辉</w:t>
                        </w:r>
                        <w:r>
                          <w:rPr>
                            <w:rFonts w:ascii="Times New Roman" w:hAnsi="Times New Roman" w:cs="Times New Roman" w:eastAsia="Times New Roman" w:hint="default"/>
                            <w:sz w:val="18"/>
                            <w:szCs w:val="18"/>
                          </w:rPr>
                          <w:t>;</w:t>
                        </w:r>
                        <w:r>
                          <w:rPr>
                            <w:rFonts w:ascii="宋体" w:hAnsi="宋体" w:cs="宋体" w:eastAsia="宋体" w:hint="default"/>
                            <w:sz w:val="18"/>
                            <w:szCs w:val="18"/>
                          </w:rPr>
                          <w:t>张英瑶</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04"/>
                          <w:jc w:val="both"/>
                          <w:rPr>
                            <w:rFonts w:ascii="宋体" w:hAnsi="宋体" w:cs="宋体" w:eastAsia="宋体" w:hint="default"/>
                            <w:sz w:val="18"/>
                            <w:szCs w:val="18"/>
                          </w:rPr>
                        </w:pPr>
                        <w:r>
                          <w:rPr>
                            <w:rFonts w:ascii="宋体" w:hAnsi="宋体" w:cs="宋体" w:eastAsia="宋体" w:hint="default"/>
                            <w:sz w:val="18"/>
                            <w:szCs w:val="18"/>
                          </w:rPr>
                          <w:t>回报摊薄的影响进行了认真分析，并提出了具体的填补回报 措施，作为相关责任主体，公司全体董事、高级管理人员对 公司填补回报措施能够得到切实履行作出了承诺，具体承诺</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2" w:right="110"/>
                          <w:jc w:val="left"/>
                          <w:rPr>
                            <w:rFonts w:ascii="宋体" w:hAnsi="宋体" w:cs="宋体" w:eastAsia="宋体" w:hint="default"/>
                            <w:sz w:val="18"/>
                            <w:szCs w:val="18"/>
                          </w:rPr>
                        </w:pPr>
                        <w:r>
                          <w:rPr>
                            <w:rFonts w:ascii="宋体" w:hAnsi="宋体" w:cs="宋体" w:eastAsia="宋体" w:hint="default"/>
                            <w:sz w:val="18"/>
                            <w:szCs w:val="18"/>
                          </w:rPr>
                          <w:t>上述承诺人严格信守承诺 未发生违反承诺的情况。</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宋体" w:hAnsi="宋体" w:cs="宋体" w:eastAsia="宋体" w:hint="default"/>
                            <w:spacing w:val="-94"/>
                            <w:sz w:val="18"/>
                            <w:szCs w:val="18"/>
                          </w:rPr>
                          <w:t>：</w:t>
                        </w:r>
                        <w:r>
                          <w:rPr>
                            <w:rFonts w:ascii="宋体" w:hAnsi="宋体" w:cs="宋体" w:eastAsia="宋体" w:hint="default"/>
                            <w:sz w:val="18"/>
                            <w:szCs w:val="18"/>
                          </w:rPr>
                          <w:t>（一</w:t>
                        </w:r>
                        <w:r>
                          <w:rPr>
                            <w:rFonts w:ascii="宋体" w:hAnsi="宋体" w:cs="宋体" w:eastAsia="宋体" w:hint="default"/>
                            <w:spacing w:val="-4"/>
                            <w:sz w:val="18"/>
                            <w:szCs w:val="18"/>
                          </w:rPr>
                          <w:t>）</w:t>
                        </w:r>
                        <w:r>
                          <w:rPr>
                            <w:rFonts w:ascii="宋体" w:hAnsi="宋体" w:cs="宋体" w:eastAsia="宋体" w:hint="default"/>
                            <w:sz w:val="18"/>
                            <w:szCs w:val="18"/>
                          </w:rPr>
                          <w:t>承诺不无偿或以不公平条件向其他单位或者个人</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输送利益</w:t>
                        </w:r>
                        <w:r>
                          <w:rPr>
                            <w:rFonts w:ascii="宋体" w:hAnsi="宋体" w:cs="宋体" w:eastAsia="宋体" w:hint="default"/>
                            <w:spacing w:val="-3"/>
                            <w:sz w:val="18"/>
                            <w:szCs w:val="18"/>
                          </w:rPr>
                          <w:t>，</w:t>
                        </w:r>
                        <w:r>
                          <w:rPr>
                            <w:rFonts w:ascii="宋体" w:hAnsi="宋体" w:cs="宋体" w:eastAsia="宋体" w:hint="default"/>
                            <w:sz w:val="18"/>
                            <w:szCs w:val="18"/>
                          </w:rPr>
                          <w:t>也不采用其他方式损害公司利益</w:t>
                        </w:r>
                        <w:r>
                          <w:rPr>
                            <w:rFonts w:ascii="宋体" w:hAnsi="宋体" w:cs="宋体" w:eastAsia="宋体" w:hint="default"/>
                            <w:spacing w:val="-93"/>
                            <w:sz w:val="18"/>
                            <w:szCs w:val="18"/>
                          </w:rPr>
                          <w:t>。</w:t>
                        </w:r>
                        <w:r>
                          <w:rPr>
                            <w:rFonts w:ascii="宋体" w:hAnsi="宋体" w:cs="宋体" w:eastAsia="宋体" w:hint="default"/>
                            <w:sz w:val="18"/>
                            <w:szCs w:val="18"/>
                          </w:rPr>
                          <w:t>（二</w:t>
                        </w:r>
                        <w:r>
                          <w:rPr>
                            <w:rFonts w:ascii="宋体" w:hAnsi="宋体" w:cs="宋体" w:eastAsia="宋体" w:hint="default"/>
                            <w:spacing w:val="-3"/>
                            <w:sz w:val="18"/>
                            <w:szCs w:val="18"/>
                          </w:rPr>
                          <w:t>）</w:t>
                        </w:r>
                        <w:r>
                          <w:rPr>
                            <w:rFonts w:ascii="宋体" w:hAnsi="宋体" w:cs="宋体" w:eastAsia="宋体" w:hint="default"/>
                            <w:sz w:val="18"/>
                            <w:szCs w:val="18"/>
                          </w:rPr>
                          <w:t>承诺对董</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事和高级管理人员的职务消费行为进行约束</w:t>
                        </w:r>
                        <w:r>
                          <w:rPr>
                            <w:rFonts w:ascii="宋体" w:hAnsi="宋体" w:cs="宋体" w:eastAsia="宋体" w:hint="default"/>
                            <w:spacing w:val="-94"/>
                            <w:sz w:val="18"/>
                            <w:szCs w:val="18"/>
                          </w:rPr>
                          <w:t>。</w:t>
                        </w:r>
                        <w:r>
                          <w:rPr>
                            <w:rFonts w:ascii="宋体" w:hAnsi="宋体" w:cs="宋体" w:eastAsia="宋体" w:hint="default"/>
                            <w:sz w:val="18"/>
                            <w:szCs w:val="18"/>
                          </w:rPr>
                          <w:t>（三</w:t>
                        </w:r>
                        <w:r>
                          <w:rPr>
                            <w:rFonts w:ascii="宋体" w:hAnsi="宋体" w:cs="宋体" w:eastAsia="宋体" w:hint="default"/>
                            <w:spacing w:val="-4"/>
                            <w:sz w:val="18"/>
                            <w:szCs w:val="18"/>
                          </w:rPr>
                          <w:t>）</w:t>
                        </w:r>
                        <w:r>
                          <w:rPr>
                            <w:rFonts w:ascii="宋体" w:hAnsi="宋体" w:cs="宋体" w:eastAsia="宋体" w:hint="default"/>
                            <w:sz w:val="18"/>
                            <w:szCs w:val="18"/>
                          </w:rPr>
                          <w:t>承诺不动</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spacing w:before="0"/>
        <w:ind w:left="0" w:right="11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0" w:right="11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78" w:top="1060" w:bottom="1160" w:left="900" w:right="760"/>
        </w:sectPr>
      </w:pPr>
    </w:p>
    <w:p>
      <w:pPr>
        <w:spacing w:line="240" w:lineRule="auto" w:before="0"/>
        <w:rPr>
          <w:rFonts w:ascii="宋体" w:hAnsi="宋体" w:cs="宋体" w:eastAsia="宋体" w:hint="default"/>
          <w:sz w:val="20"/>
          <w:szCs w:val="20"/>
        </w:rPr>
      </w:pPr>
      <w:r>
        <w:rPr/>
        <w:pict>
          <v:shape style="position:absolute;margin-left:50.451pt;margin-top:55.259998pt;width:745pt;height:463.9pt;mso-position-horizontal-relative:page;mso-position-vertical-relative:page;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2126"/>
                    <w:gridCol w:w="1277"/>
                    <w:gridCol w:w="4819"/>
                    <w:gridCol w:w="1134"/>
                    <w:gridCol w:w="1560"/>
                    <w:gridCol w:w="2125"/>
                  </w:tblGrid>
                  <w:tr>
                    <w:trPr>
                      <w:trHeight w:val="331" w:hRule="exact"/>
                    </w:trPr>
                    <w:tc>
                      <w:tcPr>
                        <w:tcW w:w="1844" w:type="dxa"/>
                        <w:vMerge w:val="restart"/>
                        <w:tcBorders>
                          <w:top w:val="single" w:sz="15" w:space="0" w:color="000000"/>
                          <w:left w:val="single" w:sz="4" w:space="0" w:color="000000"/>
                          <w:right w:val="single" w:sz="4" w:space="0" w:color="000000"/>
                        </w:tcBorders>
                        <w:shd w:val="clear" w:color="auto" w:fill="D3D3D3"/>
                      </w:tcPr>
                      <w:p>
                        <w:pPr/>
                      </w:p>
                    </w:tc>
                    <w:tc>
                      <w:tcPr>
                        <w:tcW w:w="2126" w:type="dxa"/>
                        <w:vMerge w:val="restart"/>
                        <w:tcBorders>
                          <w:top w:val="single" w:sz="15" w:space="0" w:color="000000"/>
                          <w:left w:val="single" w:sz="4" w:space="0" w:color="000000"/>
                          <w:right w:val="single" w:sz="4" w:space="0" w:color="000000"/>
                        </w:tcBorders>
                      </w:tcPr>
                      <w:p>
                        <w:pPr/>
                      </w:p>
                    </w:tc>
                    <w:tc>
                      <w:tcPr>
                        <w:tcW w:w="1277" w:type="dxa"/>
                        <w:vMerge w:val="restart"/>
                        <w:tcBorders>
                          <w:top w:val="single" w:sz="15" w:space="0" w:color="000000"/>
                          <w:left w:val="single" w:sz="4" w:space="0" w:color="000000"/>
                          <w:right w:val="single" w:sz="4" w:space="0" w:color="000000"/>
                        </w:tcBorders>
                      </w:tcPr>
                      <w:p>
                        <w:pPr/>
                      </w:p>
                    </w:tc>
                    <w:tc>
                      <w:tcPr>
                        <w:tcW w:w="48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用公司资产从事与其履行职责无关的投资、消费活动</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1134"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2125" w:type="dxa"/>
                        <w:vMerge w:val="restart"/>
                        <w:tcBorders>
                          <w:top w:val="single" w:sz="15" w:space="0" w:color="000000"/>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承诺由董事会或薪酬委员会制定的薪酬制度与公司填补回报</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措施的执行情况相挂钩</w:t>
                        </w:r>
                        <w:r>
                          <w:rPr>
                            <w:rFonts w:ascii="宋体" w:hAnsi="宋体" w:cs="宋体" w:eastAsia="宋体" w:hint="default"/>
                            <w:spacing w:val="-94"/>
                            <w:sz w:val="18"/>
                            <w:szCs w:val="18"/>
                          </w:rPr>
                          <w:t>。</w:t>
                        </w:r>
                        <w:r>
                          <w:rPr>
                            <w:rFonts w:ascii="宋体" w:hAnsi="宋体" w:cs="宋体" w:eastAsia="宋体" w:hint="default"/>
                            <w:sz w:val="18"/>
                            <w:szCs w:val="18"/>
                          </w:rPr>
                          <w:t>（五</w:t>
                        </w:r>
                        <w:r>
                          <w:rPr>
                            <w:rFonts w:ascii="宋体" w:hAnsi="宋体" w:cs="宋体" w:eastAsia="宋体" w:hint="default"/>
                            <w:spacing w:val="-4"/>
                            <w:sz w:val="18"/>
                            <w:szCs w:val="18"/>
                          </w:rPr>
                          <w:t>）</w:t>
                        </w:r>
                        <w:r>
                          <w:rPr>
                            <w:rFonts w:ascii="宋体" w:hAnsi="宋体" w:cs="宋体" w:eastAsia="宋体" w:hint="default"/>
                            <w:sz w:val="18"/>
                            <w:szCs w:val="18"/>
                          </w:rPr>
                          <w:t>承诺拟公布的公司股权激励的</w:t>
                        </w:r>
                      </w:p>
                    </w:tc>
                    <w:tc>
                      <w:tcPr>
                        <w:tcW w:w="113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2125"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行权条件与公司填补回报措施的执行情况相挂钩。</w:t>
                        </w:r>
                      </w:p>
                    </w:tc>
                    <w:tc>
                      <w:tcPr>
                        <w:tcW w:w="113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期回报有关事项的指导意见</w:t>
                        </w:r>
                        <w:r>
                          <w:rPr>
                            <w:rFonts w:ascii="宋体" w:hAnsi="宋体" w:cs="宋体" w:eastAsia="宋体" w:hint="default"/>
                            <w:spacing w:val="-90"/>
                            <w:sz w:val="18"/>
                            <w:szCs w:val="18"/>
                          </w:rPr>
                          <w:t>》</w:t>
                        </w:r>
                        <w:r>
                          <w:rPr>
                            <w:rFonts w:ascii="宋体" w:hAnsi="宋体" w:cs="宋体" w:eastAsia="宋体" w:hint="default"/>
                            <w:sz w:val="18"/>
                            <w:szCs w:val="18"/>
                          </w:rPr>
                          <w:t>（证监会公告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等</w:t>
                        </w:r>
                        <w:r>
                          <w:rPr>
                            <w:rFonts w:ascii="宋体" w:hAnsi="宋体" w:cs="宋体" w:eastAsia="宋体" w:hint="default"/>
                            <w:sz w:val="18"/>
                            <w:szCs w:val="18"/>
                          </w:rPr>
                          <w:t>文</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件的有关规定，公司就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年度非公开发行股票事宜对即期</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回报摊薄的影响进行了认真分析，并提出了具体的填补回报</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措施，作为相关责任主体，公司全体董事、高级管理人员对</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毕会静</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公司填补回报措施能够得到切实履行作出了承诺，具体承诺 </w:t>
                        </w:r>
                        <w:r>
                          <w:rPr>
                            <w:rFonts w:ascii="宋体" w:hAnsi="宋体" w:cs="宋体" w:eastAsia="宋体" w:hint="default"/>
                            <w:spacing w:val="-4"/>
                            <w:sz w:val="18"/>
                            <w:szCs w:val="18"/>
                          </w:rPr>
                          <w:t>如下：（一）承诺不无偿或以不公平条件向其他单位或者个人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输送利益，也不采用其他方式损害公司利益。（二）承诺对董</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上述承诺人严格信守承诺 未发生违反承诺的情况。</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事和高级管理人员的职务消费行为进行约束</w:t>
                        </w:r>
                        <w:r>
                          <w:rPr>
                            <w:rFonts w:ascii="宋体" w:hAnsi="宋体" w:cs="宋体" w:eastAsia="宋体" w:hint="default"/>
                            <w:spacing w:val="-94"/>
                            <w:sz w:val="18"/>
                            <w:szCs w:val="18"/>
                          </w:rPr>
                          <w:t>。</w:t>
                        </w:r>
                        <w:r>
                          <w:rPr>
                            <w:rFonts w:ascii="宋体" w:hAnsi="宋体" w:cs="宋体" w:eastAsia="宋体" w:hint="default"/>
                            <w:sz w:val="18"/>
                            <w:szCs w:val="18"/>
                          </w:rPr>
                          <w:t>（三</w:t>
                        </w:r>
                        <w:r>
                          <w:rPr>
                            <w:rFonts w:ascii="宋体" w:hAnsi="宋体" w:cs="宋体" w:eastAsia="宋体" w:hint="default"/>
                            <w:spacing w:val="-4"/>
                            <w:sz w:val="18"/>
                            <w:szCs w:val="18"/>
                          </w:rPr>
                          <w:t>）</w:t>
                        </w:r>
                        <w:r>
                          <w:rPr>
                            <w:rFonts w:ascii="宋体" w:hAnsi="宋体" w:cs="宋体" w:eastAsia="宋体" w:hint="default"/>
                            <w:sz w:val="18"/>
                            <w:szCs w:val="18"/>
                          </w:rPr>
                          <w:t>承诺不动</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用公司资产从事与其履行职责无关的投资、消费活动</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承诺由董事会或薪酬委员会制定的薪酬制度与公司填补回报</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措施的执行情况相挂钩</w:t>
                        </w:r>
                        <w:r>
                          <w:rPr>
                            <w:rFonts w:ascii="宋体" w:hAnsi="宋体" w:cs="宋体" w:eastAsia="宋体" w:hint="default"/>
                            <w:spacing w:val="-94"/>
                            <w:sz w:val="18"/>
                            <w:szCs w:val="18"/>
                          </w:rPr>
                          <w:t>。</w:t>
                        </w:r>
                        <w:r>
                          <w:rPr>
                            <w:rFonts w:ascii="宋体" w:hAnsi="宋体" w:cs="宋体" w:eastAsia="宋体" w:hint="default"/>
                            <w:sz w:val="18"/>
                            <w:szCs w:val="18"/>
                          </w:rPr>
                          <w:t>（五</w:t>
                        </w:r>
                        <w:r>
                          <w:rPr>
                            <w:rFonts w:ascii="宋体" w:hAnsi="宋体" w:cs="宋体" w:eastAsia="宋体" w:hint="default"/>
                            <w:spacing w:val="-4"/>
                            <w:sz w:val="18"/>
                            <w:szCs w:val="18"/>
                          </w:rPr>
                          <w:t>）</w:t>
                        </w:r>
                        <w:r>
                          <w:rPr>
                            <w:rFonts w:ascii="宋体" w:hAnsi="宋体" w:cs="宋体" w:eastAsia="宋体" w:hint="default"/>
                            <w:sz w:val="18"/>
                            <w:szCs w:val="18"/>
                          </w:rPr>
                          <w:t>承诺拟公布的公司股权激励的</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行权条件与公司填补回报措施的执行情况相挂钩。</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根据中国证监会《关于首发及再融资、重大资产重组摊薄即</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期回报有关事项的指导意见</w:t>
                        </w:r>
                        <w:r>
                          <w:rPr>
                            <w:rFonts w:ascii="宋体" w:hAnsi="宋体" w:cs="宋体" w:eastAsia="宋体" w:hint="default"/>
                            <w:spacing w:val="-90"/>
                            <w:sz w:val="18"/>
                            <w:szCs w:val="18"/>
                          </w:rPr>
                          <w:t>》</w:t>
                        </w:r>
                        <w:r>
                          <w:rPr>
                            <w:rFonts w:ascii="宋体" w:hAnsi="宋体" w:cs="宋体" w:eastAsia="宋体" w:hint="default"/>
                            <w:sz w:val="18"/>
                            <w:szCs w:val="18"/>
                          </w:rPr>
                          <w:t>（证监会公告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等</w:t>
                        </w:r>
                        <w:r>
                          <w:rPr>
                            <w:rFonts w:ascii="宋体" w:hAnsi="宋体" w:cs="宋体" w:eastAsia="宋体" w:hint="default"/>
                            <w:sz w:val="18"/>
                            <w:szCs w:val="18"/>
                          </w:rPr>
                          <w:t>文</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件的有关规定，公司就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年度非公开发行股票事宜对即期</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回报摊薄的影响进行了认真分析，并提出了具体的填补回报</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措施，作为相关责任主体，公司全体董事、高级管理人员对</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司志刚、刘汴生</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3"/>
                          <w:jc w:val="left"/>
                          <w:rPr>
                            <w:rFonts w:ascii="宋体" w:hAnsi="宋体" w:cs="宋体" w:eastAsia="宋体" w:hint="default"/>
                            <w:sz w:val="18"/>
                            <w:szCs w:val="18"/>
                          </w:rPr>
                        </w:pPr>
                        <w:r>
                          <w:rPr>
                            <w:rFonts w:ascii="宋体" w:hAnsi="宋体" w:cs="宋体" w:eastAsia="宋体" w:hint="default"/>
                            <w:sz w:val="18"/>
                            <w:szCs w:val="18"/>
                          </w:rPr>
                          <w:t>公司填补回报措施能够得到切实履行作出了承诺，具体承诺 </w:t>
                        </w:r>
                        <w:r>
                          <w:rPr>
                            <w:rFonts w:ascii="宋体" w:hAnsi="宋体" w:cs="宋体" w:eastAsia="宋体" w:hint="default"/>
                            <w:spacing w:val="-4"/>
                            <w:sz w:val="18"/>
                            <w:szCs w:val="18"/>
                          </w:rPr>
                          <w:t>如下：（一）承诺不无偿或以不公平条件向其他单位或者个人</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10"/>
                          <w:jc w:val="left"/>
                          <w:rPr>
                            <w:rFonts w:ascii="宋体" w:hAnsi="宋体" w:cs="宋体" w:eastAsia="宋体" w:hint="default"/>
                            <w:sz w:val="18"/>
                            <w:szCs w:val="18"/>
                          </w:rPr>
                        </w:pPr>
                        <w:r>
                          <w:rPr>
                            <w:rFonts w:ascii="宋体" w:hAnsi="宋体" w:cs="宋体" w:eastAsia="宋体" w:hint="default"/>
                            <w:sz w:val="18"/>
                            <w:szCs w:val="18"/>
                          </w:rPr>
                          <w:t>上述承诺人严格信守承诺 未发生违反承诺的情况。</w:t>
                        </w: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输送利益</w:t>
                        </w:r>
                        <w:r>
                          <w:rPr>
                            <w:rFonts w:ascii="宋体" w:hAnsi="宋体" w:cs="宋体" w:eastAsia="宋体" w:hint="default"/>
                            <w:spacing w:val="-3"/>
                            <w:sz w:val="18"/>
                            <w:szCs w:val="18"/>
                          </w:rPr>
                          <w:t>，</w:t>
                        </w:r>
                        <w:r>
                          <w:rPr>
                            <w:rFonts w:ascii="宋体" w:hAnsi="宋体" w:cs="宋体" w:eastAsia="宋体" w:hint="default"/>
                            <w:sz w:val="18"/>
                            <w:szCs w:val="18"/>
                          </w:rPr>
                          <w:t>也不采用其他方式损害公司利益</w:t>
                        </w:r>
                        <w:r>
                          <w:rPr>
                            <w:rFonts w:ascii="宋体" w:hAnsi="宋体" w:cs="宋体" w:eastAsia="宋体" w:hint="default"/>
                            <w:spacing w:val="-93"/>
                            <w:sz w:val="18"/>
                            <w:szCs w:val="18"/>
                          </w:rPr>
                          <w:t>。</w:t>
                        </w:r>
                        <w:r>
                          <w:rPr>
                            <w:rFonts w:ascii="宋体" w:hAnsi="宋体" w:cs="宋体" w:eastAsia="宋体" w:hint="default"/>
                            <w:sz w:val="18"/>
                            <w:szCs w:val="18"/>
                          </w:rPr>
                          <w:t>（二</w:t>
                        </w:r>
                        <w:r>
                          <w:rPr>
                            <w:rFonts w:ascii="宋体" w:hAnsi="宋体" w:cs="宋体" w:eastAsia="宋体" w:hint="default"/>
                            <w:spacing w:val="-3"/>
                            <w:sz w:val="18"/>
                            <w:szCs w:val="18"/>
                          </w:rPr>
                          <w:t>）</w:t>
                        </w:r>
                        <w:r>
                          <w:rPr>
                            <w:rFonts w:ascii="宋体" w:hAnsi="宋体" w:cs="宋体" w:eastAsia="宋体" w:hint="default"/>
                            <w:sz w:val="18"/>
                            <w:szCs w:val="18"/>
                          </w:rPr>
                          <w:t>承诺对董</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事和高级管理人员的职务消费行为进行约束</w:t>
                        </w:r>
                        <w:r>
                          <w:rPr>
                            <w:rFonts w:ascii="宋体" w:hAnsi="宋体" w:cs="宋体" w:eastAsia="宋体" w:hint="default"/>
                            <w:spacing w:val="-94"/>
                            <w:sz w:val="18"/>
                            <w:szCs w:val="18"/>
                          </w:rPr>
                          <w:t>。</w:t>
                        </w:r>
                        <w:r>
                          <w:rPr>
                            <w:rFonts w:ascii="宋体" w:hAnsi="宋体" w:cs="宋体" w:eastAsia="宋体" w:hint="default"/>
                            <w:sz w:val="18"/>
                            <w:szCs w:val="18"/>
                          </w:rPr>
                          <w:t>（三</w:t>
                        </w:r>
                        <w:r>
                          <w:rPr>
                            <w:rFonts w:ascii="宋体" w:hAnsi="宋体" w:cs="宋体" w:eastAsia="宋体" w:hint="default"/>
                            <w:spacing w:val="-4"/>
                            <w:sz w:val="18"/>
                            <w:szCs w:val="18"/>
                          </w:rPr>
                          <w:t>）</w:t>
                        </w:r>
                        <w:r>
                          <w:rPr>
                            <w:rFonts w:ascii="宋体" w:hAnsi="宋体" w:cs="宋体" w:eastAsia="宋体" w:hint="default"/>
                            <w:sz w:val="18"/>
                            <w:szCs w:val="18"/>
                          </w:rPr>
                          <w:t>承诺不动</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用公司资产从事与其履行职责无关的投资、消费活动</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承诺由董事会或薪酬委员会制定的薪酬制度与公司填补回报</w:t>
                        </w:r>
                      </w:p>
                    </w:tc>
                    <w:tc>
                      <w:tcPr>
                        <w:tcW w:w="1134"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措施的执行情况相挂钩</w:t>
                        </w:r>
                        <w:r>
                          <w:rPr>
                            <w:rFonts w:ascii="宋体" w:hAnsi="宋体" w:cs="宋体" w:eastAsia="宋体" w:hint="default"/>
                            <w:spacing w:val="-94"/>
                            <w:sz w:val="18"/>
                            <w:szCs w:val="18"/>
                          </w:rPr>
                          <w:t>。</w:t>
                        </w:r>
                        <w:r>
                          <w:rPr>
                            <w:rFonts w:ascii="宋体" w:hAnsi="宋体" w:cs="宋体" w:eastAsia="宋体" w:hint="default"/>
                            <w:sz w:val="18"/>
                            <w:szCs w:val="18"/>
                          </w:rPr>
                          <w:t>（五</w:t>
                        </w:r>
                        <w:r>
                          <w:rPr>
                            <w:rFonts w:ascii="宋体" w:hAnsi="宋体" w:cs="宋体" w:eastAsia="宋体" w:hint="default"/>
                            <w:spacing w:val="-4"/>
                            <w:sz w:val="18"/>
                            <w:szCs w:val="18"/>
                          </w:rPr>
                          <w:t>）</w:t>
                        </w:r>
                        <w:r>
                          <w:rPr>
                            <w:rFonts w:ascii="宋体" w:hAnsi="宋体" w:cs="宋体" w:eastAsia="宋体" w:hint="default"/>
                            <w:sz w:val="18"/>
                            <w:szCs w:val="18"/>
                          </w:rPr>
                          <w:t>承诺拟公布的公司股权激励的</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44"/>
        <w:ind w:left="0" w:right="11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44"/>
        <w:ind w:left="0" w:right="11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78" w:top="1060" w:bottom="1160" w:left="900" w:right="760"/>
        </w:sectPr>
      </w:pPr>
    </w:p>
    <w:p>
      <w:pPr>
        <w:spacing w:line="240" w:lineRule="auto" w:before="4"/>
        <w:rPr>
          <w:rFonts w:ascii="Times New Roman" w:hAnsi="Times New Roman" w:cs="Times New Roman" w:eastAsia="Times New Roman" w:hint="default"/>
          <w:sz w:val="3"/>
          <w:szCs w:val="3"/>
        </w:rPr>
      </w:pPr>
      <w:r>
        <w:rPr/>
        <w:pict>
          <v:shape style="position:absolute;margin-left:144.290497pt;margin-top:95.400002pt;width:168.5pt;height:128.85pt;mso-position-horizontal-relative:page;mso-position-vertical-relative:page;z-index:-12220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316" w:lineRule="auto" w:before="107"/>
                    <w:ind w:left="0" w:right="1207" w:firstLine="1440"/>
                    <w:jc w:val="left"/>
                    <w:rPr>
                      <w:rFonts w:ascii="宋体" w:hAnsi="宋体" w:cs="宋体" w:eastAsia="宋体" w:hint="default"/>
                      <w:sz w:val="18"/>
                      <w:szCs w:val="18"/>
                    </w:rPr>
                  </w:pPr>
                  <w:r>
                    <w:rPr>
                      <w:rFonts w:ascii="宋体" w:hAnsi="宋体" w:cs="宋体" w:eastAsia="宋体" w:hint="default"/>
                      <w:sz w:val="18"/>
                      <w:szCs w:val="18"/>
                    </w:rPr>
                    <w:t>傅常顺、 葛晓阁、赵利宾、杜建平、</w:t>
                  </w:r>
                </w:p>
              </w:txbxContent>
            </v:textbox>
            <w10:wrap type="none"/>
          </v:shape>
        </w:pict>
      </w:r>
      <w:r>
        <w:rPr/>
        <w:pict>
          <v:shape style="position:absolute;margin-left:440.030518pt;margin-top:95.400002pt;width:170.35pt;height:128.85pt;mso-position-horizontal-relative:page;mso-position-vertical-relative:page;z-index:-1222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六个月内不再减持公司股票。</w:t>
                  </w:r>
                </w:p>
              </w:txbxContent>
            </v:textbox>
            <w10:wrap type="none"/>
          </v:shape>
        </w:pict>
      </w:r>
      <w:r>
        <w:rPr/>
        <w:pict>
          <v:group style="position:absolute;margin-left:249.410995pt;margin-top:95.400002pt;width:63.4pt;height:128.85pt;mso-position-horizontal-relative:page;mso-position-vertical-relative:page;z-index:-1222000" coordorigin="4988,1908" coordsize="1268,2577">
            <v:group style="position:absolute;left:4988;top:1908;width:1268;height:2577" coordorigin="4988,1908" coordsize="1268,2577">
              <v:shape style="position:absolute;left:4988;top:1908;width:1268;height:2577" coordorigin="4988,1908" coordsize="1268,2577" path="m4988,1908l4988,4484,6255,4484,6255,1908,4988,1908xe" filled="true" fillcolor="#ffffff" stroked="false">
                <v:path arrowok="t"/>
                <v:fill type="solid"/>
              </v:shape>
            </v:group>
            <v:group style="position:absolute;left:5012;top:3000;width:1220;height:393" coordorigin="5012,3000" coordsize="1220,393">
              <v:shape style="position:absolute;left:5012;top:3000;width:1220;height:393" coordorigin="5012,3000" coordsize="1220,393" path="m5012,3000l5012,3392,6231,3392,6231,3000,5012,3000xe" filled="true" fillcolor="#ffffff" stroked="false">
                <v:path arrowok="t"/>
                <v:fill type="solid"/>
              </v:shape>
            </v:group>
            <w10:wrap type="none"/>
          </v:group>
        </w:pict>
      </w:r>
      <w:r>
        <w:rPr/>
        <w:pict>
          <v:group style="position:absolute;margin-left:554.210999pt;margin-top:95.400002pt;width:56.2pt;height:128.85pt;mso-position-horizontal-relative:page;mso-position-vertical-relative:page;z-index:-1221976" coordorigin="11084,1908" coordsize="1124,2577">
            <v:group style="position:absolute;left:11084;top:1908;width:1124;height:2577" coordorigin="11084,1908" coordsize="1124,2577">
              <v:shape style="position:absolute;left:11084;top:1908;width:1124;height:2577" coordorigin="11084,1908" coordsize="1124,2577" path="m11084,1908l11084,4484,12207,4484,12207,1908,11084,1908xe" filled="true" fillcolor="#ffffff" stroked="false">
                <v:path arrowok="t"/>
                <v:fill type="solid"/>
              </v:shape>
            </v:group>
            <v:group style="position:absolute;left:11107;top:2844;width:1078;height:352" coordorigin="11107,2844" coordsize="1078,352">
              <v:shape style="position:absolute;left:11107;top:2844;width:1078;height:352" coordorigin="11107,2844" coordsize="1078,352" path="m11107,2844l11107,3196,12185,3196,12185,2844,11107,2844xe" filled="true" fillcolor="#ffffff" stroked="false">
                <v:path arrowok="t"/>
                <v:fill type="solid"/>
              </v:shape>
            </v:group>
            <v:group style="position:absolute;left:11107;top:3196;width:1078;height:353" coordorigin="11107,3196" coordsize="1078,353">
              <v:shape style="position:absolute;left:11107;top:3196;width:1078;height:353" coordorigin="11107,3196" coordsize="1078,353" path="m11107,3196l11107,3548,12185,3548,12185,3196,11107,3196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844"/>
        <w:gridCol w:w="2125"/>
        <w:gridCol w:w="1277"/>
        <w:gridCol w:w="4819"/>
        <w:gridCol w:w="1134"/>
        <w:gridCol w:w="1560"/>
        <w:gridCol w:w="2125"/>
      </w:tblGrid>
      <w:tr>
        <w:trPr>
          <w:trHeight w:val="377" w:hRule="exact"/>
        </w:trPr>
        <w:tc>
          <w:tcPr>
            <w:tcW w:w="1844" w:type="dxa"/>
            <w:tcBorders>
              <w:top w:val="single" w:sz="15" w:space="0" w:color="000000"/>
              <w:left w:val="single" w:sz="4" w:space="0" w:color="000000"/>
              <w:bottom w:val="single" w:sz="4" w:space="0" w:color="000000"/>
              <w:right w:val="single" w:sz="4" w:space="0" w:color="000000"/>
            </w:tcBorders>
            <w:shd w:val="clear" w:color="auto" w:fill="D3D3D3"/>
          </w:tcPr>
          <w:p>
            <w:pPr/>
          </w:p>
        </w:tc>
        <w:tc>
          <w:tcPr>
            <w:tcW w:w="21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48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行权条件与公司填补回报措施的执行情况相挂钩。</w:t>
            </w:r>
          </w:p>
        </w:tc>
        <w:tc>
          <w:tcPr>
            <w:tcW w:w="1134"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2125"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1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8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2125"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公司控股股东、实际控制人杨维国先生及其一致行动人尚卫</w:t>
            </w:r>
          </w:p>
        </w:tc>
        <w:tc>
          <w:tcPr>
            <w:tcW w:w="1134"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18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90"/>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公司控股股东、实际控制人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杨维国先生及其一致行动 </w:t>
            </w:r>
            <w:r>
              <w:rPr>
                <w:rFonts w:ascii="宋体" w:hAnsi="宋体" w:cs="宋体" w:eastAsia="宋体" w:hint="default"/>
                <w:spacing w:val="-10"/>
                <w:sz w:val="18"/>
                <w:szCs w:val="18"/>
              </w:rPr>
              <w:t>人尚卫国、付秋生、</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华梦阳、郎金文、刘恩臣</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国、付秋生、傅常顺、葛晓阁、赵利宾、杜建平、华梦阳、 </w:t>
            </w:r>
            <w:r>
              <w:rPr>
                <w:rFonts w:ascii="宋体" w:hAnsi="宋体" w:cs="宋体" w:eastAsia="宋体" w:hint="default"/>
                <w:spacing w:val="-4"/>
                <w:sz w:val="18"/>
                <w:szCs w:val="18"/>
              </w:rPr>
              <w:t>郎金文、刘恩臣于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日通</w:t>
            </w:r>
            <w:r>
              <w:rPr>
                <w:rFonts w:ascii="宋体" w:hAnsi="宋体" w:cs="宋体" w:eastAsia="宋体" w:hint="default"/>
                <w:spacing w:val="1"/>
                <w:sz w:val="18"/>
                <w:szCs w:val="18"/>
              </w:rPr>
              <w:t> </w:t>
            </w:r>
            <w:r>
              <w:rPr>
                <w:rFonts w:ascii="宋体" w:hAnsi="宋体" w:cs="宋体" w:eastAsia="宋体" w:hint="default"/>
                <w:sz w:val="18"/>
                <w:szCs w:val="18"/>
              </w:rPr>
              <w:t>过深圳证券交易所大宗交易系统减持直接持有的公司股份合</w:t>
            </w:r>
            <w:r>
              <w:rPr>
                <w:rFonts w:ascii="宋体" w:hAnsi="宋体" w:cs="宋体" w:eastAsia="宋体" w:hint="default"/>
                <w:sz w:val="18"/>
                <w:szCs w:val="18"/>
              </w:rPr>
              <w:t> 计 </w:t>
            </w:r>
            <w:r>
              <w:rPr>
                <w:rFonts w:ascii="Times New Roman" w:hAnsi="Times New Roman" w:cs="Times New Roman" w:eastAsia="Times New Roman" w:hint="default"/>
                <w:sz w:val="18"/>
                <w:szCs w:val="18"/>
              </w:rPr>
              <w:t>15,300,000 </w:t>
            </w:r>
            <w:r>
              <w:rPr>
                <w:rFonts w:ascii="宋体" w:hAnsi="宋体" w:cs="宋体" w:eastAsia="宋体" w:hint="default"/>
                <w:sz w:val="18"/>
                <w:szCs w:val="18"/>
              </w:rPr>
              <w:t>股，占公司总股本的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4.71%</w:t>
            </w:r>
            <w:r>
              <w:rPr>
                <w:rFonts w:ascii="宋体" w:hAnsi="宋体" w:cs="宋体" w:eastAsia="宋体" w:hint="default"/>
                <w:sz w:val="18"/>
                <w:szCs w:val="18"/>
              </w:rPr>
              <w:t>。公司控股股东、 实际控制人杨维国先生及其一致行动人承诺：自《关于控股 股东、实际控制人及其一致行动人减持公司股份暨减持计划</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8"/>
                <w:sz w:val="18"/>
                <w:szCs w:val="18"/>
              </w:rPr>
              <w:t>已履行完毕，承诺期间上述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承诺人严格信守承诺，未发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生违反承诺的情况。</w:t>
            </w:r>
          </w:p>
        </w:tc>
      </w:tr>
      <w:tr>
        <w:trPr>
          <w:trHeight w:val="357" w:hRule="exact"/>
        </w:trPr>
        <w:tc>
          <w:tcPr>
            <w:tcW w:w="1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2125"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实施完成的公告》披露之日起，</w:t>
            </w:r>
          </w:p>
        </w:tc>
        <w:tc>
          <w:tcPr>
            <w:tcW w:w="1134"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7" w:hRule="exact"/>
        </w:trPr>
        <w:tc>
          <w:tcPr>
            <w:tcW w:w="184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w:t>
            </w:r>
          </w:p>
        </w:tc>
        <w:tc>
          <w:tcPr>
            <w:tcW w:w="13040" w:type="dxa"/>
            <w:gridSpan w:val="6"/>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8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毕的，应当详细说明未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完成履行的具体原因</w:t>
            </w:r>
          </w:p>
        </w:tc>
        <w:tc>
          <w:tcPr>
            <w:tcW w:w="13040"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7" w:hRule="exact"/>
        </w:trPr>
        <w:tc>
          <w:tcPr>
            <w:tcW w:w="184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及下一步的工作计划</w:t>
            </w:r>
          </w:p>
        </w:tc>
        <w:tc>
          <w:tcPr>
            <w:tcW w:w="13040" w:type="dxa"/>
            <w:gridSpan w:val="6"/>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040" w:type="dxa"/>
            <w:gridSpan w:val="6"/>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6840" w:h="11910" w:orient="landscape"/>
          <w:pgMar w:header="867" w:footer="978" w:top="1060" w:bottom="1160" w:left="900" w:right="820"/>
        </w:sectPr>
      </w:pPr>
    </w:p>
    <w:p>
      <w:pPr>
        <w:spacing w:line="240" w:lineRule="auto" w:before="7"/>
        <w:rPr>
          <w:rFonts w:ascii="Times New Roman" w:hAnsi="Times New Roman" w:cs="Times New Roman" w:eastAsia="Times New Roman" w:hint="default"/>
          <w:sz w:val="23"/>
          <w:szCs w:val="23"/>
        </w:rPr>
      </w:pPr>
    </w:p>
    <w:p>
      <w:pPr>
        <w:pStyle w:val="Heading4"/>
        <w:spacing w:line="259" w:lineRule="auto" w:before="35"/>
        <w:ind w:right="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3"/>
        <w:jc w:val="left"/>
        <w:rPr>
          <w:b w:val="0"/>
          <w:bCs w:val="0"/>
        </w:rPr>
      </w:pP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40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3"/>
        <w:jc w:val="left"/>
        <w:rPr>
          <w:b w:val="0"/>
          <w:bCs w:val="0"/>
        </w:rPr>
      </w:pP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861" w:right="133"/>
        <w:jc w:val="left"/>
      </w:pPr>
      <w:r>
        <w:rPr>
          <w:spacing w:val="-3"/>
        </w:rPr>
        <w:t>执行《企业会计准则第</w:t>
      </w:r>
      <w:r>
        <w:rPr>
          <w:rFonts w:ascii="Times New Roman" w:hAnsi="Times New Roman" w:cs="Times New Roman" w:eastAsia="Times New Roman" w:hint="default"/>
          <w:spacing w:val="-3"/>
        </w:rPr>
        <w:t>42</w:t>
      </w:r>
      <w:r>
        <w:rPr>
          <w:spacing w:val="-3"/>
        </w:rPr>
        <w:t>号</w:t>
      </w:r>
      <w:r>
        <w:rPr>
          <w:rFonts w:ascii="Times New Roman" w:hAnsi="Times New Roman" w:cs="Times New Roman" w:eastAsia="Times New Roman" w:hint="default"/>
          <w:spacing w:val="-3"/>
        </w:rPr>
        <w:t>——</w:t>
      </w:r>
      <w:r>
        <w:rPr>
          <w:spacing w:val="-3"/>
        </w:rPr>
        <w:t>持有待售的非流动资产、处置组和终止经营》、《企业会计准则第</w:t>
      </w:r>
    </w:p>
    <w:p>
      <w:pPr>
        <w:pStyle w:val="BodyText"/>
        <w:spacing w:line="386" w:lineRule="auto" w:before="177"/>
        <w:ind w:left="862" w:right="133" w:hanging="424"/>
        <w:jc w:val="left"/>
      </w:pP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政府补助》和《财政部关于修订印发一般企业财务报表格式的通知》。 </w:t>
      </w:r>
      <w:r>
        <w:rPr>
          <w:spacing w:val="-7"/>
        </w:rPr>
        <w:t>财政部于</w:t>
      </w:r>
      <w:r>
        <w:rPr>
          <w:rFonts w:ascii="Times New Roman" w:hAnsi="Times New Roman" w:cs="Times New Roman" w:eastAsia="Times New Roman" w:hint="default"/>
          <w:spacing w:val="-7"/>
        </w:rPr>
        <w:t>2017</w:t>
      </w:r>
      <w:r>
        <w:rPr>
          <w:spacing w:val="-7"/>
        </w:rPr>
        <w:t>年度发布了《企业会计准则第</w:t>
      </w:r>
      <w:r>
        <w:rPr>
          <w:rFonts w:ascii="Times New Roman" w:hAnsi="Times New Roman" w:cs="Times New Roman" w:eastAsia="Times New Roman" w:hint="default"/>
          <w:spacing w:val="-7"/>
        </w:rPr>
        <w:t>42</w:t>
      </w:r>
      <w:r>
        <w:rPr>
          <w:spacing w:val="-7"/>
        </w:rPr>
        <w:t>号</w:t>
      </w:r>
      <w:r>
        <w:rPr>
          <w:rFonts w:ascii="Times New Roman" w:hAnsi="Times New Roman" w:cs="Times New Roman" w:eastAsia="Times New Roman" w:hint="default"/>
          <w:spacing w:val="-7"/>
        </w:rPr>
        <w:t>——</w:t>
      </w:r>
      <w:r>
        <w:rPr>
          <w:spacing w:val="-7"/>
        </w:rPr>
        <w:t>持有待售的非流动资产、处置组和终止经营》，</w:t>
      </w:r>
    </w:p>
    <w:p>
      <w:pPr>
        <w:pStyle w:val="BodyText"/>
        <w:spacing w:line="386" w:lineRule="auto" w:before="35"/>
        <w:ind w:left="438" w:right="141"/>
        <w:jc w:val="left"/>
      </w:pP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日起施行，对于施行日存在的持有待售的非流动资产、处置组和终止经营，要求采用未</w:t>
      </w:r>
      <w:r>
        <w:rPr>
          <w:spacing w:val="-102"/>
        </w:rPr>
        <w:t> </w:t>
      </w:r>
      <w:r>
        <w:rPr>
          <w:spacing w:val="-102"/>
        </w:rPr>
      </w:r>
      <w:r>
        <w:rPr/>
        <w:t>来适用法处理。</w:t>
      </w:r>
    </w:p>
    <w:p>
      <w:pPr>
        <w:pStyle w:val="BodyText"/>
        <w:spacing w:line="386" w:lineRule="auto" w:before="65"/>
        <w:ind w:left="438" w:right="151" w:firstLine="423"/>
        <w:jc w:val="both"/>
      </w:pPr>
      <w:r>
        <w:rPr/>
        <w:t>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政府补助》，修订后的准则自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 </w:t>
      </w:r>
      <w:r>
        <w:rPr>
          <w:spacing w:val="-3"/>
        </w:rPr>
        <w:t>起施行，对于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日存在的政府补助，要求采用未来适用法处理；对于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日至施行日新</w:t>
      </w:r>
      <w:r>
        <w:rPr>
          <w:spacing w:val="-60"/>
        </w:rPr>
        <w:t> </w:t>
      </w:r>
      <w:r>
        <w:rPr/>
        <w:t>增的政府补助，也要求按照修订后的准则进行调整。</w:t>
      </w:r>
    </w:p>
    <w:p>
      <w:pPr>
        <w:pStyle w:val="BodyText"/>
        <w:spacing w:line="386" w:lineRule="auto" w:before="65"/>
        <w:ind w:left="438" w:right="151" w:firstLine="423"/>
        <w:jc w:val="both"/>
      </w:pPr>
      <w:r>
        <w:rPr>
          <w:spacing w:val="-3"/>
        </w:rPr>
        <w:t>财政部于</w:t>
      </w:r>
      <w:r>
        <w:rPr>
          <w:rFonts w:ascii="Times New Roman" w:hAnsi="Times New Roman" w:cs="Times New Roman" w:eastAsia="Times New Roman" w:hint="default"/>
          <w:spacing w:val="-3"/>
        </w:rPr>
        <w:t>2017</w:t>
      </w:r>
      <w:r>
        <w:rPr>
          <w:spacing w:val="-3"/>
        </w:rPr>
        <w:t>年度发布了《财政部关于修订印发一般企业财务报表格式的通知》，对一般企业财务</w:t>
      </w:r>
      <w:r>
        <w:rPr/>
        <w:t> 报表格式进行了修订，适用于</w:t>
      </w:r>
      <w:r>
        <w:rPr>
          <w:rFonts w:ascii="Times New Roman" w:hAnsi="Times New Roman" w:cs="Times New Roman" w:eastAsia="Times New Roman" w:hint="default"/>
        </w:rPr>
        <w:t>2017</w:t>
      </w:r>
      <w:r>
        <w:rPr/>
        <w:t>年度及以后期间的财务报表。</w:t>
      </w:r>
    </w:p>
    <w:p>
      <w:pPr>
        <w:pStyle w:val="BodyText"/>
        <w:spacing w:line="240" w:lineRule="auto" w:before="35"/>
        <w:ind w:left="862" w:right="133"/>
        <w:jc w:val="left"/>
      </w:pPr>
      <w:r>
        <w:rPr/>
        <w:t>本公司执行上述三项规定的主要影响如下：</w:t>
      </w:r>
    </w:p>
    <w:p>
      <w:pPr>
        <w:spacing w:line="240" w:lineRule="auto" w:before="11"/>
        <w:rPr>
          <w:rFonts w:ascii="宋体" w:hAnsi="宋体" w:cs="宋体" w:eastAsia="宋体" w:hint="default"/>
          <w:sz w:val="21"/>
          <w:szCs w:val="21"/>
        </w:rPr>
      </w:pPr>
    </w:p>
    <w:tbl>
      <w:tblPr>
        <w:tblW w:w="0" w:type="auto"/>
        <w:jc w:val="left"/>
        <w:tblInd w:w="404" w:type="dxa"/>
        <w:tblLayout w:type="fixed"/>
        <w:tblCellMar>
          <w:top w:w="0" w:type="dxa"/>
          <w:left w:w="0" w:type="dxa"/>
          <w:bottom w:w="0" w:type="dxa"/>
          <w:right w:w="0" w:type="dxa"/>
        </w:tblCellMar>
        <w:tblLook w:val="01E0"/>
      </w:tblPr>
      <w:tblGrid>
        <w:gridCol w:w="4025"/>
        <w:gridCol w:w="1640"/>
        <w:gridCol w:w="3462"/>
      </w:tblGrid>
      <w:tr>
        <w:trPr>
          <w:trHeight w:val="342" w:hRule="exact"/>
        </w:trPr>
        <w:tc>
          <w:tcPr>
            <w:tcW w:w="40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92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6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5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56"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966" w:hRule="exact"/>
        </w:trPr>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00" w:lineRule="auto"/>
              <w:ind w:left="4" w:right="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）在利润表中分别列示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持续经营净利润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终</w:t>
            </w:r>
            <w:r>
              <w:rPr>
                <w:rFonts w:ascii="宋体" w:hAnsi="宋体" w:cs="宋体" w:eastAsia="宋体" w:hint="default"/>
                <w:spacing w:val="-77"/>
                <w:sz w:val="18"/>
                <w:szCs w:val="18"/>
              </w:rPr>
              <w:t> </w:t>
            </w:r>
            <w:r>
              <w:rPr>
                <w:rFonts w:ascii="宋体" w:hAnsi="宋体" w:cs="宋体" w:eastAsia="宋体" w:hint="default"/>
                <w:sz w:val="18"/>
                <w:szCs w:val="18"/>
              </w:rPr>
              <w:t>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1"/>
              <w:ind w:left="6" w:right="2"/>
              <w:jc w:val="left"/>
              <w:rPr>
                <w:rFonts w:ascii="宋体" w:hAnsi="宋体" w:cs="宋体" w:eastAsia="宋体" w:hint="default"/>
                <w:sz w:val="18"/>
                <w:szCs w:val="18"/>
              </w:rPr>
            </w:pPr>
            <w:r>
              <w:rPr>
                <w:rFonts w:ascii="宋体" w:hAnsi="宋体" w:cs="宋体" w:eastAsia="宋体" w:hint="default"/>
                <w:sz w:val="18"/>
                <w:szCs w:val="18"/>
              </w:rPr>
              <w:t>列示持续经营净利润本年金额 </w:t>
            </w:r>
            <w:r>
              <w:rPr>
                <w:rFonts w:ascii="Times New Roman" w:hAnsi="Times New Roman" w:cs="Times New Roman" w:eastAsia="Times New Roman" w:hint="default"/>
                <w:spacing w:val="-1"/>
                <w:sz w:val="18"/>
                <w:szCs w:val="18"/>
              </w:rPr>
              <w:t>120,228,312.33</w:t>
            </w:r>
            <w:r>
              <w:rPr>
                <w:rFonts w:ascii="宋体" w:hAnsi="宋体" w:cs="宋体" w:eastAsia="宋体" w:hint="default"/>
                <w:spacing w:val="-1"/>
                <w:sz w:val="18"/>
                <w:szCs w:val="18"/>
              </w:rPr>
              <w:t>元；列示终止经营净利润本年</w:t>
            </w:r>
            <w:r>
              <w:rPr>
                <w:rFonts w:ascii="宋体" w:hAnsi="宋体" w:cs="宋体" w:eastAsia="宋体" w:hint="default"/>
                <w:sz w:val="18"/>
                <w:szCs w:val="18"/>
              </w:rPr>
              <w:t> 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r>
        <w:trPr>
          <w:trHeight w:val="654" w:hRule="exact"/>
        </w:trPr>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4"/>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）部分与资产相关的政府补助，冲减了相关资产</w:t>
            </w:r>
            <w:r>
              <w:rPr>
                <w:rFonts w:ascii="宋体" w:hAnsi="宋体" w:cs="宋体" w:eastAsia="宋体" w:hint="default"/>
                <w:sz w:val="18"/>
                <w:szCs w:val="18"/>
              </w:rPr>
              <w:t> 账面价值。比较数据不调整。</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固定资产：减少</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headerReference w:type="default" r:id="rId23"/>
          <w:footerReference w:type="default" r:id="rId24"/>
          <w:pgSz w:w="11910" w:h="16840"/>
          <w:pgMar w:header="877" w:footer="982" w:top="1100" w:bottom="1180" w:left="980" w:right="980"/>
          <w:pgNumType w:start="85"/>
        </w:sectPr>
      </w:pPr>
    </w:p>
    <w:p>
      <w:pPr>
        <w:spacing w:line="240" w:lineRule="auto" w:before="6"/>
        <w:rPr>
          <w:rFonts w:ascii="宋体" w:hAnsi="宋体" w:cs="宋体" w:eastAsia="宋体" w:hint="default"/>
          <w:sz w:val="24"/>
          <w:szCs w:val="24"/>
        </w:rPr>
      </w:pPr>
    </w:p>
    <w:tbl>
      <w:tblPr>
        <w:tblW w:w="0" w:type="auto"/>
        <w:jc w:val="left"/>
        <w:tblInd w:w="404" w:type="dxa"/>
        <w:tblLayout w:type="fixed"/>
        <w:tblCellMar>
          <w:top w:w="0" w:type="dxa"/>
          <w:left w:w="0" w:type="dxa"/>
          <w:bottom w:w="0" w:type="dxa"/>
          <w:right w:w="0" w:type="dxa"/>
        </w:tblCellMar>
        <w:tblLook w:val="01E0"/>
      </w:tblPr>
      <w:tblGrid>
        <w:gridCol w:w="4025"/>
        <w:gridCol w:w="1640"/>
        <w:gridCol w:w="3462"/>
      </w:tblGrid>
      <w:tr>
        <w:trPr>
          <w:trHeight w:val="654" w:hRule="exact"/>
        </w:trPr>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4"/>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）部分与收益相关的政府补助，冲减了相关成本</w:t>
            </w:r>
            <w:r>
              <w:rPr>
                <w:rFonts w:ascii="宋体" w:hAnsi="宋体" w:cs="宋体" w:eastAsia="宋体" w:hint="default"/>
                <w:sz w:val="18"/>
                <w:szCs w:val="18"/>
              </w:rPr>
              <w:t> 费用。比较数据不调整。</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管理费用：减少</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r>
        <w:trPr>
          <w:trHeight w:val="654" w:hRule="exact"/>
        </w:trPr>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4"/>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）与本公司日常活动相关的政府补助，计入其他</w:t>
            </w:r>
            <w:r>
              <w:rPr>
                <w:rFonts w:ascii="宋体" w:hAnsi="宋体" w:cs="宋体" w:eastAsia="宋体" w:hint="default"/>
                <w:sz w:val="18"/>
                <w:szCs w:val="18"/>
              </w:rPr>
              <w:t> 收益，不再计入营业外收入。比较数据不调整。</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51,581,798.65</w:t>
            </w:r>
            <w:r>
              <w:rPr>
                <w:rFonts w:ascii="宋体" w:hAnsi="宋体" w:cs="宋体" w:eastAsia="宋体" w:hint="default"/>
                <w:sz w:val="18"/>
                <w:szCs w:val="18"/>
              </w:rPr>
              <w:t>元。</w:t>
            </w:r>
          </w:p>
        </w:tc>
      </w:tr>
      <w:tr>
        <w:trPr>
          <w:trHeight w:val="966" w:hRule="exact"/>
        </w:trPr>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8"/>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）在利润表中新增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资产处置收益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项目，将部分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1"/>
                <w:sz w:val="18"/>
                <w:szCs w:val="18"/>
              </w:rPr>
              <w:t>原列示为</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营业外收入</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的资产处置损益重分类至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pacing w:val="-3"/>
                <w:sz w:val="18"/>
                <w:szCs w:val="18"/>
              </w:rPr>
              <w:t>营业外支出本期减少</w:t>
            </w:r>
            <w:r>
              <w:rPr>
                <w:rFonts w:ascii="Times New Roman" w:hAnsi="Times New Roman" w:cs="Times New Roman" w:eastAsia="Times New Roman" w:hint="default"/>
                <w:spacing w:val="-3"/>
                <w:sz w:val="18"/>
                <w:szCs w:val="18"/>
              </w:rPr>
              <w:t>106,446.49</w:t>
            </w:r>
            <w:r>
              <w:rPr>
                <w:rFonts w:ascii="宋体" w:hAnsi="宋体" w:cs="宋体" w:eastAsia="宋体" w:hint="default"/>
                <w:spacing w:val="-3"/>
                <w:sz w:val="18"/>
                <w:szCs w:val="18"/>
              </w:rPr>
              <w:t>元，上期减少</w:t>
            </w:r>
          </w:p>
          <w:p>
            <w:pPr>
              <w:pStyle w:val="TableParagraph"/>
              <w:spacing w:line="240" w:lineRule="auto" w:before="63"/>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67,928.84</w:t>
            </w:r>
            <w:r>
              <w:rPr>
                <w:rFonts w:ascii="宋体" w:hAnsi="宋体" w:cs="宋体" w:eastAsia="宋体" w:hint="default"/>
                <w:sz w:val="18"/>
                <w:szCs w:val="18"/>
              </w:rPr>
              <w:t>元，均重分类至资产处置收益。</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133"/>
        <w:jc w:val="left"/>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left="871" w:right="133"/>
        <w:jc w:val="left"/>
      </w:pPr>
      <w:r>
        <w:rPr/>
        <w:t>本年度公司新设子公司郑州新开普科技有限公司，将其纳入报表合并范围内。</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ind w:right="133"/>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陈勇波，张文雪</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3"/>
        <w:jc w:val="left"/>
        <w:rPr>
          <w:b w:val="0"/>
          <w:bCs w:val="0"/>
        </w:rPr>
      </w:pP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3"/>
        <w:jc w:val="left"/>
        <w:rPr>
          <w:b w:val="0"/>
          <w:bCs w:val="0"/>
        </w:rPr>
      </w:pP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33"/>
        <w:jc w:val="left"/>
        <w:rPr>
          <w:b w:val="0"/>
          <w:bCs w:val="0"/>
        </w:rPr>
      </w:pPr>
      <w:r>
        <w:rPr/>
        <w:t>十一、重大诉讼、仲裁事项</w:t>
      </w:r>
      <w:r>
        <w:rPr>
          <w:b w:val="0"/>
          <w:bCs w:val="0"/>
        </w:rPr>
      </w:r>
    </w:p>
    <w:p>
      <w:pPr>
        <w:spacing w:line="240" w:lineRule="auto" w:before="7"/>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714" w:hRule="exact"/>
        </w:trPr>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629" w:right="29"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57" w:right="23" w:hanging="335"/>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6" w:right="86"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92" w:right="49"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1" w:right="89"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67" w:right="2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6018"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由新开普控股 </w:t>
            </w:r>
            <w:r>
              <w:rPr>
                <w:rFonts w:ascii="Times New Roman" w:hAnsi="Times New Roman" w:cs="Times New Roman" w:eastAsia="Times New Roman" w:hint="default"/>
                <w:sz w:val="18"/>
                <w:szCs w:val="18"/>
              </w:rPr>
              <w:t>35%</w:t>
            </w:r>
            <w:r>
              <w:rPr>
                <w:rFonts w:ascii="宋体" w:hAnsi="宋体" w:cs="宋体" w:eastAsia="宋体" w:hint="default"/>
                <w:sz w:val="18"/>
                <w:szCs w:val="18"/>
              </w:rPr>
              <w:t>的凯里通卡 公司已持续两年 以上无法召开股 </w:t>
            </w:r>
            <w:r>
              <w:rPr>
                <w:rFonts w:ascii="宋体" w:hAnsi="宋体" w:cs="宋体" w:eastAsia="宋体" w:hint="default"/>
                <w:spacing w:val="-6"/>
                <w:sz w:val="18"/>
                <w:szCs w:val="18"/>
              </w:rPr>
              <w:t>东会，更未形成有</w:t>
            </w:r>
            <w:r>
              <w:rPr>
                <w:rFonts w:ascii="宋体" w:hAnsi="宋体" w:cs="宋体" w:eastAsia="宋体" w:hint="default"/>
                <w:sz w:val="18"/>
                <w:szCs w:val="18"/>
              </w:rPr>
              <w:t> </w:t>
            </w:r>
            <w:r>
              <w:rPr>
                <w:rFonts w:ascii="宋体" w:hAnsi="宋体" w:cs="宋体" w:eastAsia="宋体" w:hint="default"/>
                <w:spacing w:val="-6"/>
                <w:sz w:val="18"/>
                <w:szCs w:val="18"/>
              </w:rPr>
              <w:t>效决议，凯里通卡</w:t>
            </w:r>
            <w:r>
              <w:rPr>
                <w:rFonts w:ascii="宋体" w:hAnsi="宋体" w:cs="宋体" w:eastAsia="宋体" w:hint="default"/>
                <w:sz w:val="18"/>
                <w:szCs w:val="18"/>
              </w:rPr>
              <w:t> 公司也已无力持 </w:t>
            </w:r>
            <w:r>
              <w:rPr>
                <w:rFonts w:ascii="宋体" w:hAnsi="宋体" w:cs="宋体" w:eastAsia="宋体" w:hint="default"/>
                <w:spacing w:val="-6"/>
                <w:sz w:val="18"/>
                <w:szCs w:val="18"/>
              </w:rPr>
              <w:t>续经营，经营管理</w:t>
            </w:r>
            <w:r>
              <w:rPr>
                <w:rFonts w:ascii="宋体" w:hAnsi="宋体" w:cs="宋体" w:eastAsia="宋体" w:hint="default"/>
                <w:sz w:val="18"/>
                <w:szCs w:val="18"/>
              </w:rPr>
              <w:t> </w:t>
            </w:r>
            <w:r>
              <w:rPr>
                <w:rFonts w:ascii="宋体" w:hAnsi="宋体" w:cs="宋体" w:eastAsia="宋体" w:hint="default"/>
                <w:spacing w:val="-6"/>
                <w:sz w:val="18"/>
                <w:szCs w:val="18"/>
              </w:rPr>
              <w:t>陷入僵局，继续存</w:t>
            </w:r>
            <w:r>
              <w:rPr>
                <w:rFonts w:ascii="宋体" w:hAnsi="宋体" w:cs="宋体" w:eastAsia="宋体" w:hint="default"/>
                <w:sz w:val="18"/>
                <w:szCs w:val="18"/>
              </w:rPr>
              <w:t> 续将会给股东利 </w:t>
            </w:r>
            <w:r>
              <w:rPr>
                <w:rFonts w:ascii="宋体" w:hAnsi="宋体" w:cs="宋体" w:eastAsia="宋体" w:hint="default"/>
                <w:spacing w:val="-6"/>
                <w:sz w:val="18"/>
                <w:szCs w:val="18"/>
              </w:rPr>
              <w:t>益造成损失。为维</w:t>
            </w:r>
            <w:r>
              <w:rPr>
                <w:rFonts w:ascii="宋体" w:hAnsi="宋体" w:cs="宋体" w:eastAsia="宋体" w:hint="default"/>
                <w:sz w:val="18"/>
                <w:szCs w:val="18"/>
              </w:rPr>
              <w:t> 护公司的合法权 </w:t>
            </w:r>
            <w:r>
              <w:rPr>
                <w:rFonts w:ascii="宋体" w:hAnsi="宋体" w:cs="宋体" w:eastAsia="宋体" w:hint="default"/>
                <w:spacing w:val="-6"/>
                <w:sz w:val="18"/>
                <w:szCs w:val="18"/>
              </w:rPr>
              <w:t>益，公司向贵州省</w:t>
            </w:r>
            <w:r>
              <w:rPr>
                <w:rFonts w:ascii="宋体" w:hAnsi="宋体" w:cs="宋体" w:eastAsia="宋体" w:hint="default"/>
                <w:sz w:val="18"/>
                <w:szCs w:val="18"/>
              </w:rPr>
              <w:t> 黔东南苗族侗族 自治州中 级人民 法院依法提起诉 </w:t>
            </w:r>
            <w:r>
              <w:rPr>
                <w:rFonts w:ascii="宋体" w:hAnsi="宋体" w:cs="宋体" w:eastAsia="宋体" w:hint="default"/>
                <w:spacing w:val="-6"/>
                <w:sz w:val="18"/>
                <w:szCs w:val="18"/>
              </w:rPr>
              <w:t>讼，目前本案已由</w:t>
            </w:r>
            <w:r>
              <w:rPr>
                <w:rFonts w:ascii="宋体" w:hAnsi="宋体" w:cs="宋体" w:eastAsia="宋体" w:hint="default"/>
                <w:sz w:val="18"/>
                <w:szCs w:val="18"/>
              </w:rPr>
              <w:t> 法院依法受理。</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、解散凯里智慧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城市通卡管理有 </w:t>
            </w:r>
            <w:r>
              <w:rPr>
                <w:rFonts w:ascii="宋体" w:hAnsi="宋体" w:cs="宋体" w:eastAsia="宋体" w:hint="default"/>
                <w:spacing w:val="-2"/>
                <w:sz w:val="18"/>
                <w:szCs w:val="18"/>
              </w:rPr>
              <w:t>限公司。</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、案件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受理费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81,800.00</w:t>
            </w:r>
          </w:p>
          <w:p>
            <w:pPr>
              <w:pStyle w:val="TableParagraph"/>
              <w:spacing w:line="316" w:lineRule="auto" w:before="7"/>
              <w:ind w:left="22" w:right="97"/>
              <w:jc w:val="left"/>
              <w:rPr>
                <w:rFonts w:ascii="宋体" w:hAnsi="宋体" w:cs="宋体" w:eastAsia="宋体" w:hint="default"/>
                <w:sz w:val="18"/>
                <w:szCs w:val="18"/>
              </w:rPr>
            </w:pPr>
            <w:r>
              <w:rPr>
                <w:rFonts w:ascii="宋体" w:hAnsi="宋体" w:cs="宋体" w:eastAsia="宋体" w:hint="default"/>
                <w:sz w:val="18"/>
                <w:szCs w:val="18"/>
              </w:rPr>
              <w:t>元，由被告凯里 智慧城市通卡管 理有限公司承 担。如不服该判 决，可在判决书 送达之日起十五 日内，向贵州省 黔东南苗族侗族 自治州中级人民 法院递交上诉 状，并按对方当 事人的人数提交 副本，上诉于贵 州省高级人民法 院。</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报告期末未执 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right="133"/>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8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133"/>
        <w:jc w:val="left"/>
        <w:rPr>
          <w:b w:val="0"/>
          <w:bCs w:val="0"/>
        </w:rPr>
      </w:pP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33" w:firstLine="420"/>
        <w:jc w:val="left"/>
      </w:pPr>
      <w:r>
        <w:rPr>
          <w:spacing w:val="-1"/>
        </w:rPr>
        <w:t>报告期内公司及其控股股东、实际控制人不存在未履行法院生效判决、所负数额较大的债务到期未清</w:t>
      </w:r>
      <w:r>
        <w:rPr/>
        <w:t> 偿等情况。</w:t>
      </w:r>
    </w:p>
    <w:p>
      <w:pPr>
        <w:spacing w:line="240" w:lineRule="auto" w:before="11"/>
        <w:rPr>
          <w:rFonts w:ascii="宋体" w:hAnsi="宋体" w:cs="宋体" w:eastAsia="宋体" w:hint="default"/>
          <w:sz w:val="18"/>
          <w:szCs w:val="18"/>
        </w:rPr>
      </w:pPr>
    </w:p>
    <w:p>
      <w:pPr>
        <w:pStyle w:val="Heading2"/>
        <w:spacing w:line="240" w:lineRule="auto"/>
        <w:ind w:right="133"/>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left="153" w:right="133" w:firstLine="420"/>
        <w:jc w:val="lef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8</w:t>
      </w:r>
      <w:r>
        <w:rPr>
          <w:spacing w:val="-1"/>
        </w:rPr>
        <w:t>日召开的公司第三届董事会第二十七次会议审议通过了《新开普电子股份有限公司限制性</w:t>
      </w:r>
      <w:r>
        <w:rPr/>
        <w:t> </w:t>
      </w:r>
      <w:r>
        <w:rPr>
          <w:spacing w:val="-3"/>
        </w:rPr>
        <w:t>股票激励计划（草案）》（以下简称</w:t>
      </w:r>
      <w:r>
        <w:rPr>
          <w:rFonts w:ascii="Times New Roman" w:hAnsi="Times New Roman" w:cs="Times New Roman" w:eastAsia="Times New Roman" w:hint="default"/>
          <w:spacing w:val="-3"/>
        </w:rPr>
        <w:t>“</w:t>
      </w:r>
      <w:r>
        <w:rPr>
          <w:spacing w:val="-3"/>
        </w:rPr>
        <w:t>《激励计划（草案）》</w:t>
      </w:r>
      <w:r>
        <w:rPr>
          <w:rFonts w:ascii="Times New Roman" w:hAnsi="Times New Roman" w:cs="Times New Roman" w:eastAsia="Times New Roman" w:hint="default"/>
          <w:spacing w:val="-3"/>
        </w:rPr>
        <w:t>”</w:t>
      </w:r>
      <w:r>
        <w:rPr>
          <w:spacing w:val="-3"/>
        </w:rPr>
        <w:t>），并于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24</w:t>
      </w:r>
      <w:r>
        <w:rPr>
          <w:spacing w:val="-3"/>
        </w:rPr>
        <w:t>日经公司</w:t>
      </w:r>
      <w:r>
        <w:rPr>
          <w:rFonts w:ascii="Times New Roman" w:hAnsi="Times New Roman" w:cs="Times New Roman" w:eastAsia="Times New Roman" w:hint="default"/>
          <w:spacing w:val="-3"/>
        </w:rPr>
        <w:t>2016</w:t>
      </w:r>
      <w:r>
        <w:rPr>
          <w:spacing w:val="-3"/>
        </w:rPr>
        <w:t>年第四次</w:t>
      </w:r>
      <w:r>
        <w:rPr>
          <w:spacing w:val="-60"/>
        </w:rPr>
        <w:t> </w:t>
      </w:r>
      <w:r>
        <w:rPr/>
        <w:t>临时股东大会批准，本次股权激励计划涉及的激励对象共计</w:t>
      </w:r>
      <w:r>
        <w:rPr>
          <w:rFonts w:ascii="Times New Roman" w:hAnsi="Times New Roman" w:cs="Times New Roman" w:eastAsia="Times New Roman" w:hint="default"/>
        </w:rPr>
        <w:t>488</w:t>
      </w:r>
      <w:r>
        <w:rPr/>
        <w:t>人，股权激励计划授予的限制性股票总量 </w:t>
      </w:r>
      <w:r>
        <w:rPr>
          <w:rFonts w:ascii="Times New Roman" w:hAnsi="Times New Roman" w:cs="Times New Roman" w:eastAsia="Times New Roman" w:hint="default"/>
        </w:rPr>
        <w:t>1050.12</w:t>
      </w:r>
      <w:r>
        <w:rPr/>
        <w:t>万股，其中拟首次授予的限制性股票数量</w:t>
      </w:r>
      <w:r>
        <w:rPr>
          <w:rFonts w:ascii="Times New Roman" w:hAnsi="Times New Roman" w:cs="Times New Roman" w:eastAsia="Times New Roman" w:hint="default"/>
        </w:rPr>
        <w:t>970.12</w:t>
      </w:r>
      <w:r>
        <w:rPr/>
        <w:t>万股，预留</w:t>
      </w:r>
      <w:r>
        <w:rPr>
          <w:rFonts w:ascii="Times New Roman" w:hAnsi="Times New Roman" w:cs="Times New Roman" w:eastAsia="Times New Roman" w:hint="default"/>
        </w:rPr>
        <w:t>80</w:t>
      </w:r>
      <w:r>
        <w:rPr/>
        <w:t>万股。</w:t>
      </w:r>
    </w:p>
    <w:p>
      <w:pPr>
        <w:pStyle w:val="BodyText"/>
        <w:spacing w:line="386" w:lineRule="auto" w:before="35"/>
        <w:ind w:left="153" w:right="216"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日，公司召开第三届董事会第二十八次会议审议通过了《关于调整公司限制性股票激励 计划授予对象人数、授予数量的议案》、《关于向激励对象授予限制性股票的议案》。原</w:t>
      </w:r>
      <w:r>
        <w:rPr>
          <w:rFonts w:ascii="Times New Roman" w:hAnsi="Times New Roman" w:cs="Times New Roman" w:eastAsia="Times New Roman" w:hint="default"/>
        </w:rPr>
        <w:t>488</w:t>
      </w:r>
      <w:r>
        <w:rPr/>
        <w:t>名激励对象</w:t>
      </w:r>
    </w:p>
    <w:p>
      <w:pPr>
        <w:spacing w:after="0" w:line="386"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right="102"/>
        <w:jc w:val="left"/>
      </w:pPr>
      <w:r>
        <w:rPr/>
        <w:t>中，有</w:t>
      </w:r>
      <w:r>
        <w:rPr>
          <w:rFonts w:ascii="Times New Roman" w:hAnsi="Times New Roman" w:cs="Times New Roman" w:eastAsia="Times New Roman" w:hint="default"/>
        </w:rPr>
        <w:t>23</w:t>
      </w:r>
      <w:r>
        <w:rPr/>
        <w:t>名激励对象因个人原因自愿放弃认购本次限制性股票，放弃认购的限制性股票数量合计为</w:t>
      </w:r>
      <w:r>
        <w:rPr>
          <w:rFonts w:ascii="Times New Roman" w:hAnsi="Times New Roman" w:cs="Times New Roman" w:eastAsia="Times New Roman" w:hint="default"/>
        </w:rPr>
        <w:t>15.46 </w:t>
      </w:r>
      <w:r>
        <w:rPr>
          <w:spacing w:val="-6"/>
        </w:rPr>
        <w:t>万股。调整后，公司本次激励对象人数由</w:t>
      </w:r>
      <w:r>
        <w:rPr>
          <w:rFonts w:ascii="Times New Roman" w:hAnsi="Times New Roman" w:cs="Times New Roman" w:eastAsia="Times New Roman" w:hint="default"/>
          <w:spacing w:val="-6"/>
        </w:rPr>
        <w:t>488</w:t>
      </w:r>
      <w:r>
        <w:rPr>
          <w:spacing w:val="-6"/>
        </w:rPr>
        <w:t>名变更为</w:t>
      </w:r>
      <w:r>
        <w:rPr>
          <w:rFonts w:ascii="Times New Roman" w:hAnsi="Times New Roman" w:cs="Times New Roman" w:eastAsia="Times New Roman" w:hint="default"/>
          <w:spacing w:val="-6"/>
        </w:rPr>
        <w:t>465</w:t>
      </w:r>
      <w:r>
        <w:rPr>
          <w:spacing w:val="-6"/>
        </w:rPr>
        <w:t>名，股权激励计划授予的限制性股票总量由</w:t>
      </w:r>
      <w:r>
        <w:rPr>
          <w:rFonts w:ascii="Times New Roman" w:hAnsi="Times New Roman" w:cs="Times New Roman" w:eastAsia="Times New Roman" w:hint="default"/>
          <w:spacing w:val="-6"/>
        </w:rPr>
        <w:t>1050.12</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3"/>
        </w:rPr>
        <w:t>万股调整为</w:t>
      </w:r>
      <w:r>
        <w:rPr>
          <w:rFonts w:ascii="Times New Roman" w:hAnsi="Times New Roman" w:cs="Times New Roman" w:eastAsia="Times New Roman" w:hint="default"/>
          <w:spacing w:val="-3"/>
        </w:rPr>
        <w:t>1034.66</w:t>
      </w:r>
      <w:r>
        <w:rPr>
          <w:spacing w:val="-3"/>
        </w:rPr>
        <w:t>万股，减少</w:t>
      </w:r>
      <w:r>
        <w:rPr>
          <w:rFonts w:ascii="Times New Roman" w:hAnsi="Times New Roman" w:cs="Times New Roman" w:eastAsia="Times New Roman" w:hint="default"/>
          <w:spacing w:val="-3"/>
        </w:rPr>
        <w:t>15.46</w:t>
      </w:r>
      <w:r>
        <w:rPr>
          <w:spacing w:val="-3"/>
        </w:rPr>
        <w:t>万股，其中拟首次授予的限制性股票数量由</w:t>
      </w:r>
      <w:r>
        <w:rPr>
          <w:rFonts w:ascii="Times New Roman" w:hAnsi="Times New Roman" w:cs="Times New Roman" w:eastAsia="Times New Roman" w:hint="default"/>
          <w:spacing w:val="-3"/>
        </w:rPr>
        <w:t>970.12</w:t>
      </w:r>
      <w:r>
        <w:rPr>
          <w:spacing w:val="-3"/>
        </w:rPr>
        <w:t>股变更为</w:t>
      </w:r>
      <w:r>
        <w:rPr>
          <w:rFonts w:ascii="Times New Roman" w:hAnsi="Times New Roman" w:cs="Times New Roman" w:eastAsia="Times New Roman" w:hint="default"/>
          <w:spacing w:val="-3"/>
        </w:rPr>
        <w:t>954.66</w:t>
      </w:r>
      <w:r>
        <w:rPr>
          <w:spacing w:val="-3"/>
        </w:rPr>
        <w:t>万股，</w:t>
      </w:r>
      <w:r>
        <w:rPr>
          <w:spacing w:val="-67"/>
        </w:rPr>
        <w:t> </w:t>
      </w:r>
      <w:r>
        <w:rPr>
          <w:spacing w:val="-67"/>
        </w:rPr>
      </w:r>
      <w:r>
        <w:rPr/>
        <w:t>减少</w:t>
      </w:r>
      <w:r>
        <w:rPr>
          <w:rFonts w:ascii="Times New Roman" w:hAnsi="Times New Roman" w:cs="Times New Roman" w:eastAsia="Times New Roman" w:hint="default"/>
        </w:rPr>
        <w:t>15.46</w:t>
      </w:r>
      <w:r>
        <w:rPr/>
        <w:t>万股。</w:t>
      </w:r>
    </w:p>
    <w:p>
      <w:pPr>
        <w:pStyle w:val="BodyText"/>
        <w:spacing w:line="386" w:lineRule="auto" w:before="35"/>
        <w:ind w:right="102"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日，公司召开三届董事会第二十九次会议审议通过了《关于调整公司限制性股票激励计 </w:t>
      </w:r>
      <w:r>
        <w:rPr>
          <w:spacing w:val="-1"/>
        </w:rPr>
        <w:t>划授予对象人数、授予数量的议案》，公司拟首次授予限制性股票的</w:t>
      </w:r>
      <w:r>
        <w:rPr>
          <w:rFonts w:ascii="Times New Roman" w:hAnsi="Times New Roman" w:cs="Times New Roman" w:eastAsia="Times New Roman" w:hint="default"/>
          <w:spacing w:val="-1"/>
        </w:rPr>
        <w:t>465</w:t>
      </w:r>
      <w:r>
        <w:rPr>
          <w:spacing w:val="-1"/>
        </w:rPr>
        <w:t>名激励对象中，有</w:t>
      </w:r>
      <w:r>
        <w:rPr>
          <w:rFonts w:ascii="Times New Roman" w:hAnsi="Times New Roman" w:cs="Times New Roman" w:eastAsia="Times New Roman" w:hint="default"/>
          <w:spacing w:val="-1"/>
        </w:rPr>
        <w:t>2</w:t>
      </w:r>
      <w:r>
        <w:rPr>
          <w:spacing w:val="-1"/>
        </w:rPr>
        <w:t>名激励对象因</w:t>
      </w:r>
      <w:r>
        <w:rPr>
          <w:spacing w:val="-83"/>
        </w:rPr>
        <w:t> </w:t>
      </w:r>
      <w:r>
        <w:rPr/>
        <w:t>个人原因自愿放弃认购本次限制性股票，放弃认购的限制性股票数量合计为</w:t>
      </w:r>
      <w:r>
        <w:rPr>
          <w:rFonts w:ascii="Times New Roman" w:hAnsi="Times New Roman" w:cs="Times New Roman" w:eastAsia="Times New Roman" w:hint="default"/>
        </w:rPr>
        <w:t>1.72</w:t>
      </w:r>
      <w:r>
        <w:rPr/>
        <w:t>万股。调整后，公司本次 激励对象人数由</w:t>
      </w:r>
      <w:r>
        <w:rPr>
          <w:rFonts w:ascii="Times New Roman" w:hAnsi="Times New Roman" w:cs="Times New Roman" w:eastAsia="Times New Roman" w:hint="default"/>
        </w:rPr>
        <w:t>465</w:t>
      </w:r>
      <w:r>
        <w:rPr/>
        <w:t>名变更为</w:t>
      </w:r>
      <w:r>
        <w:rPr>
          <w:rFonts w:ascii="Times New Roman" w:hAnsi="Times New Roman" w:cs="Times New Roman" w:eastAsia="Times New Roman" w:hint="default"/>
        </w:rPr>
        <w:t>463</w:t>
      </w:r>
      <w:r>
        <w:rPr/>
        <w:t>名，股权激励计划授予的限制性股票总量由</w:t>
      </w:r>
      <w:r>
        <w:rPr>
          <w:rFonts w:ascii="Times New Roman" w:hAnsi="Times New Roman" w:cs="Times New Roman" w:eastAsia="Times New Roman" w:hint="default"/>
        </w:rPr>
        <w:t>1034.66</w:t>
      </w:r>
      <w:r>
        <w:rPr/>
        <w:t>万股调整为</w:t>
      </w:r>
      <w:r>
        <w:rPr>
          <w:rFonts w:ascii="Times New Roman" w:hAnsi="Times New Roman" w:cs="Times New Roman" w:eastAsia="Times New Roman" w:hint="default"/>
        </w:rPr>
        <w:t>1032.94</w:t>
      </w:r>
      <w:r>
        <w:rPr/>
        <w:t>万 股，减少</w:t>
      </w:r>
      <w:r>
        <w:rPr>
          <w:rFonts w:ascii="Times New Roman" w:hAnsi="Times New Roman" w:cs="Times New Roman" w:eastAsia="Times New Roman" w:hint="default"/>
        </w:rPr>
        <w:t>1.72</w:t>
      </w:r>
      <w:r>
        <w:rPr/>
        <w:t>万股，其中首次授予的限制性股票数量由</w:t>
      </w:r>
      <w:r>
        <w:rPr>
          <w:rFonts w:ascii="Times New Roman" w:hAnsi="Times New Roman" w:cs="Times New Roman" w:eastAsia="Times New Roman" w:hint="default"/>
        </w:rPr>
        <w:t>954.66</w:t>
      </w:r>
      <w:r>
        <w:rPr/>
        <w:t>股变更为</w:t>
      </w:r>
      <w:r>
        <w:rPr>
          <w:rFonts w:ascii="Times New Roman" w:hAnsi="Times New Roman" w:cs="Times New Roman" w:eastAsia="Times New Roman" w:hint="default"/>
        </w:rPr>
        <w:t>952.94</w:t>
      </w:r>
      <w:r>
        <w:rPr/>
        <w:t>万股，减少</w:t>
      </w:r>
      <w:r>
        <w:rPr>
          <w:rFonts w:ascii="Times New Roman" w:hAnsi="Times New Roman" w:cs="Times New Roman" w:eastAsia="Times New Roman" w:hint="default"/>
        </w:rPr>
        <w:t>1.72</w:t>
      </w:r>
      <w:r>
        <w:rPr/>
        <w:t>万股。</w:t>
      </w:r>
    </w:p>
    <w:p>
      <w:pPr>
        <w:pStyle w:val="BodyText"/>
        <w:spacing w:line="398" w:lineRule="auto" w:before="35"/>
        <w:ind w:right="209" w:firstLine="420"/>
        <w:jc w:val="both"/>
      </w:pPr>
      <w:r>
        <w:rPr>
          <w:spacing w:val="-1"/>
        </w:rPr>
        <w:t>本次限制性股票的授予日为</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13</w:t>
      </w:r>
      <w:r>
        <w:rPr>
          <w:spacing w:val="-1"/>
        </w:rPr>
        <w:t>日，授予价格为</w:t>
      </w:r>
      <w:r>
        <w:rPr>
          <w:rFonts w:ascii="Times New Roman" w:hAnsi="Times New Roman" w:cs="Times New Roman" w:eastAsia="Times New Roman" w:hint="default"/>
          <w:spacing w:val="-1"/>
        </w:rPr>
        <w:t>12.37</w:t>
      </w:r>
      <w:r>
        <w:rPr>
          <w:spacing w:val="-1"/>
        </w:rPr>
        <w:t>元，授予数量为</w:t>
      </w:r>
      <w:r>
        <w:rPr>
          <w:rFonts w:ascii="Times New Roman" w:hAnsi="Times New Roman" w:cs="Times New Roman" w:eastAsia="Times New Roman" w:hint="default"/>
          <w:spacing w:val="-1"/>
        </w:rPr>
        <w:t>952.94</w:t>
      </w:r>
      <w:r>
        <w:rPr>
          <w:spacing w:val="-1"/>
        </w:rPr>
        <w:t>万股，公司向</w:t>
      </w:r>
      <w:r>
        <w:rPr>
          <w:rFonts w:ascii="Times New Roman" w:hAnsi="Times New Roman" w:cs="Times New Roman" w:eastAsia="Times New Roman" w:hint="default"/>
          <w:spacing w:val="-1"/>
        </w:rPr>
        <w:t>463</w:t>
      </w:r>
      <w:r>
        <w:rPr>
          <w:rFonts w:ascii="Times New Roman" w:hAnsi="Times New Roman" w:cs="Times New Roman" w:eastAsia="Times New Roman" w:hint="default"/>
        </w:rPr>
        <w:t> </w:t>
      </w:r>
      <w:r>
        <w:rPr>
          <w:spacing w:val="-1"/>
        </w:rPr>
        <w:t>名激励对象进行授予，授予对象均为公司高级管理人员和核心业务骨干，本计划股票来源为新开普向激励</w:t>
      </w:r>
      <w:r>
        <w:rPr>
          <w:spacing w:val="-81"/>
        </w:rPr>
        <w:t> </w:t>
      </w:r>
      <w:r>
        <w:rPr>
          <w:spacing w:val="-81"/>
        </w:rPr>
      </w:r>
      <w:r>
        <w:rPr/>
        <w:t>对象定向发行</w:t>
      </w:r>
      <w:r>
        <w:rPr>
          <w:rFonts w:ascii="Times New Roman" w:hAnsi="Times New Roman" w:cs="Times New Roman" w:eastAsia="Times New Roman" w:hint="default"/>
        </w:rPr>
        <w:t>952.94</w:t>
      </w:r>
      <w:r>
        <w:rPr/>
        <w:t>万股人民币</w:t>
      </w:r>
      <w:r>
        <w:rPr>
          <w:rFonts w:ascii="Times New Roman" w:hAnsi="Times New Roman" w:cs="Times New Roman" w:eastAsia="Times New Roman" w:hint="default"/>
        </w:rPr>
        <w:t>A</w:t>
      </w:r>
      <w:r>
        <w:rPr/>
        <w:t>股普通股。</w:t>
      </w:r>
    </w:p>
    <w:p>
      <w:pPr>
        <w:pStyle w:val="BodyText"/>
        <w:spacing w:line="398" w:lineRule="auto" w:before="24"/>
        <w:ind w:right="102" w:firstLine="420"/>
        <w:jc w:val="left"/>
      </w:pPr>
      <w:r>
        <w:rPr/>
        <w:t>公司本次股权激励计划有效期为自限制性股票授予之日起至所有限制性股票解锁或回购注销完毕之 日止，最长不超过</w:t>
      </w:r>
      <w:r>
        <w:rPr>
          <w:rFonts w:ascii="Times New Roman" w:hAnsi="Times New Roman" w:cs="Times New Roman" w:eastAsia="Times New Roman" w:hint="default"/>
        </w:rPr>
        <w:t>4</w:t>
      </w:r>
      <w:r>
        <w:rPr/>
        <w:t>年。本次计划授予的限制性股票自授予之日起</w:t>
      </w:r>
      <w:r>
        <w:rPr>
          <w:rFonts w:ascii="Times New Roman" w:hAnsi="Times New Roman" w:cs="Times New Roman" w:eastAsia="Times New Roman" w:hint="default"/>
        </w:rPr>
        <w:t>12</w:t>
      </w:r>
      <w:r>
        <w:rPr/>
        <w:t>个月内为锁定期。在解锁日，公司为 满足解锁条件的激励对象办理解锁事宜，未满足解锁条件的激励对象持有的限制性股票由公司回购注销。</w:t>
      </w:r>
    </w:p>
    <w:p>
      <w:pPr>
        <w:pStyle w:val="BodyText"/>
        <w:spacing w:line="386" w:lineRule="auto" w:before="54"/>
        <w:ind w:right="194" w:firstLine="420"/>
        <w:jc w:val="left"/>
      </w:pPr>
      <w:r>
        <w:rPr/>
        <w:t>立信会计师事务所（特殊普通合伙）于</w:t>
      </w:r>
      <w:r>
        <w:rPr>
          <w:spacing w:val="-6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日出具了信会师报字【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711462</w:t>
      </w:r>
      <w:r>
        <w:rPr/>
        <w:t>号《验资 报告》，对公司截至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日止新增注册资本及实收资本（股本）情况进行了审验。 公司本次首次授予的限制性股票已于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日上市。</w:t>
      </w:r>
    </w:p>
    <w:p>
      <w:pPr>
        <w:pStyle w:val="BodyText"/>
        <w:spacing w:line="391" w:lineRule="auto" w:before="35"/>
        <w:ind w:right="102"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日，公司第四届董事会第二次会议及第四届监事会第二次会议审议通过了《关于回购注 </w:t>
      </w:r>
      <w:r>
        <w:rPr>
          <w:spacing w:val="-1"/>
        </w:rPr>
        <w:t>销部分股权激励对象所持已获授但尚未解锁的限制性股票的议案》，同意回购注销激励对象陈广、钱喜江</w:t>
      </w:r>
      <w:r>
        <w:rPr>
          <w:spacing w:val="-83"/>
        </w:rPr>
        <w:t> </w:t>
      </w:r>
      <w:r>
        <w:rPr>
          <w:spacing w:val="-83"/>
        </w:rPr>
      </w:r>
      <w:r>
        <w:rPr>
          <w:spacing w:val="-1"/>
        </w:rPr>
        <w:t>等</w:t>
      </w:r>
      <w:r>
        <w:rPr>
          <w:rFonts w:ascii="Times New Roman" w:hAnsi="Times New Roman" w:cs="Times New Roman" w:eastAsia="Times New Roman" w:hint="default"/>
          <w:spacing w:val="-1"/>
        </w:rPr>
        <w:t>11</w:t>
      </w:r>
      <w:r>
        <w:rPr>
          <w:spacing w:val="-1"/>
        </w:rPr>
        <w:t>名离职人员、余立道等</w:t>
      </w:r>
      <w:r>
        <w:rPr>
          <w:rFonts w:ascii="Times New Roman" w:hAnsi="Times New Roman" w:cs="Times New Roman" w:eastAsia="Times New Roman" w:hint="default"/>
          <w:spacing w:val="-1"/>
        </w:rPr>
        <w:t>4</w:t>
      </w:r>
      <w:r>
        <w:rPr>
          <w:spacing w:val="-1"/>
        </w:rPr>
        <w:t>名个人绩效考核结果未达标人员以及</w:t>
      </w:r>
      <w:r>
        <w:rPr>
          <w:rFonts w:ascii="Times New Roman" w:hAnsi="Times New Roman" w:cs="Times New Roman" w:eastAsia="Times New Roman" w:hint="default"/>
          <w:spacing w:val="-1"/>
        </w:rPr>
        <w:t>1</w:t>
      </w:r>
      <w:r>
        <w:rPr>
          <w:spacing w:val="-1"/>
        </w:rPr>
        <w:t>名去世人员已获授但尚未解锁的限制性</w:t>
      </w:r>
      <w:r>
        <w:rPr>
          <w:spacing w:val="-85"/>
        </w:rPr>
        <w:t> </w:t>
      </w:r>
      <w:r>
        <w:rPr>
          <w:spacing w:val="-85"/>
        </w:rPr>
      </w:r>
      <w:r>
        <w:rPr/>
        <w:t>股票共计</w:t>
      </w:r>
      <w:r>
        <w:rPr>
          <w:rFonts w:ascii="Times New Roman" w:hAnsi="Times New Roman" w:cs="Times New Roman" w:eastAsia="Times New Roman" w:hint="default"/>
        </w:rPr>
        <w:t>111,900</w:t>
      </w:r>
      <w:r>
        <w:rPr/>
        <w:t>股，回购价格为</w:t>
      </w:r>
      <w:r>
        <w:rPr>
          <w:rFonts w:ascii="Times New Roman" w:hAnsi="Times New Roman" w:cs="Times New Roman" w:eastAsia="Times New Roman" w:hint="default"/>
        </w:rPr>
        <w:t>12.37</w:t>
      </w:r>
      <w:r>
        <w:rPr/>
        <w:t>元</w:t>
      </w:r>
      <w:r>
        <w:rPr>
          <w:rFonts w:ascii="Times New Roman" w:hAnsi="Times New Roman" w:cs="Times New Roman" w:eastAsia="Times New Roman" w:hint="default"/>
        </w:rPr>
        <w:t>/</w:t>
      </w:r>
      <w:r>
        <w:rPr/>
        <w:t>股，公司合计应支付回购价款人民币</w:t>
      </w:r>
      <w:r>
        <w:rPr>
          <w:rFonts w:ascii="Times New Roman" w:hAnsi="Times New Roman" w:cs="Times New Roman" w:eastAsia="Times New Roman" w:hint="default"/>
        </w:rPr>
        <w:t>1,384,203</w:t>
      </w:r>
      <w:r>
        <w:rPr/>
        <w:t>元。公司已于</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日办理完毕回购注销手续。</w:t>
      </w:r>
    </w:p>
    <w:p>
      <w:pPr>
        <w:pStyle w:val="BodyText"/>
        <w:spacing w:line="386" w:lineRule="auto" w:before="30"/>
        <w:ind w:right="209" w:firstLine="420"/>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14</w:t>
      </w:r>
      <w:r>
        <w:rPr>
          <w:spacing w:val="-3"/>
        </w:rPr>
        <w:t>日，公司第四届董事会第三次会议审议通过了《关于取消授予预留限制性股票的议案》，</w:t>
      </w:r>
      <w:r>
        <w:rPr/>
        <w:t> 同意公司取消授予预留的限制性股票共计</w:t>
      </w:r>
      <w:r>
        <w:rPr>
          <w:rFonts w:ascii="Times New Roman" w:hAnsi="Times New Roman" w:cs="Times New Roman" w:eastAsia="Times New Roman" w:hint="default"/>
        </w:rPr>
        <w:t>80</w:t>
      </w:r>
      <w:r>
        <w:rPr/>
        <w:t>万股。</w:t>
      </w:r>
    </w:p>
    <w:p>
      <w:pPr>
        <w:pStyle w:val="BodyText"/>
        <w:spacing w:line="386" w:lineRule="auto" w:before="35"/>
        <w:ind w:right="102"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日，公司第四届董事会第三次会议及第四届监事会第三次会议审议通过了《关于公司限 制性股票激励计划首次授予限制性股票第一个解锁期解锁条件成就的议案》，同意对符合解锁条件的</w:t>
      </w:r>
      <w:r>
        <w:rPr>
          <w:rFonts w:ascii="Times New Roman" w:hAnsi="Times New Roman" w:cs="Times New Roman" w:eastAsia="Times New Roman" w:hint="default"/>
        </w:rPr>
        <w:t>449 </w:t>
      </w:r>
      <w:r>
        <w:rPr>
          <w:spacing w:val="-2"/>
        </w:rPr>
        <w:t>名激励对象的</w:t>
      </w:r>
      <w:r>
        <w:rPr>
          <w:rFonts w:ascii="Times New Roman" w:hAnsi="Times New Roman" w:cs="Times New Roman" w:eastAsia="Times New Roman" w:hint="default"/>
          <w:spacing w:val="-2"/>
        </w:rPr>
        <w:t>375.986</w:t>
      </w:r>
      <w:r>
        <w:rPr>
          <w:spacing w:val="-2"/>
        </w:rPr>
        <w:t>万股限制性股票按规定解锁，并为其办理相应的解锁手续，公司独立董事对本次解锁</w:t>
      </w:r>
      <w:r>
        <w:rPr>
          <w:spacing w:val="-85"/>
        </w:rPr>
        <w:t> </w:t>
      </w:r>
      <w:r>
        <w:rPr>
          <w:spacing w:val="-85"/>
        </w:rPr>
      </w:r>
      <w:r>
        <w:rPr/>
        <w:t>发表了独立意见，北京国枫律师事务所出具了法律意见书。本次解锁的限制性股票已于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日上 市流通。</w:t>
      </w:r>
    </w:p>
    <w:p>
      <w:pPr>
        <w:spacing w:after="0" w:line="386" w:lineRule="auto"/>
        <w:jc w:val="left"/>
        <w:sectPr>
          <w:footerReference w:type="default" r:id="rId25"/>
          <w:pgSz w:w="11910" w:h="16840"/>
          <w:pgMar w:footer="982" w:header="877" w:top="1100" w:bottom="1180" w:left="980" w:right="920"/>
          <w:pgNumType w:start="88"/>
        </w:sectPr>
      </w:pPr>
    </w:p>
    <w:p>
      <w:pPr>
        <w:spacing w:line="240" w:lineRule="auto" w:before="8"/>
        <w:rPr>
          <w:rFonts w:ascii="宋体" w:hAnsi="宋体" w:cs="宋体" w:eastAsia="宋体" w:hint="default"/>
          <w:sz w:val="26"/>
          <w:szCs w:val="26"/>
        </w:rPr>
      </w:pPr>
    </w:p>
    <w:p>
      <w:pPr>
        <w:pStyle w:val="BodyText"/>
        <w:spacing w:line="391" w:lineRule="auto" w:before="35"/>
        <w:ind w:right="188" w:firstLine="42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日，公司第四届董事会第六次会议及第四届监事会第五次会议审议通过了《关于回购注</w:t>
      </w:r>
      <w:r>
        <w:rPr/>
        <w:t> </w:t>
      </w:r>
      <w:r>
        <w:rPr>
          <w:spacing w:val="-1"/>
        </w:rPr>
        <w:t>销部分股权激励对象所持已获授但尚未解锁的限制性股票的议案》，同意回购注销激励对象罗旭涛、张湧</w:t>
      </w:r>
      <w:r>
        <w:rPr>
          <w:spacing w:val="-83"/>
        </w:rPr>
        <w:t> </w:t>
      </w:r>
      <w:r>
        <w:rPr>
          <w:spacing w:val="-83"/>
        </w:rPr>
      </w:r>
      <w:r>
        <w:rPr>
          <w:spacing w:val="-2"/>
        </w:rPr>
        <w:t>峰等</w:t>
      </w:r>
      <w:r>
        <w:rPr>
          <w:rFonts w:ascii="Times New Roman" w:hAnsi="Times New Roman" w:cs="Times New Roman" w:eastAsia="Times New Roman" w:hint="default"/>
          <w:spacing w:val="-2"/>
        </w:rPr>
        <w:t>6</w:t>
      </w:r>
      <w:r>
        <w:rPr>
          <w:spacing w:val="-2"/>
        </w:rPr>
        <w:t>名离职人员已获授但尚未解锁的</w:t>
      </w:r>
      <w:r>
        <w:rPr>
          <w:rFonts w:ascii="Times New Roman" w:hAnsi="Times New Roman" w:cs="Times New Roman" w:eastAsia="Times New Roman" w:hint="default"/>
          <w:spacing w:val="-2"/>
        </w:rPr>
        <w:t>36,900</w:t>
      </w:r>
      <w:r>
        <w:rPr>
          <w:spacing w:val="-2"/>
        </w:rPr>
        <w:t>股限制性股票。公司向激励对象授予限制性股票的授予价格为</w:t>
      </w:r>
      <w:r>
        <w:rPr>
          <w:spacing w:val="-86"/>
        </w:rPr>
        <w:t> </w:t>
      </w:r>
      <w:r>
        <w:rPr>
          <w:spacing w:val="-86"/>
        </w:rPr>
      </w:r>
      <w:r>
        <w:rPr>
          <w:rFonts w:ascii="Times New Roman" w:hAnsi="Times New Roman" w:cs="Times New Roman" w:eastAsia="Times New Roman" w:hint="default"/>
        </w:rPr>
        <w:t>12.37</w:t>
      </w:r>
      <w:r>
        <w:rPr/>
        <w:t>元</w:t>
      </w:r>
      <w:r>
        <w:rPr>
          <w:rFonts w:ascii="Times New Roman" w:hAnsi="Times New Roman" w:cs="Times New Roman" w:eastAsia="Times New Roman" w:hint="default"/>
        </w:rPr>
        <w:t>/</w:t>
      </w:r>
      <w:r>
        <w:rPr/>
        <w:t>股，公司已于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月实施了向全体股东按每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0.55</w:t>
      </w:r>
      <w:r>
        <w:rPr/>
        <w:t>元，因此回购价格应 调整为</w:t>
      </w:r>
      <w:r>
        <w:rPr>
          <w:rFonts w:ascii="Times New Roman" w:hAnsi="Times New Roman" w:cs="Times New Roman" w:eastAsia="Times New Roman" w:hint="default"/>
        </w:rPr>
        <w:t>12.315</w:t>
      </w:r>
      <w:r>
        <w:rPr/>
        <w:t>元</w:t>
      </w:r>
      <w:r>
        <w:rPr>
          <w:rFonts w:ascii="Times New Roman" w:hAnsi="Times New Roman" w:cs="Times New Roman" w:eastAsia="Times New Roman" w:hint="default"/>
        </w:rPr>
        <w:t>/</w:t>
      </w:r>
      <w:r>
        <w:rPr/>
        <w:t>股。罗旭涛、张湧峰等</w:t>
      </w:r>
      <w:r>
        <w:rPr>
          <w:rFonts w:ascii="Times New Roman" w:hAnsi="Times New Roman" w:cs="Times New Roman" w:eastAsia="Times New Roman" w:hint="default"/>
        </w:rPr>
        <w:t>6</w:t>
      </w:r>
      <w:r>
        <w:rPr/>
        <w:t>人未解锁的股份</w:t>
      </w:r>
      <w:r>
        <w:rPr>
          <w:rFonts w:ascii="Times New Roman" w:hAnsi="Times New Roman" w:cs="Times New Roman" w:eastAsia="Times New Roman" w:hint="default"/>
        </w:rPr>
        <w:t>2016</w:t>
      </w:r>
      <w:r>
        <w:rPr/>
        <w:t>年度的现金分红目前均由公司代管，未实际 派发，因此，实际回购价格仍为</w:t>
      </w:r>
      <w:r>
        <w:rPr>
          <w:rFonts w:ascii="Times New Roman" w:hAnsi="Times New Roman" w:cs="Times New Roman" w:eastAsia="Times New Roman" w:hint="default"/>
        </w:rPr>
        <w:t>12.37</w:t>
      </w:r>
      <w:r>
        <w:rPr/>
        <w:t>元</w:t>
      </w:r>
      <w:r>
        <w:rPr>
          <w:rFonts w:ascii="Times New Roman" w:hAnsi="Times New Roman" w:cs="Times New Roman" w:eastAsia="Times New Roman" w:hint="default"/>
        </w:rPr>
        <w:t>/</w:t>
      </w:r>
      <w:r>
        <w:rPr/>
        <w:t>股，公司合计应支付回购价款人民币</w:t>
      </w:r>
      <w:r>
        <w:rPr>
          <w:rFonts w:ascii="Times New Roman" w:hAnsi="Times New Roman" w:cs="Times New Roman" w:eastAsia="Times New Roman" w:hint="default"/>
        </w:rPr>
        <w:t>456,453</w:t>
      </w:r>
      <w:r>
        <w:rPr/>
        <w:t>元。公司已于</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t>年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日办理完毕回购注销手续。</w:t>
      </w:r>
    </w:p>
    <w:p>
      <w:pPr>
        <w:pStyle w:val="BodyText"/>
        <w:spacing w:line="386" w:lineRule="auto" w:before="30"/>
        <w:ind w:right="102"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日，公司第四届董事会第九次会议审议通过了《关于回购注销不符合激励条件的激励对 象所持已获授但尚未解锁的限制性股票的议案》，同意回购注销原激励对象李莘、王鹏飞等</w:t>
      </w:r>
      <w:r>
        <w:rPr>
          <w:rFonts w:ascii="Times New Roman" w:hAnsi="Times New Roman" w:cs="Times New Roman" w:eastAsia="Times New Roman" w:hint="default"/>
        </w:rPr>
        <w:t>10</w:t>
      </w:r>
      <w:r>
        <w:rPr/>
        <w:t>名离职人员 已获授但尚未解锁的共计</w:t>
      </w:r>
      <w:r>
        <w:rPr>
          <w:rFonts w:ascii="Times New Roman" w:hAnsi="Times New Roman" w:cs="Times New Roman" w:eastAsia="Times New Roman" w:hint="default"/>
        </w:rPr>
        <w:t>45,600</w:t>
      </w:r>
      <w:r>
        <w:rPr/>
        <w:t>股限制性股票。公司向激励对象授予限制性股票的授予价格为</w:t>
      </w:r>
      <w:r>
        <w:rPr>
          <w:rFonts w:ascii="Times New Roman" w:hAnsi="Times New Roman" w:cs="Times New Roman" w:eastAsia="Times New Roman" w:hint="default"/>
        </w:rPr>
        <w:t>12.37</w:t>
      </w:r>
      <w:r>
        <w:rPr/>
        <w:t>元</w:t>
      </w:r>
      <w:r>
        <w:rPr>
          <w:rFonts w:ascii="Times New Roman" w:hAnsi="Times New Roman" w:cs="Times New Roman" w:eastAsia="Times New Roman" w:hint="default"/>
        </w:rPr>
        <w:t>/</w:t>
      </w:r>
      <w:r>
        <w:rPr/>
        <w:t>股，</w:t>
      </w:r>
      <w:r>
        <w:rPr>
          <w:spacing w:val="-92"/>
        </w:rPr>
        <w:t> </w:t>
      </w:r>
      <w:r>
        <w:rPr/>
        <w:t>鉴于公司于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月实施了向全体股东按每</w:t>
      </w:r>
      <w:r>
        <w:rPr>
          <w:rFonts w:ascii="Times New Roman" w:hAnsi="Times New Roman" w:cs="Times New Roman" w:eastAsia="Times New Roman" w:hint="default"/>
        </w:rPr>
        <w:t>10</w:t>
      </w:r>
      <w:r>
        <w:rPr/>
        <w:t>股派发现金人民币</w:t>
      </w:r>
      <w:r>
        <w:rPr>
          <w:rFonts w:ascii="Times New Roman" w:hAnsi="Times New Roman" w:cs="Times New Roman" w:eastAsia="Times New Roman" w:hint="default"/>
        </w:rPr>
        <w:t>0.55</w:t>
      </w:r>
      <w:r>
        <w:rPr/>
        <w:t>元，因此回购价格应调整为</w:t>
      </w:r>
      <w:r>
        <w:rPr>
          <w:rFonts w:ascii="Times New Roman" w:hAnsi="Times New Roman" w:cs="Times New Roman" w:eastAsia="Times New Roman" w:hint="default"/>
        </w:rPr>
        <w:t>12.315</w:t>
      </w:r>
      <w:r>
        <w:rPr/>
        <w:t>元</w:t>
      </w:r>
    </w:p>
    <w:p>
      <w:pPr>
        <w:pStyle w:val="BodyText"/>
        <w:spacing w:line="386" w:lineRule="auto" w:before="35"/>
        <w:ind w:right="102"/>
        <w:jc w:val="left"/>
      </w:pPr>
      <w:r>
        <w:rPr>
          <w:rFonts w:ascii="Times New Roman" w:hAnsi="Times New Roman" w:cs="Times New Roman" w:eastAsia="Times New Roman" w:hint="default"/>
          <w:spacing w:val="-2"/>
        </w:rPr>
        <w:t>/</w:t>
      </w:r>
      <w:r>
        <w:rPr>
          <w:spacing w:val="-2"/>
        </w:rPr>
        <w:t>股。由于李莘、王鹏飞等</w:t>
      </w:r>
      <w:r>
        <w:rPr>
          <w:rFonts w:ascii="Times New Roman" w:hAnsi="Times New Roman" w:cs="Times New Roman" w:eastAsia="Times New Roman" w:hint="default"/>
          <w:spacing w:val="-2"/>
        </w:rPr>
        <w:t>10</w:t>
      </w:r>
      <w:r>
        <w:rPr>
          <w:spacing w:val="-2"/>
        </w:rPr>
        <w:t>名离职人员</w:t>
      </w:r>
      <w:r>
        <w:rPr>
          <w:rFonts w:ascii="Times New Roman" w:hAnsi="Times New Roman" w:cs="Times New Roman" w:eastAsia="Times New Roman" w:hint="default"/>
          <w:spacing w:val="-2"/>
        </w:rPr>
        <w:t>2016</w:t>
      </w:r>
      <w:r>
        <w:rPr>
          <w:spacing w:val="-2"/>
        </w:rPr>
        <w:t>年度的现金分红目前均由公司代管，未实际派发，因此，实际</w:t>
      </w:r>
      <w:r>
        <w:rPr>
          <w:spacing w:val="-92"/>
        </w:rPr>
        <w:t> </w:t>
      </w:r>
      <w:r>
        <w:rPr>
          <w:spacing w:val="-92"/>
        </w:rPr>
      </w:r>
      <w:r>
        <w:rPr/>
        <w:t>回购价格仍为</w:t>
      </w:r>
      <w:r>
        <w:rPr>
          <w:rFonts w:ascii="Times New Roman" w:hAnsi="Times New Roman" w:cs="Times New Roman" w:eastAsia="Times New Roman" w:hint="default"/>
        </w:rPr>
        <w:t>12.37</w:t>
      </w:r>
      <w:r>
        <w:rPr/>
        <w:t>元</w:t>
      </w:r>
      <w:r>
        <w:rPr>
          <w:rFonts w:ascii="Times New Roman" w:hAnsi="Times New Roman" w:cs="Times New Roman" w:eastAsia="Times New Roman" w:hint="default"/>
        </w:rPr>
        <w:t>/</w:t>
      </w:r>
      <w:r>
        <w:rPr/>
        <w:t>股。</w:t>
      </w:r>
    </w:p>
    <w:p>
      <w:pPr>
        <w:pStyle w:val="BodyText"/>
        <w:spacing w:line="386" w:lineRule="auto" w:before="35"/>
        <w:ind w:left="153" w:right="102"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日，公司第四届董事会第九次会议与第四届监事会第八次会议审议通过了《关于终止实 施</w:t>
      </w:r>
      <w:r>
        <w:rPr>
          <w:rFonts w:ascii="Times New Roman" w:hAnsi="Times New Roman" w:cs="Times New Roman" w:eastAsia="Times New Roman" w:hint="default"/>
        </w:rPr>
        <w:t>2016</w:t>
      </w:r>
      <w:r>
        <w:rPr/>
        <w:t>年限制性股票激励计划暨回购注销已获授但尚未解锁的限制性股票的议案》、《关于终止执行</w:t>
      </w:r>
      <w:r>
        <w:rPr>
          <w:rFonts w:ascii="Times New Roman" w:hAnsi="Times New Roman" w:cs="Times New Roman" w:eastAsia="Times New Roman" w:hint="default"/>
        </w:rPr>
        <w:t>&lt;</w:t>
      </w:r>
      <w:r>
        <w:rPr/>
        <w:t>新 开普电子股份有限公司限制性股票激励计划实施考核管理办法</w:t>
      </w:r>
      <w:r>
        <w:rPr>
          <w:rFonts w:ascii="Times New Roman" w:hAnsi="Times New Roman" w:cs="Times New Roman" w:eastAsia="Times New Roman" w:hint="default"/>
        </w:rPr>
        <w:t>&gt;</w:t>
      </w:r>
      <w:r>
        <w:rPr/>
        <w:t>的议案》等议案，同意公司终止实施激励 计划并回购注销剩余</w:t>
      </w:r>
      <w:r>
        <w:rPr>
          <w:rFonts w:ascii="Times New Roman" w:hAnsi="Times New Roman" w:cs="Times New Roman" w:eastAsia="Times New Roman" w:hint="default"/>
        </w:rPr>
        <w:t>435</w:t>
      </w:r>
      <w:r>
        <w:rPr/>
        <w:t>名激励对象已获授但尚未解锁的限制性股票共计</w:t>
      </w:r>
      <w:r>
        <w:rPr>
          <w:rFonts w:ascii="Times New Roman" w:hAnsi="Times New Roman" w:cs="Times New Roman" w:eastAsia="Times New Roman" w:hint="default"/>
        </w:rPr>
        <w:t>5,575,140</w:t>
      </w:r>
      <w:r>
        <w:rPr/>
        <w:t>股。公司向激励对象授 </w:t>
      </w:r>
      <w:r>
        <w:rPr>
          <w:spacing w:val="-1"/>
        </w:rPr>
        <w:t>予限制性股票的授予价格为</w:t>
      </w:r>
      <w:r>
        <w:rPr>
          <w:rFonts w:ascii="Times New Roman" w:hAnsi="Times New Roman" w:cs="Times New Roman" w:eastAsia="Times New Roman" w:hint="default"/>
          <w:spacing w:val="-1"/>
        </w:rPr>
        <w:t>12.37</w:t>
      </w:r>
      <w:r>
        <w:rPr>
          <w:spacing w:val="-1"/>
        </w:rPr>
        <w:t>元</w:t>
      </w:r>
      <w:r>
        <w:rPr>
          <w:rFonts w:ascii="Times New Roman" w:hAnsi="Times New Roman" w:cs="Times New Roman" w:eastAsia="Times New Roman" w:hint="default"/>
          <w:spacing w:val="-1"/>
        </w:rPr>
        <w:t>/</w:t>
      </w:r>
      <w:r>
        <w:rPr>
          <w:spacing w:val="-1"/>
        </w:rPr>
        <w:t>股，鉴于公司于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月实施了向全体股东按每</w:t>
      </w:r>
      <w:r>
        <w:rPr>
          <w:rFonts w:ascii="Times New Roman" w:hAnsi="Times New Roman" w:cs="Times New Roman" w:eastAsia="Times New Roman" w:hint="default"/>
          <w:spacing w:val="-1"/>
        </w:rPr>
        <w:t>10</w:t>
      </w:r>
      <w:r>
        <w:rPr>
          <w:spacing w:val="-1"/>
        </w:rPr>
        <w:t>股派发现金人民币</w:t>
      </w:r>
      <w:r>
        <w:rPr>
          <w:spacing w:val="-90"/>
        </w:rPr>
        <w:t> </w:t>
      </w:r>
      <w:r>
        <w:rPr>
          <w:spacing w:val="-90"/>
        </w:rPr>
      </w:r>
      <w:r>
        <w:rPr>
          <w:rFonts w:ascii="Times New Roman" w:hAnsi="Times New Roman" w:cs="Times New Roman" w:eastAsia="Times New Roman" w:hint="default"/>
        </w:rPr>
        <w:t>0.55</w:t>
      </w:r>
      <w:r>
        <w:rPr/>
        <w:t>元，因此回购价格应调整为</w:t>
      </w:r>
      <w:r>
        <w:rPr>
          <w:rFonts w:ascii="Times New Roman" w:hAnsi="Times New Roman" w:cs="Times New Roman" w:eastAsia="Times New Roman" w:hint="default"/>
        </w:rPr>
        <w:t>12.315</w:t>
      </w:r>
      <w:r>
        <w:rPr/>
        <w:t>元</w:t>
      </w:r>
      <w:r>
        <w:rPr>
          <w:rFonts w:ascii="Times New Roman" w:hAnsi="Times New Roman" w:cs="Times New Roman" w:eastAsia="Times New Roman" w:hint="default"/>
        </w:rPr>
        <w:t>/</w:t>
      </w:r>
      <w:r>
        <w:rPr/>
        <w:t>股。由于</w:t>
      </w:r>
      <w:r>
        <w:rPr>
          <w:rFonts w:ascii="Times New Roman" w:hAnsi="Times New Roman" w:cs="Times New Roman" w:eastAsia="Times New Roman" w:hint="default"/>
        </w:rPr>
        <w:t>2016</w:t>
      </w:r>
      <w:r>
        <w:rPr/>
        <w:t>年度的现金分红目前均由公司代管，未实际派发， 因此，实际回购价格仍为</w:t>
      </w:r>
      <w:r>
        <w:rPr>
          <w:rFonts w:ascii="Times New Roman" w:hAnsi="Times New Roman" w:cs="Times New Roman" w:eastAsia="Times New Roman" w:hint="default"/>
        </w:rPr>
        <w:t>12.37</w:t>
      </w:r>
      <w:r>
        <w:rPr/>
        <w:t>元</w:t>
      </w:r>
      <w:r>
        <w:rPr>
          <w:rFonts w:ascii="Times New Roman" w:hAnsi="Times New Roman" w:cs="Times New Roman" w:eastAsia="Times New Roman" w:hint="default"/>
        </w:rPr>
        <w:t>/</w:t>
      </w:r>
      <w:r>
        <w:rPr/>
        <w:t>股，并以银行同期存款利率为准计息。上述事项已于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日经公 司</w:t>
      </w:r>
      <w:r>
        <w:rPr>
          <w:rFonts w:ascii="Times New Roman" w:hAnsi="Times New Roman" w:cs="Times New Roman" w:eastAsia="Times New Roman" w:hint="default"/>
        </w:rPr>
        <w:t>2018</w:t>
      </w:r>
      <w:r>
        <w:rPr/>
        <w:t>年第一次临时股东大会审议通过。</w:t>
      </w:r>
    </w:p>
    <w:p>
      <w:pPr>
        <w:spacing w:line="240" w:lineRule="auto" w:before="0"/>
        <w:rPr>
          <w:rFonts w:ascii="宋体" w:hAnsi="宋体" w:cs="宋体" w:eastAsia="宋体" w:hint="default"/>
          <w:sz w:val="18"/>
          <w:szCs w:val="18"/>
        </w:rPr>
      </w:pPr>
    </w:p>
    <w:p>
      <w:pPr>
        <w:pStyle w:val="Heading2"/>
        <w:spacing w:line="240" w:lineRule="auto"/>
        <w:ind w:right="102"/>
        <w:jc w:val="left"/>
        <w:rPr>
          <w:b w:val="0"/>
          <w:bCs w:val="0"/>
        </w:rPr>
      </w:pP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5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right="102"/>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55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after="0" w:line="340" w:lineRule="auto"/>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Heading4"/>
        <w:spacing w:line="240" w:lineRule="auto" w:before="35"/>
        <w:ind w:right="102"/>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2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right="10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67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right="102"/>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before="0"/>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1" w:lineRule="auto" w:before="153"/>
        <w:ind w:left="153" w:right="101" w:firstLine="433"/>
        <w:jc w:val="left"/>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8</w:t>
      </w:r>
      <w:r>
        <w:rPr>
          <w:spacing w:val="-3"/>
        </w:rPr>
        <w:t>日，新开普电子股份有限公司（以下简称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）与北京希嘉创智教育科技有限公司（以</w:t>
      </w:r>
      <w:r>
        <w:rPr/>
        <w:t> 下简称</w:t>
      </w:r>
      <w:r>
        <w:rPr>
          <w:rFonts w:ascii="Times New Roman" w:hAnsi="Times New Roman" w:cs="Times New Roman" w:eastAsia="Times New Roman" w:hint="default"/>
        </w:rPr>
        <w:t>“</w:t>
      </w:r>
      <w:r>
        <w:rPr/>
        <w:t>希嘉教育</w:t>
      </w:r>
      <w:r>
        <w:rPr>
          <w:rFonts w:ascii="Times New Roman" w:hAnsi="Times New Roman" w:cs="Times New Roman" w:eastAsia="Times New Roman" w:hint="default"/>
        </w:rPr>
        <w:t>”</w:t>
      </w:r>
      <w:r>
        <w:rPr/>
        <w:t>）、希嘉教育股东北京希嘉创智科技有限公司（以下简称</w:t>
      </w:r>
      <w:r>
        <w:rPr>
          <w:rFonts w:ascii="Times New Roman" w:hAnsi="Times New Roman" w:cs="Times New Roman" w:eastAsia="Times New Roman" w:hint="default"/>
        </w:rPr>
        <w:t>“</w:t>
      </w:r>
      <w:r>
        <w:rPr/>
        <w:t>希嘉科技</w:t>
      </w:r>
      <w:r>
        <w:rPr>
          <w:rFonts w:ascii="Times New Roman" w:hAnsi="Times New Roman" w:cs="Times New Roman" w:eastAsia="Times New Roman" w:hint="default"/>
        </w:rPr>
        <w:t>”</w:t>
      </w:r>
      <w:r>
        <w:rPr/>
        <w:t>）、北京希嘉科技 发展中心（有限合伙）（以下简称</w:t>
      </w:r>
      <w:r>
        <w:rPr>
          <w:rFonts w:ascii="Times New Roman" w:hAnsi="Times New Roman" w:cs="Times New Roman" w:eastAsia="Times New Roman" w:hint="default"/>
        </w:rPr>
        <w:t>“</w:t>
      </w:r>
      <w:r>
        <w:rPr/>
        <w:t>希嘉发展中心</w:t>
      </w:r>
      <w:r>
        <w:rPr>
          <w:rFonts w:ascii="Times New Roman" w:hAnsi="Times New Roman" w:cs="Times New Roman" w:eastAsia="Times New Roman" w:hint="default"/>
        </w:rPr>
        <w:t>”</w:t>
      </w:r>
      <w:r>
        <w:rPr/>
        <w:t>）、汪浩及希嘉科技股东等</w:t>
      </w:r>
      <w:r>
        <w:rPr>
          <w:rFonts w:ascii="Times New Roman" w:hAnsi="Times New Roman" w:cs="Times New Roman" w:eastAsia="Times New Roman" w:hint="default"/>
        </w:rPr>
        <w:t>10</w:t>
      </w:r>
      <w:r>
        <w:rPr/>
        <w:t>方签署《新开普电子股份 有限公司与北京希嘉创智科技有限公司、汪浩、北京希嘉科技发展中心（有限合伙）及北京希嘉创智教育 科技有限公司关于北京希嘉创智教育科技有限公司之增资协议》（以下简称《</w:t>
      </w:r>
      <w:r>
        <w:rPr>
          <w:rFonts w:ascii="Times New Roman" w:hAnsi="Times New Roman" w:cs="Times New Roman" w:eastAsia="Times New Roman" w:hint="default"/>
        </w:rPr>
        <w:t>2016</w:t>
      </w:r>
      <w:r>
        <w:rPr/>
        <w:t>年增资协议》）。公司 以自有资金人民币</w:t>
      </w:r>
      <w:r>
        <w:rPr>
          <w:rFonts w:ascii="Times New Roman" w:hAnsi="Times New Roman" w:cs="Times New Roman" w:eastAsia="Times New Roman" w:hint="default"/>
        </w:rPr>
        <w:t>2,400.00</w:t>
      </w:r>
      <w:r>
        <w:rPr/>
        <w:t>万元通过增资扩股的方式投资希嘉教育，公司持股占其增资后注册资本的</w:t>
      </w:r>
      <w:r>
        <w:rPr>
          <w:rFonts w:ascii="Times New Roman" w:hAnsi="Times New Roman" w:cs="Times New Roman" w:eastAsia="Times New Roman" w:hint="default"/>
        </w:rPr>
        <w:t>20%</w:t>
      </w:r>
      <w:r>
        <w:rPr/>
        <w:t>。</w:t>
      </w:r>
      <w:r>
        <w:rPr>
          <w:spacing w:val="-100"/>
        </w:rPr>
        <w:t> </w:t>
      </w:r>
      <w:r>
        <w:rPr/>
        <w:t>根据《</w:t>
      </w:r>
      <w:r>
        <w:rPr>
          <w:rFonts w:ascii="Times New Roman" w:hAnsi="Times New Roman" w:cs="Times New Roman" w:eastAsia="Times New Roman" w:hint="default"/>
        </w:rPr>
        <w:t>2016</w:t>
      </w:r>
      <w:r>
        <w:rPr/>
        <w:t>年增资协议》协议安排，公司副总经理傅常顺先生担任希嘉教育董事。</w:t>
      </w:r>
    </w:p>
    <w:p>
      <w:pPr>
        <w:pStyle w:val="BodyText"/>
        <w:spacing w:line="400" w:lineRule="auto" w:before="30"/>
        <w:ind w:left="153" w:right="104"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日，公司第四届董事会第六次会议和第四届监事会第五次会议分别审议通过《关于对参 股子公司增资暨关联交易的议案》。同日，公司与希嘉教育、希嘉教育股东希嘉科技、希嘉发展中心、汪 浩及希嘉科技股东签署《新开普电子股份有限公司与北京希嘉创智科技有限公司、汪浩、北京希嘉科技发 展中心（有限合伙）及北京希嘉创智教育科技有限公司关于北京希嘉创智教育科技有限公司之增资协议》</w:t>
      </w:r>
    </w:p>
    <w:p>
      <w:pPr>
        <w:pStyle w:val="BodyText"/>
        <w:spacing w:line="386" w:lineRule="auto" w:before="52"/>
        <w:ind w:left="153" w:right="102"/>
        <w:jc w:val="left"/>
      </w:pPr>
      <w:r>
        <w:rPr>
          <w:spacing w:val="-3"/>
        </w:rPr>
        <w:t>（以下简称</w:t>
      </w:r>
      <w:r>
        <w:rPr>
          <w:rFonts w:ascii="Times New Roman" w:hAnsi="Times New Roman" w:cs="Times New Roman" w:eastAsia="Times New Roman" w:hint="default"/>
          <w:spacing w:val="-3"/>
        </w:rPr>
        <w:t>“</w:t>
      </w:r>
      <w:r>
        <w:rPr>
          <w:spacing w:val="-3"/>
        </w:rPr>
        <w:t>《协议》</w:t>
      </w:r>
      <w:r>
        <w:rPr>
          <w:rFonts w:ascii="Times New Roman" w:hAnsi="Times New Roman" w:cs="Times New Roman" w:eastAsia="Times New Roman" w:hint="default"/>
          <w:spacing w:val="-3"/>
        </w:rPr>
        <w:t>”</w:t>
      </w:r>
      <w:r>
        <w:rPr>
          <w:spacing w:val="-3"/>
        </w:rPr>
        <w:t>）。公司使用自有资金人民币</w:t>
      </w:r>
      <w:r>
        <w:rPr>
          <w:rFonts w:ascii="Times New Roman" w:hAnsi="Times New Roman" w:cs="Times New Roman" w:eastAsia="Times New Roman" w:hint="default"/>
          <w:spacing w:val="-3"/>
        </w:rPr>
        <w:t>1,000.00</w:t>
      </w:r>
      <w:r>
        <w:rPr>
          <w:spacing w:val="-3"/>
        </w:rPr>
        <w:t>万元对参股子公司希嘉教育进行增资，认购希</w:t>
      </w:r>
      <w:r>
        <w:rPr>
          <w:spacing w:val="-60"/>
        </w:rPr>
        <w:t> </w:t>
      </w:r>
      <w:r>
        <w:rPr>
          <w:spacing w:val="-60"/>
        </w:rPr>
      </w:r>
      <w:r>
        <w:rPr/>
        <w:t>嘉教育基于完全摊薄基础上共计</w:t>
      </w:r>
      <w:r>
        <w:rPr>
          <w:rFonts w:ascii="Times New Roman" w:hAnsi="Times New Roman" w:cs="Times New Roman" w:eastAsia="Times New Roman" w:hint="default"/>
        </w:rPr>
        <w:t>5%</w:t>
      </w:r>
      <w:r>
        <w:rPr/>
        <w:t>的股权。其中人民币</w:t>
      </w:r>
      <w:r>
        <w:rPr>
          <w:rFonts w:ascii="Times New Roman" w:hAnsi="Times New Roman" w:cs="Times New Roman" w:eastAsia="Times New Roman" w:hint="default"/>
        </w:rPr>
        <w:t>65.789</w:t>
      </w:r>
      <w:r>
        <w:rPr/>
        <w:t>万元作为希嘉教育新增注册资本，剩余 </w:t>
      </w:r>
      <w:r>
        <w:rPr>
          <w:rFonts w:ascii="Times New Roman" w:hAnsi="Times New Roman" w:cs="Times New Roman" w:eastAsia="Times New Roman" w:hint="default"/>
        </w:rPr>
        <w:t>934.211</w:t>
      </w:r>
      <w:r>
        <w:rPr/>
        <w:t>万元进入希嘉教育资本公积金。</w:t>
      </w:r>
    </w:p>
    <w:p>
      <w:pPr>
        <w:spacing w:line="240" w:lineRule="auto" w:before="0"/>
        <w:rPr>
          <w:rFonts w:ascii="宋体" w:hAnsi="宋体" w:cs="宋体" w:eastAsia="宋体" w:hint="default"/>
          <w:sz w:val="17"/>
          <w:szCs w:val="17"/>
        </w:rPr>
      </w:pPr>
    </w:p>
    <w:p>
      <w:pPr>
        <w:spacing w:before="0"/>
        <w:ind w:left="153" w:right="102"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关于对参股子公司增资暨关联交易的公告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第四届董事会第六次会议公告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第四届监事会第五次会议公告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9"/>
        <w:rPr>
          <w:rFonts w:ascii="宋体" w:hAnsi="宋体" w:cs="宋体" w:eastAsia="宋体" w:hint="default"/>
          <w:sz w:val="19"/>
          <w:szCs w:val="19"/>
        </w:rPr>
      </w:pPr>
    </w:p>
    <w:p>
      <w:pPr>
        <w:pStyle w:val="Heading2"/>
        <w:spacing w:line="240" w:lineRule="auto" w:before="26"/>
        <w:ind w:right="102"/>
        <w:jc w:val="left"/>
        <w:rPr>
          <w:b w:val="0"/>
          <w:bCs w:val="0"/>
        </w:rPr>
      </w:pP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4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10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4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10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4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386" w:lineRule="auto" w:before="95"/>
        <w:ind w:right="102" w:firstLine="427"/>
        <w:jc w:val="left"/>
      </w:pPr>
      <w:r>
        <w:rPr>
          <w:rFonts w:ascii="Times New Roman" w:hAnsi="Times New Roman" w:cs="Times New Roman" w:eastAsia="Times New Roman" w:hint="default"/>
        </w:rPr>
        <w:t>1</w:t>
      </w:r>
      <w:r>
        <w:rPr/>
        <w:t>、经公司第三届董事会第七次会议及第三届监事会第六次会议审议通过，公司同意将位于郑州高新 技术产业开发区翠竹街</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863</w:t>
      </w:r>
      <w:r>
        <w:rPr/>
        <w:t>国家软件基地</w:t>
      </w:r>
      <w:r>
        <w:rPr>
          <w:rFonts w:ascii="Times New Roman" w:hAnsi="Times New Roman" w:cs="Times New Roman" w:eastAsia="Times New Roman" w:hint="default"/>
        </w:rPr>
        <w:t>10</w:t>
      </w:r>
      <w:r>
        <w:rPr/>
        <w:t>号楼房产整体向郑州罗曼达酒店管理有限公司进行出租，并 签署《房屋租赁合同》，租赁期限自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日止共计</w:t>
      </w:r>
      <w:r>
        <w:rPr>
          <w:rFonts w:ascii="Times New Roman" w:hAnsi="Times New Roman" w:cs="Times New Roman" w:eastAsia="Times New Roman" w:hint="default"/>
        </w:rPr>
        <w:t>15</w:t>
      </w:r>
      <w:r>
        <w:rPr/>
        <w:t>年。双方约定自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w:t>
      </w:r>
      <w:r>
        <w:rPr/>
        <w:t>日起，年租金为</w:t>
      </w:r>
      <w:r>
        <w:rPr>
          <w:rFonts w:ascii="Times New Roman" w:hAnsi="Times New Roman" w:cs="Times New Roman" w:eastAsia="Times New Roman" w:hint="default"/>
        </w:rPr>
        <w:t>339</w:t>
      </w:r>
      <w:r>
        <w:rPr/>
        <w:t>万元</w:t>
      </w:r>
      <w:r>
        <w:rPr>
          <w:rFonts w:ascii="Times New Roman" w:hAnsi="Times New Roman" w:cs="Times New Roman" w:eastAsia="Times New Roman" w:hint="default"/>
        </w:rPr>
        <w:t>/</w:t>
      </w:r>
      <w:r>
        <w:rPr/>
        <w:t>年；第</w:t>
      </w:r>
      <w:r>
        <w:rPr>
          <w:rFonts w:ascii="Times New Roman" w:hAnsi="Times New Roman" w:cs="Times New Roman" w:eastAsia="Times New Roman" w:hint="default"/>
        </w:rPr>
        <w:t>5</w:t>
      </w:r>
      <w:r>
        <w:rPr/>
        <w:t>个租赁年度内（</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日）开始租金在第一年的基础上递增</w:t>
      </w:r>
      <w:r>
        <w:rPr>
          <w:rFonts w:ascii="Times New Roman" w:hAnsi="Times New Roman" w:cs="Times New Roman" w:eastAsia="Times New Roman" w:hint="default"/>
        </w:rPr>
        <w:t>5%</w:t>
      </w:r>
      <w:r>
        <w:rPr/>
        <w:t>，</w:t>
      </w:r>
      <w:r>
        <w:rPr>
          <w:spacing w:val="-63"/>
        </w:rPr>
        <w:t> </w:t>
      </w:r>
      <w:r>
        <w:rPr/>
        <w:t>为</w:t>
      </w:r>
      <w:r>
        <w:rPr>
          <w:rFonts w:ascii="Times New Roman" w:hAnsi="Times New Roman" w:cs="Times New Roman" w:eastAsia="Times New Roman" w:hint="default"/>
        </w:rPr>
        <w:t>355.95</w:t>
      </w:r>
      <w:r>
        <w:rPr/>
        <w:t>万元</w:t>
      </w:r>
      <w:r>
        <w:rPr>
          <w:rFonts w:ascii="Times New Roman" w:hAnsi="Times New Roman" w:cs="Times New Roman" w:eastAsia="Times New Roman" w:hint="default"/>
        </w:rPr>
        <w:t>/</w:t>
      </w:r>
      <w:r>
        <w:rPr/>
        <w:t>年，之后五年不变；第</w:t>
      </w:r>
      <w:r>
        <w:rPr>
          <w:rFonts w:ascii="Times New Roman" w:hAnsi="Times New Roman" w:cs="Times New Roman" w:eastAsia="Times New Roman" w:hint="default"/>
        </w:rPr>
        <w:t>10</w:t>
      </w:r>
      <w:r>
        <w:rPr/>
        <w:t>个租赁年度（</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日）开始的最后租赁期内，年租金在上年 度租金的基础上递增，比例为</w:t>
      </w:r>
      <w:r>
        <w:rPr>
          <w:rFonts w:ascii="Times New Roman" w:hAnsi="Times New Roman" w:cs="Times New Roman" w:eastAsia="Times New Roman" w:hint="default"/>
        </w:rPr>
        <w:t>5%</w:t>
      </w:r>
      <w:r>
        <w:rPr/>
        <w:t>－</w:t>
      </w:r>
      <w:r>
        <w:rPr>
          <w:rFonts w:ascii="Times New Roman" w:hAnsi="Times New Roman" w:cs="Times New Roman" w:eastAsia="Times New Roman" w:hint="default"/>
        </w:rPr>
        <w:t>10%</w:t>
      </w:r>
      <w:r>
        <w:rPr/>
        <w:t>，具体金额由双方根据营利情况、市场租金变化情况，友好协商。</w:t>
      </w:r>
      <w:r>
        <w:rPr>
          <w:spacing w:val="-73"/>
        </w:rPr>
        <w:t> </w:t>
      </w:r>
      <w:r>
        <w:rPr>
          <w:spacing w:val="-73"/>
        </w:rPr>
      </w:r>
      <w:r>
        <w:rPr/>
        <w:t>经公司</w:t>
      </w:r>
      <w:r>
        <w:rPr>
          <w:rFonts w:ascii="Times New Roman" w:hAnsi="Times New Roman" w:cs="Times New Roman" w:eastAsia="Times New Roman" w:hint="default"/>
        </w:rPr>
        <w:t>2016</w:t>
      </w:r>
      <w:r>
        <w:rPr/>
        <w:t>年第九次总经理办公会审议通过，公司与郑州罗曼达酒店管理有限公司于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日签订</w:t>
      </w:r>
    </w:p>
    <w:p>
      <w:pPr>
        <w:pStyle w:val="BodyText"/>
        <w:spacing w:line="386" w:lineRule="auto" w:before="35"/>
        <w:ind w:right="209"/>
        <w:jc w:val="left"/>
      </w:pPr>
      <w:r>
        <w:rPr>
          <w:spacing w:val="-1"/>
        </w:rPr>
        <w:t>《房屋租赁合同补充协议》，公司一次性给与郑州罗曼达酒店管理有限公司</w:t>
      </w:r>
      <w:r>
        <w:rPr>
          <w:rFonts w:ascii="Times New Roman" w:hAnsi="Times New Roman" w:cs="Times New Roman" w:eastAsia="Times New Roman" w:hint="default"/>
          <w:spacing w:val="-1"/>
        </w:rPr>
        <w:t>2016</w:t>
      </w:r>
      <w:r>
        <w:rPr>
          <w:spacing w:val="-1"/>
        </w:rPr>
        <w:t>年第四季度房租优惠</w:t>
      </w:r>
      <w:r>
        <w:rPr>
          <w:rFonts w:ascii="Times New Roman" w:hAnsi="Times New Roman" w:cs="Times New Roman" w:eastAsia="Times New Roman" w:hint="default"/>
          <w:spacing w:val="-1"/>
        </w:rPr>
        <w:t>26</w:t>
      </w:r>
      <w:r>
        <w:rPr>
          <w:spacing w:val="-1"/>
        </w:rPr>
        <w:t>万</w:t>
      </w:r>
      <w:r>
        <w:rPr>
          <w:spacing w:val="-82"/>
        </w:rPr>
        <w:t> </w:t>
      </w:r>
      <w:r>
        <w:rPr/>
        <w:t>元，双方约定自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日起，年租金由为</w:t>
      </w:r>
      <w:r>
        <w:rPr>
          <w:rFonts w:ascii="Times New Roman" w:hAnsi="Times New Roman" w:cs="Times New Roman" w:eastAsia="Times New Roman" w:hint="default"/>
        </w:rPr>
        <w:t>339</w:t>
      </w:r>
      <w:r>
        <w:rPr/>
        <w:t>万元</w:t>
      </w:r>
      <w:r>
        <w:rPr>
          <w:rFonts w:ascii="Times New Roman" w:hAnsi="Times New Roman" w:cs="Times New Roman" w:eastAsia="Times New Roman" w:hint="default"/>
        </w:rPr>
        <w:t>/</w:t>
      </w:r>
      <w:r>
        <w:rPr/>
        <w:t>年调整为</w:t>
      </w:r>
      <w:r>
        <w:rPr>
          <w:rFonts w:ascii="Times New Roman" w:hAnsi="Times New Roman" w:cs="Times New Roman" w:eastAsia="Times New Roman" w:hint="default"/>
        </w:rPr>
        <w:t>300</w:t>
      </w:r>
      <w:r>
        <w:rPr/>
        <w:t>万元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 </w:t>
      </w:r>
      <w:r>
        <w:rPr/>
        <w:t>日，在此基础上递增</w:t>
      </w:r>
      <w:r>
        <w:rPr>
          <w:rFonts w:ascii="Times New Roman" w:hAnsi="Times New Roman" w:cs="Times New Roman" w:eastAsia="Times New Roman" w:hint="default"/>
        </w:rPr>
        <w:t>5%</w:t>
      </w:r>
      <w:r>
        <w:rPr/>
        <w:t>，为</w:t>
      </w:r>
      <w:r>
        <w:rPr>
          <w:rFonts w:ascii="Times New Roman" w:hAnsi="Times New Roman" w:cs="Times New Roman" w:eastAsia="Times New Roman" w:hint="default"/>
        </w:rPr>
        <w:t>315</w:t>
      </w:r>
      <w:r>
        <w:rPr/>
        <w:t>万元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w:t>
      </w:r>
      <w:r>
        <w:rPr>
          <w:rFonts w:ascii="Times New Roman" w:hAnsi="Times New Roman" w:cs="Times New Roman" w:eastAsia="Times New Roman" w:hint="default"/>
        </w:rPr>
        <w:t>351</w:t>
      </w:r>
      <w:r>
        <w:rPr/>
        <w:t>万元</w:t>
      </w:r>
      <w:r>
        <w:rPr>
          <w:rFonts w:ascii="Times New Roman" w:hAnsi="Times New Roman" w:cs="Times New Roman" w:eastAsia="Times New Roman" w:hint="default"/>
        </w:rPr>
        <w:t>/</w:t>
      </w:r>
      <w:r>
        <w:rPr/>
        <w:t>年的基础上递增， 上调</w:t>
      </w:r>
      <w:r>
        <w:rPr>
          <w:rFonts w:ascii="Times New Roman" w:hAnsi="Times New Roman" w:cs="Times New Roman" w:eastAsia="Times New Roman" w:hint="default"/>
        </w:rPr>
        <w:t>5%-10%</w:t>
      </w:r>
      <w:r>
        <w:rPr/>
        <w:t>，具体金额由双方友好协商确定。</w:t>
      </w:r>
    </w:p>
    <w:p>
      <w:pPr>
        <w:pStyle w:val="BodyText"/>
        <w:spacing w:line="386" w:lineRule="auto" w:before="35"/>
        <w:ind w:right="208" w:firstLine="420"/>
        <w:jc w:val="both"/>
      </w:pPr>
      <w:r>
        <w:rPr>
          <w:rFonts w:ascii="Times New Roman" w:hAnsi="Times New Roman" w:cs="Times New Roman" w:eastAsia="Times New Roman" w:hint="default"/>
        </w:rPr>
        <w:t>2</w:t>
      </w:r>
      <w:r>
        <w:rPr/>
        <w:t>、经公司第三届董事会第七次会议及第三届监事会第六次会议审议通过，拟对目前郑州高新技术产 开发区迎春街</w:t>
      </w:r>
      <w:r>
        <w:rPr>
          <w:rFonts w:ascii="Times New Roman" w:hAnsi="Times New Roman" w:cs="Times New Roman" w:eastAsia="Times New Roman" w:hint="default"/>
        </w:rPr>
        <w:t>18</w:t>
      </w:r>
      <w:r>
        <w:rPr/>
        <w:t>号</w:t>
      </w:r>
      <w:r>
        <w:rPr>
          <w:rFonts w:ascii="Times New Roman" w:hAnsi="Times New Roman" w:cs="Times New Roman" w:eastAsia="Times New Roman" w:hint="default"/>
        </w:rPr>
        <w:t>1</w:t>
      </w:r>
      <w:r>
        <w:rPr/>
        <w:t>号楼临金梭路</w:t>
      </w:r>
      <w:r>
        <w:rPr>
          <w:rFonts w:ascii="Times New Roman" w:hAnsi="Times New Roman" w:cs="Times New Roman" w:eastAsia="Times New Roman" w:hint="default"/>
        </w:rPr>
        <w:t>1-2</w:t>
      </w:r>
      <w:r>
        <w:rPr/>
        <w:t>层（金梭路西、迎春街北），共计建筑面积</w:t>
      </w:r>
      <w:r>
        <w:rPr>
          <w:rFonts w:ascii="Times New Roman" w:hAnsi="Times New Roman" w:cs="Times New Roman" w:eastAsia="Times New Roman" w:hint="default"/>
        </w:rPr>
        <w:t>1,117.7</w:t>
      </w:r>
      <w:r>
        <w:rPr/>
        <w:t>平方米房屋对外出 租。董事会经审议授权总经理负责后续出租事宜。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日，公司与中信银行股份有限公司郑州分 </w:t>
      </w:r>
      <w:r>
        <w:rPr>
          <w:spacing w:val="-6"/>
        </w:rPr>
        <w:t>行签署《房屋租赁合同》，将前述房屋共计</w:t>
      </w:r>
      <w:r>
        <w:rPr>
          <w:rFonts w:ascii="Times New Roman" w:hAnsi="Times New Roman" w:cs="Times New Roman" w:eastAsia="Times New Roman" w:hint="default"/>
          <w:spacing w:val="-6"/>
        </w:rPr>
        <w:t>1,100</w:t>
      </w:r>
      <w:r>
        <w:rPr>
          <w:spacing w:val="-6"/>
        </w:rPr>
        <w:t>平方租赁给中信银行股份有限公司郑州分行。租赁期为</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日，租金价格：第</w:t>
      </w:r>
      <w:r>
        <w:rPr>
          <w:rFonts w:ascii="Times New Roman" w:hAnsi="Times New Roman" w:cs="Times New Roman" w:eastAsia="Times New Roman" w:hint="default"/>
          <w:spacing w:val="-2"/>
        </w:rPr>
        <w:t>1</w:t>
      </w:r>
      <w:r>
        <w:rPr>
          <w:spacing w:val="-2"/>
        </w:rPr>
        <w:t>年至第</w:t>
      </w:r>
      <w:r>
        <w:rPr>
          <w:rFonts w:ascii="Times New Roman" w:hAnsi="Times New Roman" w:cs="Times New Roman" w:eastAsia="Times New Roman" w:hint="default"/>
          <w:spacing w:val="-2"/>
        </w:rPr>
        <w:t>5</w:t>
      </w:r>
      <w:r>
        <w:rPr>
          <w:spacing w:val="-2"/>
        </w:rPr>
        <w:t>年，每年租金总额</w:t>
      </w:r>
      <w:r>
        <w:rPr>
          <w:rFonts w:ascii="Times New Roman" w:hAnsi="Times New Roman" w:cs="Times New Roman" w:eastAsia="Times New Roman" w:hint="default"/>
          <w:spacing w:val="-2"/>
        </w:rPr>
        <w:t>126.72</w:t>
      </w:r>
      <w:r>
        <w:rPr>
          <w:spacing w:val="-2"/>
        </w:rPr>
        <w:t>万元，第</w:t>
      </w:r>
      <w:r>
        <w:rPr>
          <w:rFonts w:ascii="Times New Roman" w:hAnsi="Times New Roman" w:cs="Times New Roman" w:eastAsia="Times New Roman" w:hint="default"/>
          <w:spacing w:val="-2"/>
        </w:rPr>
        <w:t>6</w:t>
      </w:r>
      <w:r>
        <w:rPr>
          <w:spacing w:val="-2"/>
        </w:rPr>
        <w:t>年至第</w:t>
      </w:r>
      <w:r>
        <w:rPr>
          <w:rFonts w:ascii="Times New Roman" w:hAnsi="Times New Roman" w:cs="Times New Roman" w:eastAsia="Times New Roman" w:hint="default"/>
          <w:spacing w:val="-2"/>
        </w:rPr>
        <w:t>8</w:t>
      </w:r>
      <w:r>
        <w:rPr>
          <w:spacing w:val="-2"/>
        </w:rPr>
        <w:t>年，每年租</w:t>
      </w:r>
      <w:r>
        <w:rPr>
          <w:spacing w:val="-85"/>
        </w:rPr>
        <w:t> </w:t>
      </w:r>
      <w:r>
        <w:rPr>
          <w:spacing w:val="-85"/>
        </w:rPr>
      </w:r>
      <w:r>
        <w:rPr/>
        <w:t>金总额</w:t>
      </w:r>
      <w:r>
        <w:rPr>
          <w:rFonts w:ascii="Times New Roman" w:hAnsi="Times New Roman" w:cs="Times New Roman" w:eastAsia="Times New Roman" w:hint="default"/>
        </w:rPr>
        <w:t>130.52</w:t>
      </w:r>
      <w:r>
        <w:rPr/>
        <w:t>万元，第</w:t>
      </w:r>
      <w:r>
        <w:rPr>
          <w:rFonts w:ascii="Times New Roman" w:hAnsi="Times New Roman" w:cs="Times New Roman" w:eastAsia="Times New Roman" w:hint="default"/>
        </w:rPr>
        <w:t>9</w:t>
      </w:r>
      <w:r>
        <w:rPr/>
        <w:t>年至第</w:t>
      </w:r>
      <w:r>
        <w:rPr>
          <w:rFonts w:ascii="Times New Roman" w:hAnsi="Times New Roman" w:cs="Times New Roman" w:eastAsia="Times New Roman" w:hint="default"/>
        </w:rPr>
        <w:t>10</w:t>
      </w:r>
      <w:r>
        <w:rPr/>
        <w:t>年，每年租金总额</w:t>
      </w:r>
      <w:r>
        <w:rPr>
          <w:rFonts w:ascii="Times New Roman" w:hAnsi="Times New Roman" w:cs="Times New Roman" w:eastAsia="Times New Roman" w:hint="default"/>
        </w:rPr>
        <w:t>134.43</w:t>
      </w:r>
      <w:r>
        <w:rPr/>
        <w:t>万元。</w:t>
      </w:r>
    </w:p>
    <w:p>
      <w:pPr>
        <w:spacing w:after="0" w:line="386" w:lineRule="auto"/>
        <w:jc w:val="both"/>
        <w:sectPr>
          <w:pgSz w:w="11910" w:h="16840"/>
          <w:pgMar w:header="877" w:footer="982" w:top="1100" w:bottom="1180" w:left="980" w:right="920"/>
        </w:sectPr>
      </w:pPr>
    </w:p>
    <w:p>
      <w:pPr>
        <w:spacing w:line="240" w:lineRule="auto" w:before="12"/>
        <w:rPr>
          <w:rFonts w:ascii="宋体" w:hAnsi="宋体" w:cs="宋体" w:eastAsia="宋体" w:hint="default"/>
          <w:sz w:val="27"/>
          <w:szCs w:val="27"/>
        </w:rPr>
      </w:pPr>
    </w:p>
    <w:p>
      <w:pPr>
        <w:spacing w:before="44"/>
        <w:ind w:left="153" w:right="133"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line="240" w:lineRule="auto" w:before="10"/>
        <w:rPr>
          <w:rFonts w:ascii="宋体" w:hAnsi="宋体" w:cs="宋体" w:eastAsia="宋体" w:hint="default"/>
          <w:sz w:val="13"/>
          <w:szCs w:val="13"/>
        </w:rPr>
      </w:pPr>
    </w:p>
    <w:p>
      <w:pPr>
        <w:spacing w:before="0"/>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9"/>
        <w:rPr>
          <w:rFonts w:ascii="宋体" w:hAnsi="宋体" w:cs="宋体" w:eastAsia="宋体" w:hint="default"/>
          <w:sz w:val="25"/>
          <w:szCs w:val="25"/>
        </w:rPr>
      </w:pPr>
    </w:p>
    <w:p>
      <w:pPr>
        <w:pStyle w:val="Heading4"/>
        <w:spacing w:line="240" w:lineRule="auto"/>
        <w:ind w:right="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1"/>
        <w:rPr>
          <w:rFonts w:ascii="宋体" w:hAnsi="宋体" w:cs="宋体" w:eastAsia="宋体" w:hint="default"/>
          <w:sz w:val="21"/>
          <w:szCs w:val="21"/>
        </w:rPr>
      </w:pPr>
    </w:p>
    <w:p>
      <w:pPr>
        <w:pStyle w:val="Heading4"/>
        <w:spacing w:line="240" w:lineRule="auto"/>
        <w:ind w:right="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spacing w:line="340"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955" w:space="6784"/>
            <w:col w:w="12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8"/>
        <w:gridCol w:w="1962"/>
        <w:gridCol w:w="1981"/>
        <w:gridCol w:w="1908"/>
        <w:gridCol w:w="1848"/>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43,200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60,700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2"/>
        <w:rPr>
          <w:rFonts w:ascii="宋体" w:hAnsi="宋体" w:cs="宋体" w:eastAsia="宋体" w:hint="default"/>
          <w:sz w:val="2"/>
          <w:szCs w:val="2"/>
        </w:rPr>
      </w:pPr>
    </w:p>
    <w:p>
      <w:pPr>
        <w:spacing w:line="20" w:lineRule="exact"/>
        <w:ind w:left="64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before="20"/>
        <w:ind w:left="679"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116"/>
        <w:ind w:left="0" w:right="61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139"/>
        <w:gridCol w:w="590"/>
        <w:gridCol w:w="606"/>
        <w:gridCol w:w="575"/>
        <w:gridCol w:w="776"/>
        <w:gridCol w:w="851"/>
        <w:gridCol w:w="992"/>
        <w:gridCol w:w="1276"/>
        <w:gridCol w:w="1417"/>
        <w:gridCol w:w="851"/>
        <w:gridCol w:w="992"/>
        <w:gridCol w:w="1134"/>
        <w:gridCol w:w="850"/>
        <w:gridCol w:w="709"/>
        <w:gridCol w:w="709"/>
        <w:gridCol w:w="708"/>
        <w:gridCol w:w="851"/>
      </w:tblGrid>
      <w:tr>
        <w:trPr>
          <w:trHeight w:val="357" w:hRule="exact"/>
        </w:trPr>
        <w:tc>
          <w:tcPr>
            <w:tcW w:w="1139" w:type="dxa"/>
            <w:tcBorders>
              <w:top w:val="single" w:sz="4" w:space="0" w:color="000000"/>
              <w:left w:val="single" w:sz="4" w:space="0" w:color="000000"/>
              <w:bottom w:val="nil" w:sz="6" w:space="0" w:color="auto"/>
              <w:right w:val="single" w:sz="4" w:space="0" w:color="000000"/>
            </w:tcBorders>
            <w:shd w:val="clear" w:color="auto" w:fill="D3D3D3"/>
          </w:tcPr>
          <w:p>
            <w:pPr/>
          </w:p>
        </w:tc>
        <w:tc>
          <w:tcPr>
            <w:tcW w:w="59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09" w:right="0"/>
              <w:jc w:val="left"/>
              <w:rPr>
                <w:rFonts w:ascii="宋体" w:hAnsi="宋体" w:cs="宋体" w:eastAsia="宋体" w:hint="default"/>
                <w:sz w:val="18"/>
                <w:szCs w:val="18"/>
              </w:rPr>
            </w:pPr>
            <w:r>
              <w:rPr>
                <w:rFonts w:ascii="宋体" w:hAnsi="宋体" w:cs="宋体" w:eastAsia="宋体" w:hint="default"/>
                <w:sz w:val="18"/>
                <w:szCs w:val="18"/>
              </w:rPr>
              <w:t>受托</w:t>
            </w:r>
          </w:p>
        </w:tc>
        <w:tc>
          <w:tcPr>
            <w:tcW w:w="606" w:type="dxa"/>
            <w:tcBorders>
              <w:top w:val="single" w:sz="4" w:space="0" w:color="000000"/>
              <w:left w:val="single" w:sz="4" w:space="0" w:color="000000"/>
              <w:bottom w:val="nil" w:sz="6" w:space="0" w:color="auto"/>
              <w:right w:val="single" w:sz="4" w:space="0" w:color="000000"/>
            </w:tcBorders>
            <w:shd w:val="clear" w:color="auto" w:fill="D3D3D3"/>
          </w:tcPr>
          <w:p>
            <w:pPr/>
          </w:p>
        </w:tc>
        <w:tc>
          <w:tcPr>
            <w:tcW w:w="575" w:type="dxa"/>
            <w:tcBorders>
              <w:top w:val="single" w:sz="4" w:space="0" w:color="000000"/>
              <w:left w:val="single" w:sz="4" w:space="0" w:color="000000"/>
              <w:bottom w:val="nil" w:sz="6" w:space="0" w:color="auto"/>
              <w:right w:val="single" w:sz="4" w:space="0" w:color="000000"/>
            </w:tcBorders>
            <w:shd w:val="clear" w:color="auto" w:fill="D3D3D3"/>
          </w:tcPr>
          <w:p>
            <w:pPr/>
          </w:p>
        </w:tc>
        <w:tc>
          <w:tcPr>
            <w:tcW w:w="7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51"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6"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shd w:val="clear" w:color="auto" w:fill="D3D3D3"/>
          </w:tcPr>
          <w:p>
            <w:pPr/>
          </w:p>
        </w:tc>
        <w:tc>
          <w:tcPr>
            <w:tcW w:w="851"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4" w:type="dxa"/>
            <w:tcBorders>
              <w:top w:val="single" w:sz="4" w:space="0" w:color="000000"/>
              <w:left w:val="single" w:sz="4" w:space="0" w:color="000000"/>
              <w:bottom w:val="nil" w:sz="6" w:space="0" w:color="auto"/>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shd w:val="clear" w:color="auto" w:fill="D3D3D3"/>
          </w:tcPr>
          <w:p>
            <w:pPr/>
          </w:p>
        </w:tc>
        <w:tc>
          <w:tcPr>
            <w:tcW w:w="85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49" w:hRule="exact"/>
        </w:trPr>
        <w:tc>
          <w:tcPr>
            <w:tcW w:w="113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受托机构名称</w:t>
            </w:r>
          </w:p>
          <w:p>
            <w:pPr>
              <w:pStyle w:val="TableParagraph"/>
              <w:spacing w:line="319" w:lineRule="auto" w:before="75"/>
              <w:ind w:left="385" w:right="22" w:hanging="360"/>
              <w:jc w:val="left"/>
              <w:rPr>
                <w:rFonts w:ascii="宋体" w:hAnsi="宋体" w:cs="宋体" w:eastAsia="宋体" w:hint="default"/>
                <w:sz w:val="18"/>
                <w:szCs w:val="18"/>
              </w:rPr>
            </w:pPr>
            <w:r>
              <w:rPr>
                <w:rFonts w:ascii="宋体" w:hAnsi="宋体" w:cs="宋体" w:eastAsia="宋体" w:hint="default"/>
                <w:sz w:val="18"/>
                <w:szCs w:val="18"/>
              </w:rPr>
              <w:t>（或受托人姓 名）</w:t>
            </w:r>
          </w:p>
        </w:tc>
        <w:tc>
          <w:tcPr>
            <w:tcW w:w="5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9" w:right="0"/>
              <w:jc w:val="both"/>
              <w:rPr>
                <w:rFonts w:ascii="宋体" w:hAnsi="宋体" w:cs="宋体" w:eastAsia="宋体" w:hint="default"/>
                <w:sz w:val="18"/>
                <w:szCs w:val="18"/>
              </w:rPr>
            </w:pPr>
            <w:r>
              <w:rPr>
                <w:rFonts w:ascii="宋体" w:hAnsi="宋体" w:cs="宋体" w:eastAsia="宋体" w:hint="default"/>
                <w:sz w:val="18"/>
                <w:szCs w:val="18"/>
              </w:rPr>
              <w:t>机构</w:t>
            </w:r>
          </w:p>
          <w:p>
            <w:pPr>
              <w:pStyle w:val="TableParagraph"/>
              <w:spacing w:line="316" w:lineRule="auto" w:before="76"/>
              <w:ind w:left="22" w:right="22" w:firstLine="86"/>
              <w:jc w:val="both"/>
              <w:rPr>
                <w:rFonts w:ascii="宋体" w:hAnsi="宋体" w:cs="宋体" w:eastAsia="宋体" w:hint="default"/>
                <w:sz w:val="18"/>
                <w:szCs w:val="18"/>
              </w:rPr>
            </w:pPr>
            <w:r>
              <w:rPr>
                <w:rFonts w:ascii="宋体" w:hAnsi="宋体" w:cs="宋体" w:eastAsia="宋体" w:hint="default"/>
                <w:sz w:val="18"/>
                <w:szCs w:val="18"/>
              </w:rPr>
              <w:t>（或 受托 人）类</w:t>
            </w:r>
          </w:p>
        </w:tc>
        <w:tc>
          <w:tcPr>
            <w:tcW w:w="60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资金来源</w:t>
            </w:r>
          </w:p>
        </w:tc>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9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14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报酬确定方式</w:t>
            </w:r>
          </w:p>
        </w:tc>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49" w:right="59" w:hanging="90"/>
              <w:jc w:val="left"/>
              <w:rPr>
                <w:rFonts w:ascii="宋体" w:hAnsi="宋体" w:cs="宋体" w:eastAsia="宋体" w:hint="default"/>
                <w:sz w:val="18"/>
                <w:szCs w:val="18"/>
              </w:rPr>
            </w:pPr>
            <w:r>
              <w:rPr>
                <w:rFonts w:ascii="宋体" w:hAnsi="宋体" w:cs="宋体" w:eastAsia="宋体" w:hint="default"/>
                <w:sz w:val="18"/>
                <w:szCs w:val="18"/>
              </w:rPr>
              <w:t>参考年化 收益率</w:t>
            </w:r>
          </w:p>
        </w:tc>
        <w:tc>
          <w:tcPr>
            <w:tcW w:w="9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预期收益</w:t>
            </w:r>
          </w:p>
          <w:p>
            <w:pPr>
              <w:pStyle w:val="TableParagraph"/>
              <w:spacing w:line="240" w:lineRule="auto" w:before="76"/>
              <w:ind w:left="220"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1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01" w:right="110" w:hanging="90"/>
              <w:jc w:val="left"/>
              <w:rPr>
                <w:rFonts w:ascii="宋体" w:hAnsi="宋体" w:cs="宋体" w:eastAsia="宋体" w:hint="default"/>
                <w:sz w:val="18"/>
                <w:szCs w:val="18"/>
              </w:rPr>
            </w:pPr>
            <w:r>
              <w:rPr>
                <w:rFonts w:ascii="宋体" w:hAnsi="宋体" w:cs="宋体" w:eastAsia="宋体" w:hint="default"/>
                <w:sz w:val="18"/>
                <w:szCs w:val="18"/>
              </w:rPr>
              <w:t>报告期实际 损益金额</w:t>
            </w:r>
          </w:p>
        </w:tc>
        <w:tc>
          <w:tcPr>
            <w:tcW w:w="8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9" w:right="58"/>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3" w:right="20"/>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17"/>
                <w:sz w:val="18"/>
                <w:szCs w:val="18"/>
              </w:rPr>
              <w:t>金额（如</w:t>
            </w:r>
            <w:r>
              <w:rPr>
                <w:rFonts w:ascii="宋体" w:hAnsi="宋体" w:cs="宋体" w:eastAsia="宋体" w:hint="default"/>
                <w:sz w:val="18"/>
                <w:szCs w:val="18"/>
              </w:rPr>
              <w:t> 有）</w:t>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78" w:right="78"/>
              <w:jc w:val="both"/>
              <w:rPr>
                <w:rFonts w:ascii="宋体" w:hAnsi="宋体" w:cs="宋体" w:eastAsia="宋体" w:hint="default"/>
                <w:sz w:val="18"/>
                <w:szCs w:val="18"/>
              </w:rPr>
            </w:pPr>
            <w:r>
              <w:rPr>
                <w:rFonts w:ascii="宋体" w:hAnsi="宋体" w:cs="宋体" w:eastAsia="宋体" w:hint="default"/>
                <w:sz w:val="18"/>
                <w:szCs w:val="18"/>
              </w:rPr>
              <w:t>未来是 否还有 委托理 财计划</w:t>
            </w:r>
          </w:p>
        </w:tc>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59" w:right="59"/>
              <w:jc w:val="both"/>
              <w:rPr>
                <w:rFonts w:ascii="宋体" w:hAnsi="宋体" w:cs="宋体" w:eastAsia="宋体" w:hint="default"/>
                <w:sz w:val="18"/>
                <w:szCs w:val="18"/>
              </w:rPr>
            </w:pPr>
            <w:r>
              <w:rPr>
                <w:rFonts w:ascii="宋体" w:hAnsi="宋体" w:cs="宋体" w:eastAsia="宋体" w:hint="default"/>
                <w:sz w:val="18"/>
                <w:szCs w:val="18"/>
              </w:rPr>
              <w:t>事项概述 及相关查 询索引</w:t>
            </w:r>
          </w:p>
          <w:p>
            <w:pPr>
              <w:pStyle w:val="TableParagraph"/>
              <w:spacing w:line="240" w:lineRule="auto" w:before="20"/>
              <w:ind w:left="59" w:right="0"/>
              <w:jc w:val="both"/>
              <w:rPr>
                <w:rFonts w:ascii="宋体" w:hAnsi="宋体" w:cs="宋体" w:eastAsia="宋体" w:hint="default"/>
                <w:sz w:val="18"/>
                <w:szCs w:val="18"/>
              </w:rPr>
            </w:pPr>
            <w:r>
              <w:rPr>
                <w:rFonts w:ascii="宋体" w:hAnsi="宋体" w:cs="宋体" w:eastAsia="宋体" w:hint="default"/>
                <w:sz w:val="18"/>
                <w:szCs w:val="18"/>
              </w:rPr>
              <w:t>（如有）</w:t>
            </w:r>
          </w:p>
        </w:tc>
      </w:tr>
      <w:tr>
        <w:trPr>
          <w:trHeight w:val="356" w:hRule="exact"/>
        </w:trPr>
        <w:tc>
          <w:tcPr>
            <w:tcW w:w="1139" w:type="dxa"/>
            <w:tcBorders>
              <w:top w:val="nil" w:sz="6" w:space="0" w:color="auto"/>
              <w:left w:val="single" w:sz="4" w:space="0" w:color="000000"/>
              <w:bottom w:val="single" w:sz="4" w:space="0" w:color="000000"/>
              <w:right w:val="single" w:sz="4" w:space="0" w:color="000000"/>
            </w:tcBorders>
            <w:shd w:val="clear" w:color="auto" w:fill="D3D3D3"/>
          </w:tcPr>
          <w:p>
            <w:pPr/>
          </w:p>
        </w:tc>
        <w:tc>
          <w:tcPr>
            <w:tcW w:w="59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606" w:type="dxa"/>
            <w:tcBorders>
              <w:top w:val="nil" w:sz="6" w:space="0" w:color="auto"/>
              <w:left w:val="single" w:sz="4" w:space="0" w:color="000000"/>
              <w:bottom w:val="single" w:sz="4" w:space="0" w:color="000000"/>
              <w:right w:val="single" w:sz="4" w:space="0" w:color="000000"/>
            </w:tcBorders>
            <w:shd w:val="clear" w:color="auto" w:fill="D3D3D3"/>
          </w:tcPr>
          <w:p>
            <w:pPr/>
          </w:p>
        </w:tc>
        <w:tc>
          <w:tcPr>
            <w:tcW w:w="5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shd w:val="clear" w:color="auto" w:fill="D3D3D3"/>
          </w:tcPr>
          <w:p>
            <w:pPr/>
          </w:p>
        </w:tc>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2" w:hRule="exact"/>
        </w:trPr>
        <w:tc>
          <w:tcPr>
            <w:tcW w:w="1139"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天为</w:t>
            </w: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13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851"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1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交通银行郑州 高新技术开发 区支行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3,700</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2"/>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17"/>
              <w:jc w:val="left"/>
              <w:rPr>
                <w:rFonts w:ascii="宋体" w:hAnsi="宋体" w:cs="宋体" w:eastAsia="宋体" w:hint="default"/>
                <w:sz w:val="18"/>
                <w:szCs w:val="18"/>
              </w:rPr>
            </w:pPr>
            <w:r>
              <w:rPr>
                <w:rFonts w:ascii="宋体" w:hAnsi="宋体" w:cs="宋体" w:eastAsia="宋体" w:hint="default"/>
                <w:sz w:val="18"/>
                <w:szCs w:val="18"/>
              </w:rPr>
              <w:t>国债、金融债、 </w:t>
            </w:r>
            <w:r>
              <w:rPr>
                <w:rFonts w:ascii="宋体" w:hAnsi="宋体" w:cs="宋体" w:eastAsia="宋体" w:hint="default"/>
                <w:spacing w:val="-6"/>
                <w:sz w:val="18"/>
                <w:szCs w:val="18"/>
              </w:rPr>
              <w:t>央票、高等级信</w:t>
            </w:r>
            <w:r>
              <w:rPr>
                <w:rFonts w:ascii="宋体" w:hAnsi="宋体" w:cs="宋体" w:eastAsia="宋体" w:hint="default"/>
                <w:sz w:val="18"/>
                <w:szCs w:val="18"/>
              </w:rPr>
              <w:t> 用债和其他固 定收益类资产</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2.85%</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天为</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2.85%</w:t>
            </w:r>
            <w:r>
              <w:rPr>
                <w:rFonts w:ascii="Times New Roman"/>
                <w:sz w:val="18"/>
              </w:rPr>
            </w:r>
          </w:p>
        </w:tc>
        <w:tc>
          <w:tcPr>
            <w:tcW w:w="992"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23.13</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38"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313" w:hRule="exact"/>
        </w:trPr>
        <w:tc>
          <w:tcPr>
            <w:tcW w:w="113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2.95%</w:t>
            </w:r>
            <w:r>
              <w:rPr>
                <w:rFonts w:ascii="宋体" w:hAnsi="宋体" w:cs="宋体" w:eastAsia="宋体" w:hint="default"/>
                <w:sz w:val="18"/>
                <w:szCs w:val="18"/>
              </w:rPr>
              <w:t>；</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139"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w:t>
            </w: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中国民生银行 股份有限公司 郑州分行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USD3M-LIBOR</w:t>
            </w:r>
          </w:p>
          <w:p>
            <w:pPr>
              <w:pStyle w:val="TableParagraph"/>
              <w:spacing w:line="319" w:lineRule="auto" w:before="64"/>
              <w:ind w:left="22" w:right="161"/>
              <w:jc w:val="left"/>
              <w:rPr>
                <w:rFonts w:ascii="宋体" w:hAnsi="宋体" w:cs="宋体" w:eastAsia="宋体" w:hint="default"/>
                <w:sz w:val="18"/>
                <w:szCs w:val="18"/>
              </w:rPr>
            </w:pPr>
            <w:r>
              <w:rPr>
                <w:rFonts w:ascii="宋体" w:hAnsi="宋体" w:cs="宋体" w:eastAsia="宋体" w:hint="default"/>
                <w:sz w:val="18"/>
                <w:szCs w:val="18"/>
              </w:rPr>
              <w:t>挂钩的金融衍 生品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357" w:hRule="exact"/>
        </w:trPr>
        <w:tc>
          <w:tcPr>
            <w:tcW w:w="11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郑州银行股份</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630" w:hRule="exact"/>
        </w:trPr>
        <w:tc>
          <w:tcPr>
            <w:tcW w:w="113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有限公司经济 技术开发区支</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5,000</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SHIBOR</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相关</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的衍生品</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4.10%</w:t>
            </w:r>
            <w:r>
              <w:rPr>
                <w:rFonts w:ascii="Times New Roman"/>
                <w:sz w:val="18"/>
              </w:rPr>
            </w:r>
          </w:p>
        </w:tc>
        <w:tc>
          <w:tcPr>
            <w:tcW w:w="992"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www.cninf</w:t>
            </w:r>
          </w:p>
        </w:tc>
      </w:tr>
      <w:tr>
        <w:trPr>
          <w:trHeight w:val="351" w:hRule="exact"/>
        </w:trPr>
        <w:tc>
          <w:tcPr>
            <w:tcW w:w="11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986"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郑州银行股份 有限公司经济 技术开发区支</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47" w:right="0"/>
              <w:jc w:val="left"/>
              <w:rPr>
                <w:rFonts w:ascii="Times New Roman" w:hAnsi="Times New Roman" w:cs="Times New Roman" w:eastAsia="Times New Roman" w:hint="default"/>
                <w:sz w:val="18"/>
                <w:szCs w:val="18"/>
              </w:rPr>
            </w:pPr>
            <w:r>
              <w:rPr>
                <w:rFonts w:ascii="Times New Roman"/>
                <w:sz w:val="18"/>
              </w:rPr>
              <w:t>10,000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募集资金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SHIBOR</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相关</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的衍生品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4.60%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w w:val="95"/>
                <w:sz w:val="18"/>
              </w:rPr>
              <w:t>4.60%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231.89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tc>
      </w:tr>
    </w:tbl>
    <w:p>
      <w:pPr>
        <w:spacing w:after="0" w:line="338" w:lineRule="auto"/>
        <w:jc w:val="left"/>
        <w:rPr>
          <w:rFonts w:ascii="Times New Roman" w:hAnsi="Times New Roman" w:cs="Times New Roman" w:eastAsia="Times New Roman" w:hint="default"/>
          <w:sz w:val="18"/>
          <w:szCs w:val="18"/>
        </w:rPr>
        <w:sectPr>
          <w:headerReference w:type="default" r:id="rId26"/>
          <w:footerReference w:type="default" r:id="rId27"/>
          <w:pgSz w:w="16840" w:h="11910" w:orient="landscape"/>
          <w:pgMar w:header="867" w:footer="978" w:top="1060" w:bottom="1160" w:left="760" w:right="820"/>
          <w:pgNumType w:start="93"/>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39"/>
        <w:gridCol w:w="590"/>
        <w:gridCol w:w="606"/>
        <w:gridCol w:w="575"/>
        <w:gridCol w:w="776"/>
        <w:gridCol w:w="851"/>
        <w:gridCol w:w="992"/>
        <w:gridCol w:w="1276"/>
        <w:gridCol w:w="1417"/>
        <w:gridCol w:w="851"/>
        <w:gridCol w:w="992"/>
        <w:gridCol w:w="1134"/>
        <w:gridCol w:w="850"/>
        <w:gridCol w:w="709"/>
        <w:gridCol w:w="709"/>
        <w:gridCol w:w="708"/>
        <w:gridCol w:w="851"/>
      </w:tblGrid>
      <w:tr>
        <w:trPr>
          <w:trHeight w:val="377" w:hRule="exact"/>
        </w:trPr>
        <w:tc>
          <w:tcPr>
            <w:tcW w:w="113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single" w:sz="15" w:space="0" w:color="000000"/>
              <w:left w:val="single" w:sz="4" w:space="0" w:color="000000"/>
              <w:bottom w:val="single" w:sz="4" w:space="0" w:color="000000"/>
              <w:right w:val="single" w:sz="4" w:space="0" w:color="000000"/>
            </w:tcBorders>
          </w:tcPr>
          <w:p>
            <w:pPr/>
          </w:p>
        </w:tc>
        <w:tc>
          <w:tcPr>
            <w:tcW w:w="606" w:type="dxa"/>
            <w:tcBorders>
              <w:top w:val="single" w:sz="15" w:space="0" w:color="000000"/>
              <w:left w:val="single" w:sz="4" w:space="0" w:color="000000"/>
              <w:bottom w:val="single" w:sz="4" w:space="0" w:color="000000"/>
              <w:right w:val="single" w:sz="4" w:space="0" w:color="000000"/>
            </w:tcBorders>
          </w:tcPr>
          <w:p>
            <w:pPr/>
          </w:p>
        </w:tc>
        <w:tc>
          <w:tcPr>
            <w:tcW w:w="575" w:type="dxa"/>
            <w:tcBorders>
              <w:top w:val="single" w:sz="15" w:space="0" w:color="000000"/>
              <w:left w:val="single" w:sz="4" w:space="0" w:color="000000"/>
              <w:bottom w:val="single" w:sz="4" w:space="0" w:color="000000"/>
              <w:right w:val="single" w:sz="4" w:space="0" w:color="000000"/>
            </w:tcBorders>
          </w:tcPr>
          <w:p>
            <w:pPr/>
          </w:p>
        </w:tc>
        <w:tc>
          <w:tcPr>
            <w:tcW w:w="776"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133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交通银行郑州 高新技术开发 区支行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国债、金融债、 </w:t>
            </w:r>
            <w:r>
              <w:rPr>
                <w:rFonts w:ascii="宋体" w:hAnsi="宋体" w:cs="宋体" w:eastAsia="宋体" w:hint="default"/>
                <w:spacing w:val="-6"/>
                <w:sz w:val="18"/>
                <w:szCs w:val="18"/>
              </w:rPr>
              <w:t>央票、高等级信</w:t>
            </w:r>
            <w:r>
              <w:rPr>
                <w:rFonts w:ascii="宋体" w:hAnsi="宋体" w:cs="宋体" w:eastAsia="宋体" w:hint="default"/>
                <w:sz w:val="18"/>
                <w:szCs w:val="18"/>
              </w:rPr>
              <w:t> 用债和其他固 定收益类资产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w w:val="95"/>
                <w:sz w:val="18"/>
              </w:rPr>
              <w:t>3.80%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362" w:hRule="exact"/>
        </w:trPr>
        <w:tc>
          <w:tcPr>
            <w:tcW w:w="1139"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、债券、存款</w:t>
            </w:r>
          </w:p>
        </w:tc>
        <w:tc>
          <w:tcPr>
            <w:tcW w:w="1417"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13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中国工商银行 郑州南阳路支 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2" w:right="71"/>
              <w:jc w:val="left"/>
              <w:rPr>
                <w:rFonts w:ascii="宋体" w:hAnsi="宋体" w:cs="宋体" w:eastAsia="宋体" w:hint="default"/>
                <w:sz w:val="18"/>
                <w:szCs w:val="18"/>
              </w:rPr>
            </w:pPr>
            <w:r>
              <w:rPr>
                <w:rFonts w:ascii="宋体" w:hAnsi="宋体" w:cs="宋体" w:eastAsia="宋体" w:hint="default"/>
                <w:sz w:val="18"/>
                <w:szCs w:val="18"/>
              </w:rPr>
              <w:t>等高流动性资 产；</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、其他资 产或者资产组 合；</w:t>
            </w:r>
            <w:r>
              <w:rPr>
                <w:rFonts w:ascii="Times New Roman" w:hAnsi="Times New Roman" w:cs="Times New Roman" w:eastAsia="Times New Roman" w:hint="default"/>
                <w:sz w:val="18"/>
                <w:szCs w:val="18"/>
              </w:rPr>
              <w:t>3</w:t>
            </w:r>
            <w:r>
              <w:rPr>
                <w:rFonts w:ascii="宋体" w:hAnsi="宋体" w:cs="宋体" w:eastAsia="宋体" w:hint="default"/>
                <w:sz w:val="18"/>
                <w:szCs w:val="18"/>
              </w:rPr>
              <w:t>、债权类</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3.00%</w:t>
            </w:r>
            <w:r>
              <w:rPr>
                <w:rFonts w:ascii="Times New Roman"/>
                <w:sz w:val="18"/>
              </w:rPr>
            </w:r>
          </w:p>
        </w:tc>
        <w:tc>
          <w:tcPr>
            <w:tcW w:w="992"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38" w:lineRule="auto" w:before="6"/>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352" w:hRule="exact"/>
        </w:trPr>
        <w:tc>
          <w:tcPr>
            <w:tcW w:w="1139"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417"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中国建设银行 股份有限公司 郑州市行政区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hAnsi="宋体" w:cs="宋体" w:eastAsia="宋体" w:hint="default"/>
                <w:sz w:val="18"/>
                <w:szCs w:val="18"/>
              </w:rPr>
              <w:t>募集资金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同业存款等符 合监管机构要 求的其他投资 工具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w w:val="95"/>
                <w:sz w:val="18"/>
              </w:rPr>
              <w:t>3.99%</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39.35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133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郑州银行经济 技术开发区支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SHIBOR</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相关</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的衍生品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w w:val="95"/>
                <w:sz w:val="18"/>
              </w:rPr>
              <w:t>4.25%</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32.14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133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3"/>
              <w:jc w:val="left"/>
              <w:rPr>
                <w:rFonts w:ascii="宋体" w:hAnsi="宋体" w:cs="宋体" w:eastAsia="宋体" w:hint="default"/>
                <w:sz w:val="18"/>
                <w:szCs w:val="18"/>
              </w:rPr>
            </w:pPr>
            <w:r>
              <w:rPr>
                <w:rFonts w:ascii="宋体" w:hAnsi="宋体" w:cs="宋体" w:eastAsia="宋体" w:hint="default"/>
                <w:sz w:val="18"/>
                <w:szCs w:val="18"/>
              </w:rPr>
              <w:t>中国民生银行 郑州分行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USD3M-LIBOR</w:t>
            </w:r>
          </w:p>
          <w:p>
            <w:pPr>
              <w:pStyle w:val="TableParagraph"/>
              <w:spacing w:line="319" w:lineRule="auto" w:before="64"/>
              <w:ind w:left="22" w:right="161"/>
              <w:jc w:val="left"/>
              <w:rPr>
                <w:rFonts w:ascii="宋体" w:hAnsi="宋体" w:cs="宋体" w:eastAsia="宋体" w:hint="default"/>
                <w:sz w:val="18"/>
                <w:szCs w:val="18"/>
              </w:rPr>
            </w:pPr>
            <w:r>
              <w:rPr>
                <w:rFonts w:ascii="宋体" w:hAnsi="宋体" w:cs="宋体" w:eastAsia="宋体" w:hint="default"/>
                <w:sz w:val="18"/>
                <w:szCs w:val="18"/>
              </w:rPr>
              <w:t>挂钩的金融衍 生品交易</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w w:val="95"/>
                <w:sz w:val="18"/>
              </w:rPr>
              <w:t>4.00%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133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招商银行股份 有限公司郑州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挂钩伦敦黄金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w w:val="95"/>
                <w:sz w:val="18"/>
              </w:rPr>
              <w:t>3.72%</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402"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招商银行股份</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结构性</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挂钩伦敦黄金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4.15%</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巨潮资讯</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76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39"/>
        <w:gridCol w:w="590"/>
        <w:gridCol w:w="606"/>
        <w:gridCol w:w="575"/>
        <w:gridCol w:w="776"/>
        <w:gridCol w:w="851"/>
        <w:gridCol w:w="992"/>
        <w:gridCol w:w="1276"/>
        <w:gridCol w:w="1417"/>
        <w:gridCol w:w="851"/>
        <w:gridCol w:w="992"/>
        <w:gridCol w:w="1134"/>
        <w:gridCol w:w="850"/>
        <w:gridCol w:w="709"/>
        <w:gridCol w:w="709"/>
        <w:gridCol w:w="708"/>
        <w:gridCol w:w="851"/>
      </w:tblGrid>
      <w:tr>
        <w:trPr>
          <w:trHeight w:val="1001" w:hRule="exact"/>
        </w:trPr>
        <w:tc>
          <w:tcPr>
            <w:tcW w:w="1139"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有限公司郑州 分行</w:t>
            </w:r>
          </w:p>
        </w:tc>
        <w:tc>
          <w:tcPr>
            <w:tcW w:w="590" w:type="dxa"/>
            <w:tcBorders>
              <w:top w:val="single" w:sz="15" w:space="0" w:color="000000"/>
              <w:left w:val="single" w:sz="4" w:space="0" w:color="000000"/>
              <w:bottom w:val="single" w:sz="4" w:space="0" w:color="000000"/>
              <w:right w:val="single" w:sz="4" w:space="0" w:color="000000"/>
            </w:tcBorders>
          </w:tcPr>
          <w:p>
            <w:pPr/>
          </w:p>
        </w:tc>
        <w:tc>
          <w:tcPr>
            <w:tcW w:w="60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存款</w:t>
            </w:r>
          </w:p>
        </w:tc>
        <w:tc>
          <w:tcPr>
            <w:tcW w:w="575" w:type="dxa"/>
            <w:tcBorders>
              <w:top w:val="single" w:sz="15" w:space="0" w:color="000000"/>
              <w:left w:val="single" w:sz="4" w:space="0" w:color="000000"/>
              <w:bottom w:val="single" w:sz="4" w:space="0" w:color="000000"/>
              <w:right w:val="single" w:sz="4" w:space="0" w:color="000000"/>
            </w:tcBorders>
          </w:tcPr>
          <w:p>
            <w:pPr/>
          </w:p>
        </w:tc>
        <w:tc>
          <w:tcPr>
            <w:tcW w:w="776"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360"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网 </w:t>
            </w:r>
            <w:r>
              <w:rPr>
                <w:rFonts w:ascii="Times New Roman" w:hAnsi="Times New Roman" w:cs="Times New Roman" w:eastAsia="Times New Roman" w:hint="default"/>
                <w:spacing w:val="-2"/>
                <w:sz w:val="18"/>
                <w:szCs w:val="18"/>
              </w:rPr>
              <w:t>www.cninf</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o.com.cn</w:t>
            </w:r>
          </w:p>
        </w:tc>
      </w:tr>
      <w:tr>
        <w:trPr>
          <w:trHeight w:val="133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上海浦东发展 银行股份有限 公司郑州分行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银行间市场央 票、国债金融 </w:t>
            </w:r>
            <w:r>
              <w:rPr>
                <w:rFonts w:ascii="宋体" w:hAnsi="宋体" w:cs="宋体" w:eastAsia="宋体" w:hint="default"/>
                <w:spacing w:val="-6"/>
                <w:sz w:val="18"/>
                <w:szCs w:val="18"/>
              </w:rPr>
              <w:t>债、企业债、短</w:t>
            </w:r>
            <w:r>
              <w:rPr>
                <w:rFonts w:ascii="宋体" w:hAnsi="宋体" w:cs="宋体" w:eastAsia="宋体" w:hint="default"/>
                <w:sz w:val="18"/>
                <w:szCs w:val="18"/>
              </w:rPr>
              <w:t> 融、等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w w:val="95"/>
                <w:sz w:val="18"/>
              </w:rPr>
              <w:t>4.15%</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133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中国民生银行 股份有限公司 郑州分行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USD3M-LIBOR</w:t>
            </w:r>
          </w:p>
          <w:p>
            <w:pPr>
              <w:pStyle w:val="TableParagraph"/>
              <w:spacing w:line="319" w:lineRule="auto" w:before="64"/>
              <w:ind w:left="22" w:right="161"/>
              <w:jc w:val="left"/>
              <w:rPr>
                <w:rFonts w:ascii="宋体" w:hAnsi="宋体" w:cs="宋体" w:eastAsia="宋体" w:hint="default"/>
                <w:sz w:val="18"/>
                <w:szCs w:val="18"/>
              </w:rPr>
            </w:pPr>
            <w:r>
              <w:rPr>
                <w:rFonts w:ascii="宋体" w:hAnsi="宋体" w:cs="宋体" w:eastAsia="宋体" w:hint="default"/>
                <w:sz w:val="18"/>
                <w:szCs w:val="18"/>
              </w:rPr>
              <w:t>挂钩的金融衍 生品交易</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w w:val="95"/>
                <w:sz w:val="18"/>
              </w:rPr>
              <w:t>4.20%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357" w:hRule="exact"/>
        </w:trPr>
        <w:tc>
          <w:tcPr>
            <w:tcW w:w="11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郑州银行股份</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630" w:hRule="exact"/>
        </w:trPr>
        <w:tc>
          <w:tcPr>
            <w:tcW w:w="113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有限公司经济 技术开发区支</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SHIBOR</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相关</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的衍生品</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4.11%</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4.11%</w:t>
            </w:r>
          </w:p>
        </w:tc>
        <w:tc>
          <w:tcPr>
            <w:tcW w:w="992"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51.23</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www.cninf</w:t>
            </w:r>
          </w:p>
        </w:tc>
      </w:tr>
      <w:tr>
        <w:trPr>
          <w:trHeight w:val="351" w:hRule="exact"/>
        </w:trPr>
        <w:tc>
          <w:tcPr>
            <w:tcW w:w="11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1650"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中国建设银行 股份有限公司 郑州市行政区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募集资金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国债、金融债、 </w:t>
            </w:r>
            <w:r>
              <w:rPr>
                <w:rFonts w:ascii="宋体" w:hAnsi="宋体" w:cs="宋体" w:eastAsia="宋体" w:hint="default"/>
                <w:spacing w:val="-6"/>
                <w:sz w:val="18"/>
                <w:szCs w:val="18"/>
              </w:rPr>
              <w:t>央行票据、企业</w:t>
            </w:r>
            <w:r>
              <w:rPr>
                <w:rFonts w:ascii="宋体" w:hAnsi="宋体" w:cs="宋体" w:eastAsia="宋体" w:hint="default"/>
                <w:sz w:val="18"/>
                <w:szCs w:val="18"/>
              </w:rPr>
              <w:t> 短期融资券等 符合监管要求 的资产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133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郑州银行股份 有限公司经济 技术开发区支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SHIBOR</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相关</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的衍生品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w w:val="95"/>
                <w:sz w:val="18"/>
              </w:rPr>
              <w:t>3.90%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31.41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133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招商银行股份 有限公司郑州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挂钩伦敦黄金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w w:val="95"/>
                <w:sz w:val="18"/>
              </w:rPr>
              <w:t>4.20%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31.76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76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39"/>
        <w:gridCol w:w="590"/>
        <w:gridCol w:w="606"/>
        <w:gridCol w:w="575"/>
        <w:gridCol w:w="776"/>
        <w:gridCol w:w="851"/>
        <w:gridCol w:w="992"/>
        <w:gridCol w:w="1276"/>
        <w:gridCol w:w="1417"/>
        <w:gridCol w:w="851"/>
        <w:gridCol w:w="992"/>
        <w:gridCol w:w="1134"/>
        <w:gridCol w:w="850"/>
        <w:gridCol w:w="709"/>
        <w:gridCol w:w="709"/>
        <w:gridCol w:w="708"/>
        <w:gridCol w:w="851"/>
      </w:tblGrid>
      <w:tr>
        <w:trPr>
          <w:trHeight w:val="372" w:hRule="exact"/>
        </w:trPr>
        <w:tc>
          <w:tcPr>
            <w:tcW w:w="1139" w:type="dxa"/>
            <w:tcBorders>
              <w:top w:val="single" w:sz="15" w:space="0" w:color="000000"/>
              <w:left w:val="single" w:sz="4" w:space="0" w:color="000000"/>
              <w:bottom w:val="nil" w:sz="6" w:space="0" w:color="auto"/>
              <w:right w:val="single" w:sz="4" w:space="0" w:color="000000"/>
            </w:tcBorders>
          </w:tcPr>
          <w:p>
            <w:pPr/>
          </w:p>
        </w:tc>
        <w:tc>
          <w:tcPr>
            <w:tcW w:w="590" w:type="dxa"/>
            <w:tcBorders>
              <w:top w:val="single" w:sz="15" w:space="0" w:color="000000"/>
              <w:left w:val="single" w:sz="4" w:space="0" w:color="000000"/>
              <w:bottom w:val="nil" w:sz="6" w:space="0" w:color="auto"/>
              <w:right w:val="single" w:sz="4" w:space="0" w:color="000000"/>
            </w:tcBorders>
          </w:tcPr>
          <w:p>
            <w:pPr/>
          </w:p>
        </w:tc>
        <w:tc>
          <w:tcPr>
            <w:tcW w:w="606" w:type="dxa"/>
            <w:tcBorders>
              <w:top w:val="single" w:sz="15" w:space="0" w:color="000000"/>
              <w:left w:val="single" w:sz="4" w:space="0" w:color="000000"/>
              <w:bottom w:val="nil" w:sz="6" w:space="0" w:color="auto"/>
              <w:right w:val="single" w:sz="4" w:space="0" w:color="000000"/>
            </w:tcBorders>
          </w:tcPr>
          <w:p>
            <w:pPr/>
          </w:p>
        </w:tc>
        <w:tc>
          <w:tcPr>
            <w:tcW w:w="575" w:type="dxa"/>
            <w:tcBorders>
              <w:top w:val="single" w:sz="15" w:space="0" w:color="000000"/>
              <w:left w:val="single" w:sz="4" w:space="0" w:color="000000"/>
              <w:bottom w:val="nil" w:sz="6" w:space="0" w:color="auto"/>
              <w:right w:val="single" w:sz="4" w:space="0" w:color="000000"/>
            </w:tcBorders>
          </w:tcPr>
          <w:p>
            <w:pPr/>
          </w:p>
        </w:tc>
        <w:tc>
          <w:tcPr>
            <w:tcW w:w="776" w:type="dxa"/>
            <w:tcBorders>
              <w:top w:val="single" w:sz="15" w:space="0" w:color="000000"/>
              <w:left w:val="single" w:sz="4" w:space="0" w:color="000000"/>
              <w:bottom w:val="nil" w:sz="6" w:space="0" w:color="auto"/>
              <w:right w:val="single" w:sz="4" w:space="0" w:color="000000"/>
            </w:tcBorders>
          </w:tcPr>
          <w:p>
            <w:pPr/>
          </w:p>
        </w:tc>
        <w:tc>
          <w:tcPr>
            <w:tcW w:w="851" w:type="dxa"/>
            <w:tcBorders>
              <w:top w:val="single" w:sz="15" w:space="0" w:color="000000"/>
              <w:left w:val="single" w:sz="4" w:space="0" w:color="000000"/>
              <w:bottom w:val="nil" w:sz="6" w:space="0" w:color="auto"/>
              <w:right w:val="single" w:sz="4" w:space="0" w:color="000000"/>
            </w:tcBorders>
          </w:tcPr>
          <w:p>
            <w:pPr/>
          </w:p>
        </w:tc>
        <w:tc>
          <w:tcPr>
            <w:tcW w:w="992" w:type="dxa"/>
            <w:tcBorders>
              <w:top w:val="single" w:sz="15" w:space="0" w:color="000000"/>
              <w:left w:val="single" w:sz="4" w:space="0" w:color="000000"/>
              <w:bottom w:val="nil" w:sz="6" w:space="0" w:color="auto"/>
              <w:right w:val="single" w:sz="4" w:space="0" w:color="000000"/>
            </w:tcBorders>
          </w:tcPr>
          <w:p>
            <w:pPr/>
          </w:p>
        </w:tc>
        <w:tc>
          <w:tcPr>
            <w:tcW w:w="127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国债、金融债、</w:t>
            </w:r>
          </w:p>
        </w:tc>
        <w:tc>
          <w:tcPr>
            <w:tcW w:w="1417" w:type="dxa"/>
            <w:tcBorders>
              <w:top w:val="single" w:sz="15" w:space="0" w:color="000000"/>
              <w:left w:val="single" w:sz="4" w:space="0" w:color="000000"/>
              <w:bottom w:val="nil" w:sz="6" w:space="0" w:color="auto"/>
              <w:right w:val="single" w:sz="4" w:space="0" w:color="000000"/>
            </w:tcBorders>
          </w:tcPr>
          <w:p>
            <w:pPr/>
          </w:p>
        </w:tc>
        <w:tc>
          <w:tcPr>
            <w:tcW w:w="851" w:type="dxa"/>
            <w:tcBorders>
              <w:top w:val="single" w:sz="15" w:space="0" w:color="000000"/>
              <w:left w:val="single" w:sz="4" w:space="0" w:color="000000"/>
              <w:bottom w:val="nil" w:sz="6" w:space="0" w:color="auto"/>
              <w:right w:val="single" w:sz="4" w:space="0" w:color="000000"/>
            </w:tcBorders>
          </w:tcPr>
          <w:p>
            <w:pPr/>
          </w:p>
        </w:tc>
        <w:tc>
          <w:tcPr>
            <w:tcW w:w="992" w:type="dxa"/>
            <w:vMerge w:val="restart"/>
            <w:tcBorders>
              <w:top w:val="single" w:sz="15" w:space="0" w:color="000000"/>
              <w:left w:val="single" w:sz="4" w:space="0" w:color="000000"/>
              <w:right w:val="single" w:sz="4" w:space="0" w:color="000000"/>
            </w:tcBorders>
          </w:tcPr>
          <w:p>
            <w:pPr/>
          </w:p>
        </w:tc>
        <w:tc>
          <w:tcPr>
            <w:tcW w:w="1134" w:type="dxa"/>
            <w:tcBorders>
              <w:top w:val="single" w:sz="15" w:space="0" w:color="000000"/>
              <w:left w:val="single" w:sz="4" w:space="0" w:color="000000"/>
              <w:bottom w:val="nil" w:sz="6" w:space="0" w:color="auto"/>
              <w:right w:val="single" w:sz="4" w:space="0" w:color="000000"/>
            </w:tcBorders>
          </w:tcPr>
          <w:p>
            <w:pPr/>
          </w:p>
        </w:tc>
        <w:tc>
          <w:tcPr>
            <w:tcW w:w="850" w:type="dxa"/>
            <w:tcBorders>
              <w:top w:val="single" w:sz="15" w:space="0" w:color="000000"/>
              <w:left w:val="single" w:sz="4" w:space="0" w:color="000000"/>
              <w:bottom w:val="nil" w:sz="6" w:space="0" w:color="auto"/>
              <w:right w:val="single" w:sz="4" w:space="0" w:color="000000"/>
            </w:tcBorders>
          </w:tcPr>
          <w:p>
            <w:pPr/>
          </w:p>
        </w:tc>
        <w:tc>
          <w:tcPr>
            <w:tcW w:w="709" w:type="dxa"/>
            <w:vMerge w:val="restart"/>
            <w:tcBorders>
              <w:top w:val="single" w:sz="15" w:space="0" w:color="000000"/>
              <w:left w:val="single" w:sz="4" w:space="0" w:color="000000"/>
              <w:right w:val="single" w:sz="4" w:space="0" w:color="000000"/>
            </w:tcBorders>
          </w:tcPr>
          <w:p>
            <w:pPr/>
          </w:p>
        </w:tc>
        <w:tc>
          <w:tcPr>
            <w:tcW w:w="709" w:type="dxa"/>
            <w:tcBorders>
              <w:top w:val="single" w:sz="15" w:space="0" w:color="000000"/>
              <w:left w:val="single" w:sz="4" w:space="0" w:color="000000"/>
              <w:bottom w:val="nil" w:sz="6" w:space="0" w:color="auto"/>
              <w:right w:val="single" w:sz="4" w:space="0" w:color="000000"/>
            </w:tcBorders>
          </w:tcPr>
          <w:p>
            <w:pPr/>
          </w:p>
        </w:tc>
        <w:tc>
          <w:tcPr>
            <w:tcW w:w="708" w:type="dxa"/>
            <w:tcBorders>
              <w:top w:val="single" w:sz="15" w:space="0" w:color="000000"/>
              <w:left w:val="single" w:sz="4" w:space="0" w:color="000000"/>
              <w:bottom w:val="nil" w:sz="6" w:space="0" w:color="auto"/>
              <w:right w:val="single" w:sz="4" w:space="0" w:color="000000"/>
            </w:tcBorders>
          </w:tcPr>
          <w:p>
            <w:pPr/>
          </w:p>
        </w:tc>
        <w:tc>
          <w:tcPr>
            <w:tcW w:w="851"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巨潮资讯</w:t>
            </w:r>
          </w:p>
        </w:tc>
      </w:tr>
      <w:tr>
        <w:trPr>
          <w:trHeight w:val="630" w:hRule="exact"/>
        </w:trPr>
        <w:tc>
          <w:tcPr>
            <w:tcW w:w="1139"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交通银行北京 海淀支行</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31"/>
              <w:jc w:val="left"/>
              <w:rPr>
                <w:rFonts w:ascii="宋体" w:hAnsi="宋体" w:cs="宋体" w:eastAsia="宋体" w:hint="default"/>
                <w:sz w:val="18"/>
                <w:szCs w:val="18"/>
              </w:rPr>
            </w:pPr>
            <w:r>
              <w:rPr>
                <w:rFonts w:ascii="宋体" w:hAnsi="宋体" w:cs="宋体" w:eastAsia="宋体" w:hint="default"/>
                <w:sz w:val="18"/>
                <w:szCs w:val="18"/>
              </w:rPr>
              <w:t>保本收 益型</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6"/>
                <w:sz w:val="18"/>
                <w:szCs w:val="18"/>
              </w:rPr>
              <w:t>央票、高等级信</w:t>
            </w:r>
            <w:r>
              <w:rPr>
                <w:rFonts w:ascii="宋体" w:hAnsi="宋体" w:cs="宋体" w:eastAsia="宋体" w:hint="default"/>
                <w:sz w:val="18"/>
                <w:szCs w:val="18"/>
              </w:rPr>
              <w:t> 用债和其他固</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3.40%</w:t>
            </w:r>
          </w:p>
        </w:tc>
        <w:tc>
          <w:tcPr>
            <w:tcW w:w="992"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www.cninf</w:t>
            </w:r>
          </w:p>
        </w:tc>
      </w:tr>
      <w:tr>
        <w:trPr>
          <w:trHeight w:val="350" w:hRule="exact"/>
        </w:trPr>
        <w:tc>
          <w:tcPr>
            <w:tcW w:w="1139"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定收益类资产</w:t>
            </w:r>
          </w:p>
        </w:tc>
        <w:tc>
          <w:tcPr>
            <w:tcW w:w="1417"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right="131"/>
              <w:jc w:val="center"/>
              <w:rPr>
                <w:rFonts w:ascii="Times New Roman" w:hAnsi="Times New Roman" w:cs="Times New Roman" w:eastAsia="Times New Roman" w:hint="default"/>
                <w:sz w:val="18"/>
                <w:szCs w:val="18"/>
              </w:rPr>
            </w:pPr>
            <w:r>
              <w:rPr>
                <w:rFonts w:ascii="Times New Roman"/>
                <w:sz w:val="18"/>
              </w:rPr>
              <w:t>o.com.cn</w:t>
            </w:r>
          </w:p>
        </w:tc>
      </w:tr>
      <w:tr>
        <w:trPr>
          <w:trHeight w:val="133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23"/>
              <w:jc w:val="left"/>
              <w:rPr>
                <w:rFonts w:ascii="宋体" w:hAnsi="宋体" w:cs="宋体" w:eastAsia="宋体" w:hint="default"/>
                <w:sz w:val="18"/>
                <w:szCs w:val="18"/>
              </w:rPr>
            </w:pPr>
            <w:r>
              <w:rPr>
                <w:rFonts w:ascii="宋体" w:hAnsi="宋体" w:cs="宋体" w:eastAsia="宋体" w:hint="default"/>
                <w:sz w:val="18"/>
                <w:szCs w:val="18"/>
              </w:rPr>
              <w:t>交通银行北京 海淀支行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国债、金融债、 </w:t>
            </w:r>
            <w:r>
              <w:rPr>
                <w:rFonts w:ascii="宋体" w:hAnsi="宋体" w:cs="宋体" w:eastAsia="宋体" w:hint="default"/>
                <w:spacing w:val="-6"/>
                <w:sz w:val="18"/>
                <w:szCs w:val="18"/>
              </w:rPr>
              <w:t>央票、高等级信</w:t>
            </w:r>
            <w:r>
              <w:rPr>
                <w:rFonts w:ascii="宋体" w:hAnsi="宋体" w:cs="宋体" w:eastAsia="宋体" w:hint="default"/>
                <w:sz w:val="18"/>
                <w:szCs w:val="18"/>
              </w:rPr>
              <w:t> 用债和其他固 定收益类资产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52" w:right="0"/>
              <w:jc w:val="left"/>
              <w:rPr>
                <w:rFonts w:ascii="Times New Roman" w:hAnsi="Times New Roman" w:cs="Times New Roman" w:eastAsia="Times New Roman" w:hint="default"/>
                <w:sz w:val="18"/>
                <w:szCs w:val="18"/>
              </w:rPr>
            </w:pPr>
            <w:r>
              <w:rPr>
                <w:rFonts w:ascii="Times New Roman"/>
                <w:sz w:val="18"/>
              </w:rPr>
              <w:t>2.10%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133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23"/>
              <w:jc w:val="left"/>
              <w:rPr>
                <w:rFonts w:ascii="宋体" w:hAnsi="宋体" w:cs="宋体" w:eastAsia="宋体" w:hint="default"/>
                <w:sz w:val="18"/>
                <w:szCs w:val="18"/>
              </w:rPr>
            </w:pPr>
            <w:r>
              <w:rPr>
                <w:rFonts w:ascii="宋体" w:hAnsi="宋体" w:cs="宋体" w:eastAsia="宋体" w:hint="default"/>
                <w:sz w:val="18"/>
                <w:szCs w:val="18"/>
              </w:rPr>
              <w:t>交通银行北京 海淀支行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国债、金融债、 </w:t>
            </w:r>
            <w:r>
              <w:rPr>
                <w:rFonts w:ascii="宋体" w:hAnsi="宋体" w:cs="宋体" w:eastAsia="宋体" w:hint="default"/>
                <w:spacing w:val="-6"/>
                <w:sz w:val="18"/>
                <w:szCs w:val="18"/>
              </w:rPr>
              <w:t>央票、高等级信</w:t>
            </w:r>
            <w:r>
              <w:rPr>
                <w:rFonts w:ascii="宋体" w:hAnsi="宋体" w:cs="宋体" w:eastAsia="宋体" w:hint="default"/>
                <w:sz w:val="18"/>
                <w:szCs w:val="18"/>
              </w:rPr>
              <w:t> 用债和其他固 定收益类资产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52" w:right="0"/>
              <w:jc w:val="left"/>
              <w:rPr>
                <w:rFonts w:ascii="Times New Roman" w:hAnsi="Times New Roman" w:cs="Times New Roman" w:eastAsia="Times New Roman" w:hint="default"/>
                <w:sz w:val="18"/>
                <w:szCs w:val="18"/>
              </w:rPr>
            </w:pPr>
            <w:r>
              <w:rPr>
                <w:rFonts w:ascii="Times New Roman"/>
                <w:sz w:val="18"/>
              </w:rPr>
              <w:t>2.20%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402" w:hRule="exact"/>
        </w:trPr>
        <w:tc>
          <w:tcPr>
            <w:tcW w:w="233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60,700</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5" w:right="0"/>
              <w:jc w:val="left"/>
              <w:rPr>
                <w:rFonts w:ascii="Times New Roman" w:hAnsi="Times New Roman" w:cs="Times New Roman" w:eastAsia="Times New Roman" w:hint="default"/>
                <w:sz w:val="18"/>
                <w:szCs w:val="18"/>
              </w:rPr>
            </w:pPr>
            <w:r>
              <w:rPr>
                <w:rFonts w:ascii="Times New Roman"/>
                <w:sz w:val="18"/>
              </w:rPr>
              <w:t>63.17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584.76</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679" w:right="0"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7"/>
        <w:ind w:left="67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6840" w:h="11910" w:orient="landscape"/>
          <w:pgMar w:header="867" w:footer="978" w:top="1060" w:bottom="1160" w:left="760" w:right="820"/>
        </w:sectPr>
      </w:pPr>
    </w:p>
    <w:p>
      <w:pPr>
        <w:spacing w:line="240" w:lineRule="auto" w:before="10"/>
        <w:rPr>
          <w:rFonts w:ascii="宋体" w:hAnsi="宋体" w:cs="宋体" w:eastAsia="宋体" w:hint="default"/>
          <w:sz w:val="20"/>
          <w:szCs w:val="20"/>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133"/>
        <w:jc w:val="left"/>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spacing w:line="506" w:lineRule="auto" w:before="0"/>
        <w:ind w:left="437" w:right="2767" w:hanging="28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spacing w:val="1"/>
          <w:w w:val="99"/>
          <w:sz w:val="21"/>
          <w:szCs w:val="21"/>
        </w:rPr>
        <w:t> </w:t>
      </w:r>
      <w:r>
        <w:rPr>
          <w:rFonts w:ascii="宋体" w:hAnsi="宋体" w:cs="宋体" w:eastAsia="宋体" w:hint="default"/>
          <w:sz w:val="21"/>
          <w:szCs w:val="21"/>
        </w:rPr>
        <w:t>具体内容请查看公司于在巨潮资讯网刊登的《</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年度社会责任报告》。</w:t>
      </w:r>
    </w:p>
    <w:p>
      <w:pPr>
        <w:pStyle w:val="Heading4"/>
        <w:spacing w:line="240" w:lineRule="auto" w:before="64"/>
        <w:ind w:left="153" w:right="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spacing w:line="506" w:lineRule="auto" w:before="0"/>
        <w:ind w:left="437" w:right="3397" w:hanging="28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公司报告年度暂未开展精准扶贫工作，也暂无后续精准扶贫计划。</w:t>
      </w:r>
    </w:p>
    <w:p>
      <w:pPr>
        <w:pStyle w:val="Heading4"/>
        <w:spacing w:line="240" w:lineRule="auto" w:before="105"/>
        <w:ind w:left="153" w:right="133"/>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4731"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 上市公司及其子公司不属于环境保护部门公布的重点排污单位。</w:t>
      </w:r>
    </w:p>
    <w:p>
      <w:pPr>
        <w:spacing w:line="240" w:lineRule="auto" w:before="5"/>
        <w:rPr>
          <w:rFonts w:ascii="宋体" w:hAnsi="宋体" w:cs="宋体" w:eastAsia="宋体" w:hint="default"/>
          <w:sz w:val="18"/>
          <w:szCs w:val="18"/>
        </w:rPr>
      </w:pPr>
    </w:p>
    <w:p>
      <w:pPr>
        <w:pStyle w:val="Heading2"/>
        <w:spacing w:line="240" w:lineRule="auto"/>
        <w:ind w:right="133"/>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1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133"/>
        <w:jc w:val="left"/>
        <w:rPr>
          <w:b w:val="0"/>
          <w:bCs w:val="0"/>
        </w:rPr>
      </w:pPr>
      <w:r>
        <w:rPr/>
        <w:t>十九、公司子公司重大事项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0"/>
          <w:szCs w:val="20"/>
        </w:rPr>
      </w:pPr>
    </w:p>
    <w:p>
      <w:pPr>
        <w:pStyle w:val="BodyText"/>
        <w:spacing w:line="240" w:lineRule="auto" w:before="0"/>
        <w:ind w:left="574" w:right="0"/>
        <w:jc w:val="left"/>
      </w:pPr>
      <w:r>
        <w:rPr/>
        <w:t>报告期内，丹诚开普的优先级有限合伙人自然人王茂斌先生与公司及丹诚开普普通合伙人丹诚资管签</w:t>
      </w:r>
    </w:p>
    <w:p>
      <w:pPr>
        <w:spacing w:after="0" w:line="240" w:lineRule="auto"/>
        <w:jc w:val="left"/>
        <w:sectPr>
          <w:headerReference w:type="default" r:id="rId28"/>
          <w:footerReference w:type="default" r:id="rId29"/>
          <w:pgSz w:w="11910" w:h="16840"/>
          <w:pgMar w:header="877" w:footer="982" w:top="1100" w:bottom="1180" w:left="980" w:right="980"/>
          <w:pgNumType w:start="97"/>
        </w:sectPr>
      </w:pPr>
    </w:p>
    <w:p>
      <w:pPr>
        <w:spacing w:line="240" w:lineRule="auto" w:before="8"/>
        <w:rPr>
          <w:rFonts w:ascii="宋体" w:hAnsi="宋体" w:cs="宋体" w:eastAsia="宋体" w:hint="default"/>
          <w:sz w:val="26"/>
          <w:szCs w:val="26"/>
        </w:rPr>
      </w:pPr>
    </w:p>
    <w:p>
      <w:pPr>
        <w:pStyle w:val="BodyText"/>
        <w:spacing w:line="240" w:lineRule="auto" w:before="35"/>
        <w:ind w:right="133"/>
        <w:jc w:val="left"/>
      </w:pPr>
      <w:r>
        <w:rPr/>
        <w:t>署了《退伙协议》，丹诚开普本次变化前后的出资情况：</w:t>
      </w:r>
    </w:p>
    <w:p>
      <w:pPr>
        <w:spacing w:line="240" w:lineRule="auto" w:before="11"/>
        <w:rPr>
          <w:rFonts w:ascii="宋体" w:hAnsi="宋体" w:cs="宋体" w:eastAsia="宋体" w:hint="default"/>
          <w:sz w:val="21"/>
          <w:szCs w:val="21"/>
        </w:rPr>
      </w:pPr>
    </w:p>
    <w:tbl>
      <w:tblPr>
        <w:tblW w:w="0" w:type="auto"/>
        <w:jc w:val="left"/>
        <w:tblInd w:w="932" w:type="dxa"/>
        <w:tblLayout w:type="fixed"/>
        <w:tblCellMar>
          <w:top w:w="0" w:type="dxa"/>
          <w:left w:w="0" w:type="dxa"/>
          <w:bottom w:w="0" w:type="dxa"/>
          <w:right w:w="0" w:type="dxa"/>
        </w:tblCellMar>
        <w:tblLook w:val="01E0"/>
      </w:tblPr>
      <w:tblGrid>
        <w:gridCol w:w="817"/>
        <w:gridCol w:w="1451"/>
        <w:gridCol w:w="1104"/>
        <w:gridCol w:w="1297"/>
        <w:gridCol w:w="992"/>
        <w:gridCol w:w="1418"/>
        <w:gridCol w:w="991"/>
      </w:tblGrid>
      <w:tr>
        <w:trPr>
          <w:trHeight w:val="342" w:hRule="exact"/>
        </w:trPr>
        <w:tc>
          <w:tcPr>
            <w:tcW w:w="81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1"/>
              <w:ind w:left="223"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45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b/>
                <w:bCs/>
                <w:sz w:val="18"/>
                <w:szCs w:val="18"/>
              </w:rPr>
              <w:t>姓名或名称</w:t>
            </w:r>
            <w:r>
              <w:rPr>
                <w:rFonts w:ascii="宋体" w:hAnsi="宋体" w:cs="宋体" w:eastAsia="宋体" w:hint="default"/>
                <w:sz w:val="18"/>
                <w:szCs w:val="18"/>
              </w:rPr>
            </w:r>
          </w:p>
        </w:tc>
        <w:tc>
          <w:tcPr>
            <w:tcW w:w="110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1"/>
              <w:ind w:left="95" w:right="0"/>
              <w:jc w:val="left"/>
              <w:rPr>
                <w:rFonts w:ascii="宋体" w:hAnsi="宋体" w:cs="宋体" w:eastAsia="宋体" w:hint="default"/>
                <w:sz w:val="18"/>
                <w:szCs w:val="18"/>
              </w:rPr>
            </w:pPr>
            <w:r>
              <w:rPr>
                <w:rFonts w:ascii="宋体" w:hAnsi="宋体" w:cs="宋体" w:eastAsia="宋体" w:hint="default"/>
                <w:b/>
                <w:bCs/>
                <w:sz w:val="18"/>
                <w:szCs w:val="18"/>
              </w:rPr>
              <w:t>合伙人性质</w:t>
            </w:r>
            <w:r>
              <w:rPr>
                <w:rFonts w:ascii="宋体" w:hAnsi="宋体" w:cs="宋体" w:eastAsia="宋体" w:hint="default"/>
                <w:sz w:val="18"/>
                <w:szCs w:val="18"/>
              </w:rPr>
            </w:r>
          </w:p>
        </w:tc>
        <w:tc>
          <w:tcPr>
            <w:tcW w:w="229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98" w:right="0"/>
              <w:jc w:val="left"/>
              <w:rPr>
                <w:rFonts w:ascii="宋体" w:hAnsi="宋体" w:cs="宋体" w:eastAsia="宋体" w:hint="default"/>
                <w:sz w:val="18"/>
                <w:szCs w:val="18"/>
              </w:rPr>
            </w:pPr>
            <w:r>
              <w:rPr>
                <w:rFonts w:ascii="宋体" w:hAnsi="宋体" w:cs="宋体" w:eastAsia="宋体" w:hint="default"/>
                <w:b/>
                <w:bCs/>
                <w:sz w:val="18"/>
                <w:szCs w:val="18"/>
              </w:rPr>
              <w:t>合伙人退出前</w:t>
            </w:r>
            <w:r>
              <w:rPr>
                <w:rFonts w:ascii="宋体" w:hAnsi="宋体" w:cs="宋体" w:eastAsia="宋体" w:hint="default"/>
                <w:sz w:val="18"/>
                <w:szCs w:val="18"/>
              </w:rPr>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57" w:right="0"/>
              <w:jc w:val="left"/>
              <w:rPr>
                <w:rFonts w:ascii="宋体" w:hAnsi="宋体" w:cs="宋体" w:eastAsia="宋体" w:hint="default"/>
                <w:sz w:val="18"/>
                <w:szCs w:val="18"/>
              </w:rPr>
            </w:pPr>
            <w:r>
              <w:rPr>
                <w:rFonts w:ascii="宋体" w:hAnsi="宋体" w:cs="宋体" w:eastAsia="宋体" w:hint="default"/>
                <w:b/>
                <w:bCs/>
                <w:sz w:val="18"/>
                <w:szCs w:val="18"/>
              </w:rPr>
              <w:t>合伙人退出后</w:t>
            </w:r>
            <w:r>
              <w:rPr>
                <w:rFonts w:ascii="宋体" w:hAnsi="宋体" w:cs="宋体" w:eastAsia="宋体" w:hint="default"/>
                <w:sz w:val="18"/>
                <w:szCs w:val="18"/>
              </w:rPr>
            </w:r>
          </w:p>
        </w:tc>
      </w:tr>
      <w:tr>
        <w:trPr>
          <w:trHeight w:val="342" w:hRule="exact"/>
        </w:trPr>
        <w:tc>
          <w:tcPr>
            <w:tcW w:w="817" w:type="dxa"/>
            <w:vMerge/>
            <w:tcBorders>
              <w:left w:val="single" w:sz="4" w:space="0" w:color="000000"/>
              <w:bottom w:val="single" w:sz="4" w:space="0" w:color="000000"/>
              <w:right w:val="single" w:sz="4" w:space="0" w:color="000000"/>
            </w:tcBorders>
            <w:shd w:val="clear" w:color="auto" w:fill="D9D9D9"/>
          </w:tcPr>
          <w:p>
            <w:pPr/>
          </w:p>
        </w:tc>
        <w:tc>
          <w:tcPr>
            <w:tcW w:w="1451" w:type="dxa"/>
            <w:vMerge/>
            <w:tcBorders>
              <w:left w:val="single" w:sz="4" w:space="0" w:color="000000"/>
              <w:bottom w:val="single" w:sz="4" w:space="0" w:color="000000"/>
              <w:right w:val="single" w:sz="4" w:space="0" w:color="000000"/>
            </w:tcBorders>
            <w:shd w:val="clear" w:color="auto" w:fill="D9D9D9"/>
          </w:tcPr>
          <w:p>
            <w:pPr/>
          </w:p>
        </w:tc>
        <w:tc>
          <w:tcPr>
            <w:tcW w:w="1104" w:type="dxa"/>
            <w:vMerge/>
            <w:tcBorders>
              <w:left w:val="single" w:sz="4" w:space="0" w:color="000000"/>
              <w:bottom w:val="single" w:sz="4" w:space="0" w:color="000000"/>
              <w:right w:val="single" w:sz="4" w:space="0" w:color="000000"/>
            </w:tcBorders>
            <w:shd w:val="clear" w:color="auto" w:fill="D9D9D9"/>
          </w:tcPr>
          <w:p>
            <w:pPr/>
          </w:p>
        </w:tc>
        <w:tc>
          <w:tcPr>
            <w:tcW w:w="1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出资额（万元）</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出资方式</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出资额（万元）</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出资方式</w:t>
            </w:r>
            <w:r>
              <w:rPr>
                <w:rFonts w:ascii="宋体" w:hAnsi="宋体" w:cs="宋体" w:eastAsia="宋体" w:hint="default"/>
                <w:sz w:val="18"/>
                <w:szCs w:val="18"/>
              </w:rPr>
            </w:r>
          </w:p>
        </w:tc>
      </w:tr>
      <w:tr>
        <w:trPr>
          <w:trHeight w:val="34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6"/>
              <w:jc w:val="right"/>
              <w:rPr>
                <w:rFonts w:ascii="Times New Roman" w:hAnsi="Times New Roman" w:cs="Times New Roman" w:eastAsia="Times New Roman" w:hint="default"/>
                <w:sz w:val="18"/>
                <w:szCs w:val="18"/>
              </w:rPr>
            </w:pPr>
            <w:r>
              <w:rPr>
                <w:rFonts w:ascii="Times New Roman"/>
                <w:sz w:val="18"/>
              </w:rPr>
              <w:t>1</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新开普</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有限合伙人</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14,500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w:t>
            </w:r>
          </w:p>
        </w:tc>
      </w:tr>
      <w:tr>
        <w:trPr>
          <w:trHeight w:val="34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6"/>
              <w:jc w:val="right"/>
              <w:rPr>
                <w:rFonts w:ascii="Times New Roman" w:hAnsi="Times New Roman" w:cs="Times New Roman" w:eastAsia="Times New Roman" w:hint="default"/>
                <w:sz w:val="18"/>
                <w:szCs w:val="18"/>
              </w:rPr>
            </w:pPr>
            <w:r>
              <w:rPr>
                <w:rFonts w:ascii="Times New Roman"/>
                <w:sz w:val="18"/>
              </w:rPr>
              <w:t>2</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丹诚资管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普通合伙人</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w:t>
            </w:r>
          </w:p>
        </w:tc>
      </w:tr>
      <w:tr>
        <w:trPr>
          <w:trHeight w:val="34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6"/>
              <w:jc w:val="right"/>
              <w:rPr>
                <w:rFonts w:ascii="Times New Roman" w:hAnsi="Times New Roman" w:cs="Times New Roman" w:eastAsia="Times New Roman" w:hint="default"/>
                <w:sz w:val="18"/>
                <w:szCs w:val="18"/>
              </w:rPr>
            </w:pPr>
            <w:r>
              <w:rPr>
                <w:rFonts w:ascii="Times New Roman"/>
                <w:sz w:val="18"/>
              </w:rPr>
              <w:t>3</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王茂斌</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有限合伙人</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17,000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102"/>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27"/>
        <w:gridCol w:w="823"/>
        <w:gridCol w:w="823"/>
        <w:gridCol w:w="822"/>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3D3D3"/>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140,553,6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-20,397,1</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-20,397,1</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120,156,5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37.03%</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140,553,6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-20,397,1</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-20,397,1</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120,156,5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37.03%</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3,775,582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1.16%</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3,775,582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1.16%</w:t>
            </w:r>
            <w:r>
              <w:rPr>
                <w:rFonts w:ascii="Times New Roman"/>
                <w:sz w:val="18"/>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      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136,778,0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42.14%</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-20,397,1</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-20,397,1</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116,380,9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35.87%</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184,070,6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20,248,36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20,248,36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204,318,9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62.97%</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184,070,6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20,248,36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20,248,36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204,318,9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62.97%</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324,624,3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-148,800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-148,800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324,475,5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153" w:right="102" w:firstLine="423"/>
        <w:jc w:val="left"/>
      </w:pPr>
      <w:r>
        <w:rPr>
          <w:spacing w:val="-1"/>
        </w:rPr>
        <w:t>根据</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24</w:t>
      </w:r>
      <w:r>
        <w:rPr>
          <w:spacing w:val="-1"/>
        </w:rPr>
        <w:t>日公司召开的</w:t>
      </w:r>
      <w:r>
        <w:rPr>
          <w:rFonts w:ascii="Times New Roman" w:hAnsi="Times New Roman" w:cs="Times New Roman" w:eastAsia="Times New Roman" w:hint="default"/>
          <w:spacing w:val="-1"/>
        </w:rPr>
        <w:t>2016</w:t>
      </w:r>
      <w:r>
        <w:rPr>
          <w:spacing w:val="-1"/>
        </w:rPr>
        <w:t>年第四次临时股东大会的决议，公司实施了限制性股票激励计划，</w:t>
      </w:r>
      <w:r>
        <w:rPr/>
        <w:t> </w:t>
      </w:r>
      <w:r>
        <w:rPr>
          <w:spacing w:val="-2"/>
        </w:rPr>
        <w:t>向包含公司高级管理人员和核心业务骨干在内的共</w:t>
      </w:r>
      <w:r>
        <w:rPr>
          <w:rFonts w:ascii="Times New Roman" w:hAnsi="Times New Roman" w:cs="Times New Roman" w:eastAsia="Times New Roman" w:hint="default"/>
          <w:spacing w:val="-2"/>
        </w:rPr>
        <w:t>463</w:t>
      </w:r>
      <w:r>
        <w:rPr>
          <w:spacing w:val="-2"/>
        </w:rPr>
        <w:t>名激励对象授予</w:t>
      </w:r>
      <w:r>
        <w:rPr>
          <w:rFonts w:ascii="Times New Roman" w:hAnsi="Times New Roman" w:cs="Times New Roman" w:eastAsia="Times New Roman" w:hint="default"/>
          <w:spacing w:val="-2"/>
        </w:rPr>
        <w:t>952.94</w:t>
      </w:r>
      <w:r>
        <w:rPr>
          <w:spacing w:val="-2"/>
        </w:rPr>
        <w:t>万股限制性股票。本次限制性</w:t>
      </w:r>
      <w:r>
        <w:rPr>
          <w:spacing w:val="-85"/>
        </w:rPr>
        <w:t> </w:t>
      </w:r>
      <w:r>
        <w:rPr>
          <w:spacing w:val="-85"/>
        </w:rPr>
      </w:r>
      <w:r>
        <w:rPr/>
        <w:t>股票激励计划的限制性股票来源为公司向激励对象定向发行的人民币</w:t>
      </w:r>
      <w:r>
        <w:rPr>
          <w:rFonts w:ascii="Times New Roman" w:hAnsi="Times New Roman" w:cs="Times New Roman" w:eastAsia="Times New Roman" w:hint="default"/>
        </w:rPr>
        <w:t>A</w:t>
      </w:r>
      <w:r>
        <w:rPr/>
        <w:t>股普通股；</w:t>
      </w:r>
    </w:p>
    <w:p>
      <w:pPr>
        <w:pStyle w:val="BodyText"/>
        <w:spacing w:line="396" w:lineRule="auto" w:before="35"/>
        <w:ind w:right="198" w:firstLine="42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日召开第四届董事会第二次会议，审议《关于回购注销部分股权激励对象所持已获授但 尚未解锁的限制性股票的议案》，根据公司《限制性股票激励计划（草案）》第十三章，二（三），</w:t>
      </w:r>
      <w:r>
        <w:rPr>
          <w:rFonts w:ascii="Times New Roman" w:hAnsi="Times New Roman" w:cs="Times New Roman" w:eastAsia="Times New Roman" w:hint="default"/>
        </w:rPr>
        <w:t>“</w:t>
      </w:r>
      <w:r>
        <w:rPr/>
        <w:t>激 </w:t>
      </w:r>
      <w:r>
        <w:rPr>
          <w:spacing w:val="-1"/>
        </w:rPr>
        <w:t>励对象因辞职、公司裁员而离职，董事会可以决定对激励对象根据本计划在情况发生之日，激励对象已获</w:t>
      </w:r>
      <w:r>
        <w:rPr>
          <w:spacing w:val="-83"/>
        </w:rPr>
        <w:t> </w:t>
      </w:r>
      <w:r>
        <w:rPr>
          <w:spacing w:val="-83"/>
        </w:rPr>
      </w:r>
      <w:r>
        <w:rPr>
          <w:spacing w:val="-3"/>
        </w:rPr>
        <w:t>授但尚未解锁的限制性股票不得解锁，并由公司按照授予价格回购注销。</w:t>
      </w:r>
      <w:r>
        <w:rPr>
          <w:rFonts w:ascii="Times New Roman" w:hAnsi="Times New Roman" w:cs="Times New Roman" w:eastAsia="Times New Roman" w:hint="default"/>
          <w:spacing w:val="-3"/>
        </w:rPr>
        <w:t>”</w:t>
      </w:r>
      <w:r>
        <w:rPr>
          <w:spacing w:val="-3"/>
        </w:rPr>
        <w:t>、第十三章，二（六）</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w:t>
      </w:r>
      <w:r>
        <w:rPr>
          <w:spacing w:val="-3"/>
        </w:rPr>
        <w:t>当激</w:t>
      </w:r>
      <w:r>
        <w:rPr>
          <w:spacing w:val="-71"/>
        </w:rPr>
        <w:t> </w:t>
      </w:r>
      <w:r>
        <w:rPr>
          <w:spacing w:val="-1"/>
        </w:rPr>
        <w:t>励对象因其他原因而死亡，已解锁的限制性股票不作变更，由其制定的财产继承人或法定继承人继承，激</w:t>
      </w:r>
      <w:r>
        <w:rPr>
          <w:spacing w:val="-83"/>
        </w:rPr>
        <w:t> </w:t>
      </w:r>
      <w:r>
        <w:rPr>
          <w:spacing w:val="-83"/>
        </w:rPr>
      </w:r>
      <w:r>
        <w:rPr>
          <w:spacing w:val="-5"/>
        </w:rPr>
        <w:t>励对象已获授但尚未解锁的限制性股票不得解锁，由公司按照授予价格回购注销。</w:t>
      </w:r>
      <w:r>
        <w:rPr>
          <w:rFonts w:ascii="Times New Roman" w:hAnsi="Times New Roman" w:cs="Times New Roman" w:eastAsia="Times New Roman" w:hint="default"/>
          <w:spacing w:val="-5"/>
        </w:rPr>
        <w:t>”</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spacing w:val="-24"/>
        </w:rPr>
        <w:t>以及第八章，二（四），</w:t>
      </w:r>
    </w:p>
    <w:p>
      <w:pPr>
        <w:spacing w:after="0" w:line="396"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86" w:lineRule="auto" w:before="35"/>
        <w:ind w:left="153" w:right="295"/>
        <w:jc w:val="left"/>
      </w:pPr>
      <w:r>
        <w:rPr>
          <w:rFonts w:ascii="Times New Roman" w:hAnsi="Times New Roman" w:cs="Times New Roman" w:eastAsia="Times New Roman" w:hint="default"/>
        </w:rPr>
        <w:t>“</w:t>
      </w:r>
      <w:r>
        <w:rPr/>
        <w:t>在解锁期内，因个人绩效考核未获解锁的限制性股票由公司统一回购注销。</w:t>
      </w:r>
      <w:r>
        <w:rPr>
          <w:rFonts w:ascii="Times New Roman" w:hAnsi="Times New Roman" w:cs="Times New Roman" w:eastAsia="Times New Roman" w:hint="default"/>
        </w:rPr>
        <w:t>”</w:t>
      </w:r>
      <w:r>
        <w:rPr/>
        <w:t>之规定，董事会同意回购注 销原激励对象陈广、钱喜江等 </w:t>
      </w:r>
      <w:r>
        <w:rPr>
          <w:rFonts w:ascii="Times New Roman" w:hAnsi="Times New Roman" w:cs="Times New Roman" w:eastAsia="Times New Roman" w:hint="default"/>
        </w:rPr>
        <w:t>11</w:t>
      </w:r>
      <w:r>
        <w:rPr/>
        <w:t>名离职人员、余立道等 </w:t>
      </w:r>
      <w:r>
        <w:rPr>
          <w:rFonts w:ascii="Times New Roman" w:hAnsi="Times New Roman" w:cs="Times New Roman" w:eastAsia="Times New Roman" w:hint="default"/>
        </w:rPr>
        <w:t>4 </w:t>
      </w:r>
      <w:r>
        <w:rPr/>
        <w:t>名个人绩效考核结果未达标人员以及 </w:t>
      </w: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名去 世人员已获授但尚未解锁的 </w:t>
      </w:r>
      <w:r>
        <w:rPr>
          <w:rFonts w:ascii="Times New Roman" w:hAnsi="Times New Roman" w:cs="Times New Roman" w:eastAsia="Times New Roman" w:hint="default"/>
        </w:rPr>
        <w:t>111,900  </w:t>
      </w:r>
      <w:r>
        <w:rPr/>
        <w:t>股限制性股票。</w:t>
      </w:r>
      <w:r>
        <w:rPr>
          <w:rFonts w:ascii="Times New Roman" w:hAnsi="Times New Roman" w:cs="Times New Roman" w:eastAsia="Times New Roman" w:hint="default"/>
        </w:rPr>
        <w:t>2017</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日，该部分股份已注销完毕。</w:t>
      </w:r>
    </w:p>
    <w:p>
      <w:pPr>
        <w:pStyle w:val="BodyText"/>
        <w:spacing w:line="391" w:lineRule="auto" w:before="35"/>
        <w:ind w:right="305" w:firstLine="42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9"/>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日召开第四届董事会第六次会议，审议《关于回购注销部分股权激励对象所持已获授 </w:t>
      </w:r>
      <w:r>
        <w:rPr>
          <w:spacing w:val="-3"/>
        </w:rPr>
        <w:t>但尚未解锁的限制性股票的议案》，根据公司《限制性股票激励计划（草案）》第十三章，二（三），</w:t>
      </w:r>
      <w:r>
        <w:rPr>
          <w:rFonts w:ascii="Times New Roman" w:hAnsi="Times New Roman" w:cs="Times New Roman" w:eastAsia="Times New Roman" w:hint="default"/>
          <w:spacing w:val="-3"/>
        </w:rPr>
        <w:t>“</w:t>
      </w:r>
      <w:r>
        <w:rPr>
          <w:spacing w:val="-3"/>
        </w:rPr>
        <w:t>激</w:t>
      </w:r>
      <w:r>
        <w:rPr>
          <w:spacing w:val="-82"/>
        </w:rPr>
        <w:t> </w:t>
      </w:r>
      <w:r>
        <w:rPr>
          <w:spacing w:val="-1"/>
        </w:rPr>
        <w:t>励对象因辞职、公司裁员而离职，董事会可以决定对激励对象根据本计划在情况发生之日，激励对象已获</w:t>
      </w:r>
      <w:r>
        <w:rPr>
          <w:spacing w:val="-83"/>
        </w:rPr>
        <w:t> </w:t>
      </w:r>
      <w:r>
        <w:rPr>
          <w:spacing w:val="-83"/>
        </w:rPr>
      </w:r>
      <w:r>
        <w:rPr/>
        <w:t>授但尚未解锁的限制性股票不得解锁，并由公司按照授予价格回购注销。</w:t>
      </w:r>
      <w:r>
        <w:rPr>
          <w:rFonts w:ascii="Times New Roman" w:hAnsi="Times New Roman" w:cs="Times New Roman" w:eastAsia="Times New Roman" w:hint="default"/>
        </w:rPr>
        <w:t>”</w:t>
      </w:r>
      <w:r>
        <w:rPr/>
        <w:t>之规定，董事会同意回购公司 </w:t>
      </w:r>
      <w:r>
        <w:rPr>
          <w:spacing w:val="-3"/>
        </w:rPr>
        <w:t>限制性股票激励计划原激励对象罗旭涛、张湧峰等</w:t>
      </w:r>
      <w:r>
        <w:rPr>
          <w:rFonts w:ascii="Times New Roman" w:hAnsi="Times New Roman" w:cs="Times New Roman" w:eastAsia="Times New Roman" w:hint="default"/>
          <w:spacing w:val="-3"/>
        </w:rPr>
        <w:t>6</w:t>
      </w:r>
      <w:r>
        <w:rPr>
          <w:spacing w:val="-3"/>
        </w:rPr>
        <w:t>名离职人员员已获授但尚未解锁的</w:t>
      </w:r>
      <w:r>
        <w:rPr>
          <w:spacing w:val="15"/>
        </w:rPr>
        <w:t> </w:t>
      </w:r>
      <w:r>
        <w:rPr>
          <w:rFonts w:ascii="Times New Roman" w:hAnsi="Times New Roman" w:cs="Times New Roman" w:eastAsia="Times New Roman" w:hint="default"/>
        </w:rPr>
        <w:t>36,900</w:t>
      </w:r>
      <w:r>
        <w:rPr>
          <w:rFonts w:ascii="Times New Roman" w:hAnsi="Times New Roman" w:cs="Times New Roman" w:eastAsia="Times New Roman" w:hint="default"/>
          <w:spacing w:val="15"/>
        </w:rPr>
        <w:t> </w:t>
      </w:r>
      <w:r>
        <w:rPr/>
        <w:t>股限制性股</w:t>
      </w:r>
      <w:r>
        <w:rPr>
          <w:spacing w:val="-103"/>
        </w:rPr>
        <w:t> </w:t>
      </w:r>
      <w:r>
        <w:rPr>
          <w:spacing w:val="-103"/>
        </w:rPr>
      </w:r>
      <w:r>
        <w:rPr/>
        <w:t>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日，该部分股份已注销完毕。</w:t>
      </w:r>
    </w:p>
    <w:p>
      <w:pPr>
        <w:pStyle w:val="BodyText"/>
        <w:spacing w:line="240" w:lineRule="auto" w:before="30"/>
        <w:ind w:left="577" w:right="305"/>
        <w:jc w:val="left"/>
      </w:pPr>
      <w:r>
        <w:rPr/>
        <w:t>截至报告期末，公司共回购注销限制性股票</w:t>
      </w:r>
      <w:r>
        <w:rPr>
          <w:rFonts w:ascii="Times New Roman" w:hAnsi="Times New Roman" w:cs="Times New Roman" w:eastAsia="Times New Roman" w:hint="default"/>
        </w:rPr>
        <w:t>148,800</w:t>
      </w:r>
      <w:r>
        <w:rPr/>
        <w:t>股。</w:t>
      </w:r>
    </w:p>
    <w:p>
      <w:pPr>
        <w:spacing w:before="165"/>
        <w:ind w:left="154" w:right="6871"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68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94" w:firstLine="423"/>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日召开第四届董事会第二次会议，审议通过了《关于回购注销部分股权激励对象 所持已获授但尚未解锁的限制性股票的议案》，同意回购注销原激励对象陈广、钱喜江等</w:t>
      </w:r>
      <w:r>
        <w:rPr>
          <w:rFonts w:ascii="Times New Roman" w:hAnsi="Times New Roman" w:cs="Times New Roman" w:eastAsia="Times New Roman" w:hint="default"/>
        </w:rPr>
        <w:t>11</w:t>
      </w:r>
      <w:r>
        <w:rPr/>
        <w:t>名离职人员、</w:t>
      </w:r>
      <w:r>
        <w:rPr>
          <w:spacing w:val="-36"/>
        </w:rPr>
        <w:t> </w:t>
      </w:r>
      <w:r>
        <w:rPr>
          <w:spacing w:val="-2"/>
        </w:rPr>
        <w:t>余立道等</w:t>
      </w:r>
      <w:r>
        <w:rPr>
          <w:rFonts w:ascii="Times New Roman" w:hAnsi="Times New Roman" w:cs="Times New Roman" w:eastAsia="Times New Roman" w:hint="default"/>
          <w:spacing w:val="-2"/>
        </w:rPr>
        <w:t>4</w:t>
      </w:r>
      <w:r>
        <w:rPr>
          <w:spacing w:val="-2"/>
        </w:rPr>
        <w:t>名个人绩效考核结果未达标人员以及</w:t>
      </w:r>
      <w:r>
        <w:rPr>
          <w:rFonts w:ascii="Times New Roman" w:hAnsi="Times New Roman" w:cs="Times New Roman" w:eastAsia="Times New Roman" w:hint="default"/>
          <w:spacing w:val="-2"/>
        </w:rPr>
        <w:t>1</w:t>
      </w:r>
      <w:r>
        <w:rPr>
          <w:spacing w:val="-2"/>
        </w:rPr>
        <w:t>名去世人员已获授但尚未解锁的</w:t>
      </w:r>
      <w:r>
        <w:rPr>
          <w:rFonts w:ascii="Times New Roman" w:hAnsi="Times New Roman" w:cs="Times New Roman" w:eastAsia="Times New Roman" w:hint="default"/>
          <w:spacing w:val="-2"/>
        </w:rPr>
        <w:t>111,900</w:t>
      </w:r>
      <w:r>
        <w:rPr>
          <w:spacing w:val="-2"/>
        </w:rPr>
        <w:t>股限制性股票，回</w:t>
      </w:r>
      <w:r>
        <w:rPr>
          <w:spacing w:val="-85"/>
        </w:rPr>
        <w:t> </w:t>
      </w:r>
      <w:r>
        <w:rPr>
          <w:spacing w:val="-85"/>
        </w:rPr>
      </w:r>
      <w:r>
        <w:rPr/>
        <w:t>购价格为限制性股票授予价格。根据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年第四次临时股东大会的授权，公司董事会依法办理了限制性 股票的回购注销手续并履行信息披露义务，上述限制性股票已于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日在中国证券登记结算有限 责任公司深圳分公司完成回购注销手续。</w:t>
      </w:r>
    </w:p>
    <w:p>
      <w:pPr>
        <w:pStyle w:val="BodyText"/>
        <w:spacing w:line="386" w:lineRule="auto" w:before="65"/>
        <w:ind w:left="153" w:right="306" w:firstLine="423"/>
        <w:jc w:val="left"/>
      </w:pP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日召开第四届董事会第六次会议，审议通过了《关于回购注销部分股权激励对象</w:t>
      </w:r>
      <w:r>
        <w:rPr/>
        <w:t> 所持已获授但尚未解锁的限制性股票的议案》，同意回购注销原激励对象罗旭涛、张湧峰等</w:t>
      </w:r>
      <w:r>
        <w:rPr>
          <w:rFonts w:ascii="Times New Roman" w:hAnsi="Times New Roman" w:cs="Times New Roman" w:eastAsia="Times New Roman" w:hint="default"/>
        </w:rPr>
        <w:t>6</w:t>
      </w:r>
      <w:r>
        <w:rPr/>
        <w:t>名离职人员 已获授但尚未解锁的</w:t>
      </w:r>
      <w:r>
        <w:rPr>
          <w:rFonts w:ascii="Times New Roman" w:hAnsi="Times New Roman" w:cs="Times New Roman" w:eastAsia="Times New Roman" w:hint="default"/>
        </w:rPr>
        <w:t>36,900</w:t>
      </w:r>
      <w:r>
        <w:rPr/>
        <w:t>股。公司于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月实施了</w:t>
      </w:r>
      <w:r>
        <w:rPr>
          <w:rFonts w:ascii="Times New Roman" w:hAnsi="Times New Roman" w:cs="Times New Roman" w:eastAsia="Times New Roman" w:hint="default"/>
        </w:rPr>
        <w:t>2016</w:t>
      </w:r>
      <w:r>
        <w:rPr/>
        <w:t>年年度权益分派方案，向全体股东按每</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w:t>
      </w:r>
    </w:p>
    <w:p>
      <w:pPr>
        <w:pStyle w:val="BodyText"/>
        <w:spacing w:line="388" w:lineRule="auto" w:before="35"/>
        <w:ind w:right="297"/>
        <w:jc w:val="left"/>
        <w:rPr>
          <w:sz w:val="18"/>
          <w:szCs w:val="18"/>
        </w:rPr>
      </w:pPr>
      <w:r>
        <w:rPr/>
        <w:t>派发现金人民币</w:t>
      </w:r>
      <w:r>
        <w:rPr>
          <w:spacing w:val="-43"/>
        </w:rPr>
        <w:t> </w:t>
      </w:r>
      <w:r>
        <w:rPr>
          <w:rFonts w:ascii="Times New Roman" w:hAnsi="Times New Roman" w:cs="Times New Roman" w:eastAsia="Times New Roman" w:hint="default"/>
        </w:rPr>
        <w:t>0.55</w:t>
      </w:r>
      <w:r>
        <w:rPr>
          <w:rFonts w:ascii="Times New Roman" w:hAnsi="Times New Roman" w:cs="Times New Roman" w:eastAsia="Times New Roman" w:hint="default"/>
          <w:spacing w:val="10"/>
        </w:rPr>
        <w:t> </w:t>
      </w:r>
      <w:r>
        <w:rPr/>
        <w:t>元，因此回购价格应调整为</w:t>
      </w:r>
      <w:r>
        <w:rPr>
          <w:rFonts w:ascii="Times New Roman" w:hAnsi="Times New Roman" w:cs="Times New Roman" w:eastAsia="Times New Roman" w:hint="default"/>
        </w:rPr>
        <w:t>12.315</w:t>
      </w:r>
      <w:r>
        <w:rPr/>
        <w:t>元</w:t>
      </w:r>
      <w:r>
        <w:rPr>
          <w:rFonts w:ascii="Times New Roman" w:hAnsi="Times New Roman" w:cs="Times New Roman" w:eastAsia="Times New Roman" w:hint="default"/>
        </w:rPr>
        <w:t>/</w:t>
      </w:r>
      <w:r>
        <w:rPr/>
        <w:t>股。罗旭涛、张湧峰等</w:t>
      </w:r>
      <w:r>
        <w:rPr>
          <w:rFonts w:ascii="Times New Roman" w:hAnsi="Times New Roman" w:cs="Times New Roman" w:eastAsia="Times New Roman" w:hint="default"/>
        </w:rPr>
        <w:t>6</w:t>
      </w:r>
      <w:r>
        <w:rPr/>
        <w:t>人未解锁的股份</w:t>
      </w:r>
      <w:r>
        <w:rPr>
          <w:rFonts w:ascii="Times New Roman" w:hAnsi="Times New Roman" w:cs="Times New Roman" w:eastAsia="Times New Roman" w:hint="default"/>
        </w:rPr>
        <w:t>2016</w:t>
      </w:r>
      <w:r>
        <w:rPr/>
        <w:t>年 度的现金分红目前均由公司代管，未实际派发，因此实际回购价格仍为</w:t>
      </w:r>
      <w:r>
        <w:rPr>
          <w:rFonts w:ascii="Times New Roman" w:hAnsi="Times New Roman" w:cs="Times New Roman" w:eastAsia="Times New Roman" w:hint="default"/>
        </w:rPr>
        <w:t>12.37</w:t>
      </w:r>
      <w:r>
        <w:rPr/>
        <w:t>元</w:t>
      </w:r>
      <w:r>
        <w:rPr>
          <w:rFonts w:ascii="Times New Roman" w:hAnsi="Times New Roman" w:cs="Times New Roman" w:eastAsia="Times New Roman" w:hint="default"/>
        </w:rPr>
        <w:t>/</w:t>
      </w:r>
      <w:r>
        <w:rPr/>
        <w:t>股。根据</w:t>
      </w:r>
      <w:r>
        <w:rPr>
          <w:rFonts w:ascii="Times New Roman" w:hAnsi="Times New Roman" w:cs="Times New Roman" w:eastAsia="Times New Roman" w:hint="default"/>
        </w:rPr>
        <w:t>2016</w:t>
      </w:r>
      <w:r>
        <w:rPr/>
        <w:t>年第四次临 </w:t>
      </w:r>
      <w:r>
        <w:rPr>
          <w:spacing w:val="-1"/>
        </w:rPr>
        <w:t>时股东大会的授权，公司董事会依法办理了限制性股票的回购注销手续并履行信息披露义务，上述限制性</w:t>
      </w:r>
      <w:r>
        <w:rPr>
          <w:spacing w:val="-81"/>
        </w:rPr>
        <w:t> </w:t>
      </w:r>
      <w:r>
        <w:rPr>
          <w:spacing w:val="-81"/>
        </w:rPr>
      </w:r>
      <w:r>
        <w:rPr/>
        <w:t>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日在中国证券登记结算有限责任公司深圳分公司完成回购注销手续。 </w:t>
      </w:r>
      <w:r>
        <w:rPr>
          <w:sz w:val="18"/>
          <w:szCs w:val="18"/>
        </w:rPr>
        <w:t>股份变动的过户情况</w:t>
      </w:r>
    </w:p>
    <w:p>
      <w:pPr>
        <w:spacing w:before="5"/>
        <w:ind w:left="153" w:right="68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94" w:firstLine="423"/>
        <w:jc w:val="left"/>
      </w:pPr>
      <w:r>
        <w:rPr/>
        <w:t>公司</w:t>
      </w:r>
      <w:r>
        <w:rPr>
          <w:rFonts w:ascii="Times New Roman" w:hAnsi="Times New Roman" w:cs="Times New Roman" w:eastAsia="Times New Roman" w:hint="default"/>
        </w:rPr>
        <w:t>2017</w:t>
      </w:r>
      <w:r>
        <w:rPr/>
        <w:t>年两次回购注销限制性股票分别于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日完成回购注销手续。根 据《公司法》、《公司章程》的相关规定，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日，经公司</w:t>
      </w:r>
      <w:r>
        <w:rPr>
          <w:rFonts w:ascii="Times New Roman" w:hAnsi="Times New Roman" w:cs="Times New Roman" w:eastAsia="Times New Roman" w:hint="default"/>
        </w:rPr>
        <w:t>2016</w:t>
      </w:r>
      <w:r>
        <w:rPr/>
        <w:t>年年度股东大会审议通过，公司 </w:t>
      </w:r>
      <w:r>
        <w:rPr>
          <w:spacing w:val="-1"/>
        </w:rPr>
        <w:t>将注册资本由</w:t>
      </w:r>
      <w:r>
        <w:rPr>
          <w:rFonts w:ascii="Times New Roman" w:hAnsi="Times New Roman" w:cs="Times New Roman" w:eastAsia="Times New Roman" w:hint="default"/>
          <w:spacing w:val="-1"/>
        </w:rPr>
        <w:t>32,462.4301</w:t>
      </w:r>
      <w:r>
        <w:rPr>
          <w:spacing w:val="-1"/>
        </w:rPr>
        <w:t>万元减少至</w:t>
      </w:r>
      <w:r>
        <w:rPr>
          <w:rFonts w:ascii="Times New Roman" w:hAnsi="Times New Roman" w:cs="Times New Roman" w:eastAsia="Times New Roman" w:hint="default"/>
          <w:spacing w:val="-1"/>
        </w:rPr>
        <w:t>32,451.2401</w:t>
      </w:r>
      <w:r>
        <w:rPr>
          <w:spacing w:val="-1"/>
        </w:rPr>
        <w:t>万元，公司股本由</w:t>
      </w:r>
      <w:r>
        <w:rPr>
          <w:rFonts w:ascii="Times New Roman" w:hAnsi="Times New Roman" w:cs="Times New Roman" w:eastAsia="Times New Roman" w:hint="default"/>
          <w:spacing w:val="-1"/>
        </w:rPr>
        <w:t>32,462.4301</w:t>
      </w:r>
      <w:r>
        <w:rPr>
          <w:spacing w:val="-1"/>
        </w:rPr>
        <w:t>万股减少至</w:t>
      </w:r>
      <w:r>
        <w:rPr>
          <w:rFonts w:ascii="Times New Roman" w:hAnsi="Times New Roman" w:cs="Times New Roman" w:eastAsia="Times New Roman" w:hint="default"/>
          <w:spacing w:val="-1"/>
        </w:rPr>
        <w:t>32,451.2401</w:t>
      </w:r>
      <w:r>
        <w:rPr>
          <w:spacing w:val="-1"/>
        </w:rPr>
        <w:t>万股。</w:t>
      </w:r>
    </w:p>
    <w:p>
      <w:pPr>
        <w:spacing w:after="0" w:line="386" w:lineRule="auto"/>
        <w:jc w:val="left"/>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日，经公司</w:t>
      </w:r>
      <w:r>
        <w:rPr>
          <w:rFonts w:ascii="Times New Roman" w:hAnsi="Times New Roman" w:cs="Times New Roman" w:eastAsia="Times New Roman" w:hint="default"/>
        </w:rPr>
        <w:t>2017</w:t>
      </w:r>
      <w:r>
        <w:rPr/>
        <w:t>年第三次临时股东大会审议通过，公司将注册资本由</w:t>
      </w:r>
      <w:r>
        <w:rPr>
          <w:rFonts w:ascii="Times New Roman" w:hAnsi="Times New Roman" w:cs="Times New Roman" w:eastAsia="Times New Roman" w:hint="default"/>
        </w:rPr>
        <w:t>32,451.2401</w:t>
      </w:r>
      <w:r>
        <w:rPr/>
        <w:t>万元减少至</w:t>
      </w:r>
    </w:p>
    <w:p>
      <w:pPr>
        <w:pStyle w:val="BodyText"/>
        <w:spacing w:line="240" w:lineRule="auto" w:before="177"/>
        <w:ind w:right="133"/>
        <w:jc w:val="left"/>
      </w:pPr>
      <w:r>
        <w:rPr>
          <w:rFonts w:ascii="Times New Roman" w:hAnsi="Times New Roman" w:cs="Times New Roman" w:eastAsia="Times New Roman" w:hint="default"/>
        </w:rPr>
        <w:t>32,447.5501</w:t>
      </w:r>
      <w:r>
        <w:rPr/>
        <w:t>万元，公司股本由</w:t>
      </w:r>
      <w:r>
        <w:rPr>
          <w:rFonts w:ascii="Times New Roman" w:hAnsi="Times New Roman" w:cs="Times New Roman" w:eastAsia="Times New Roman" w:hint="default"/>
        </w:rPr>
        <w:t>32,451.2401</w:t>
      </w:r>
      <w:r>
        <w:rPr/>
        <w:t>万股减少至</w:t>
      </w:r>
      <w:r>
        <w:rPr>
          <w:rFonts w:ascii="Times New Roman" w:hAnsi="Times New Roman" w:cs="Times New Roman" w:eastAsia="Times New Roman" w:hint="default"/>
        </w:rPr>
        <w:t>32,447.5501</w:t>
      </w:r>
      <w:r>
        <w:rPr/>
        <w:t>万股。</w:t>
      </w:r>
    </w:p>
    <w:p>
      <w:pPr>
        <w:spacing w:before="165"/>
        <w:ind w:left="154" w:right="133"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2"/>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69"/>
        <w:gridCol w:w="1369"/>
        <w:gridCol w:w="1368"/>
        <w:gridCol w:w="1369"/>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5"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50,880,000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49,380,000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7"/>
              <w:jc w:val="left"/>
              <w:rPr>
                <w:rFonts w:ascii="宋体" w:hAnsi="宋体" w:cs="宋体" w:eastAsia="宋体" w:hint="default"/>
                <w:sz w:val="18"/>
                <w:szCs w:val="18"/>
              </w:rPr>
            </w:pPr>
            <w:r>
              <w:rPr>
                <w:rFonts w:ascii="宋体" w:hAnsi="宋体" w:cs="宋体" w:eastAsia="宋体" w:hint="default"/>
                <w:sz w:val="18"/>
                <w:szCs w:val="18"/>
              </w:rPr>
              <w:t>让的股份不超过 其所持有公司</w:t>
            </w:r>
          </w:p>
        </w:tc>
      </w:tr>
      <w:tr>
        <w:trPr>
          <w:trHeight w:val="356"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5"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10,490,400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1,125,000</w:t>
            </w: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9,365,400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7"/>
              <w:jc w:val="left"/>
              <w:rPr>
                <w:rFonts w:ascii="宋体" w:hAnsi="宋体" w:cs="宋体" w:eastAsia="宋体" w:hint="default"/>
                <w:sz w:val="18"/>
                <w:szCs w:val="18"/>
              </w:rPr>
            </w:pPr>
            <w:r>
              <w:rPr>
                <w:rFonts w:ascii="宋体" w:hAnsi="宋体" w:cs="宋体" w:eastAsia="宋体" w:hint="default"/>
                <w:sz w:val="18"/>
                <w:szCs w:val="18"/>
              </w:rPr>
              <w:t>让的股份不超过 其所持有公司股</w:t>
            </w:r>
          </w:p>
        </w:tc>
      </w:tr>
      <w:tr>
        <w:trPr>
          <w:trHeight w:val="356"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5"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10,101,600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8,301,600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7"/>
              <w:jc w:val="left"/>
              <w:rPr>
                <w:rFonts w:ascii="宋体" w:hAnsi="宋体" w:cs="宋体" w:eastAsia="宋体" w:hint="default"/>
                <w:sz w:val="18"/>
                <w:szCs w:val="18"/>
              </w:rPr>
            </w:pPr>
            <w:r>
              <w:rPr>
                <w:rFonts w:ascii="宋体" w:hAnsi="宋体" w:cs="宋体" w:eastAsia="宋体" w:hint="default"/>
                <w:sz w:val="18"/>
                <w:szCs w:val="18"/>
              </w:rPr>
              <w:t>让的股份不超过 其所持有公司股</w:t>
            </w:r>
          </w:p>
        </w:tc>
      </w:tr>
      <w:tr>
        <w:trPr>
          <w:trHeight w:val="356"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5"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8,640,000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525,000</w:t>
            </w: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8,115,000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7"/>
              <w:jc w:val="left"/>
              <w:rPr>
                <w:rFonts w:ascii="宋体" w:hAnsi="宋体" w:cs="宋体" w:eastAsia="宋体" w:hint="default"/>
                <w:sz w:val="18"/>
                <w:szCs w:val="18"/>
              </w:rPr>
            </w:pPr>
            <w:r>
              <w:rPr>
                <w:rFonts w:ascii="宋体" w:hAnsi="宋体" w:cs="宋体" w:eastAsia="宋体" w:hint="default"/>
                <w:sz w:val="18"/>
                <w:szCs w:val="18"/>
              </w:rPr>
              <w:t>让的股份不超过 其所持有公司股</w:t>
            </w:r>
          </w:p>
        </w:tc>
      </w:tr>
      <w:tr>
        <w:trPr>
          <w:trHeight w:val="356"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5"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8,640,000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1,125,000</w:t>
            </w: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7,515,000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7"/>
              <w:jc w:val="left"/>
              <w:rPr>
                <w:rFonts w:ascii="宋体" w:hAnsi="宋体" w:cs="宋体" w:eastAsia="宋体" w:hint="default"/>
                <w:sz w:val="18"/>
                <w:szCs w:val="18"/>
              </w:rPr>
            </w:pPr>
            <w:r>
              <w:rPr>
                <w:rFonts w:ascii="宋体" w:hAnsi="宋体" w:cs="宋体" w:eastAsia="宋体" w:hint="default"/>
                <w:sz w:val="18"/>
                <w:szCs w:val="18"/>
              </w:rPr>
              <w:t>让的股份不超过 其所持有公司股</w:t>
            </w:r>
          </w:p>
        </w:tc>
      </w:tr>
      <w:tr>
        <w:trPr>
          <w:trHeight w:val="356"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625"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8,640,000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1,125,000</w:t>
            </w: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7,515,000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7"/>
              <w:jc w:val="left"/>
              <w:rPr>
                <w:rFonts w:ascii="宋体" w:hAnsi="宋体" w:cs="宋体" w:eastAsia="宋体" w:hint="default"/>
                <w:sz w:val="18"/>
                <w:szCs w:val="18"/>
              </w:rPr>
            </w:pPr>
            <w:r>
              <w:rPr>
                <w:rFonts w:ascii="宋体" w:hAnsi="宋体" w:cs="宋体" w:eastAsia="宋体" w:hint="default"/>
                <w:sz w:val="18"/>
                <w:szCs w:val="18"/>
              </w:rPr>
              <w:t>让的股份不超过 其所持有公司股</w:t>
            </w:r>
          </w:p>
        </w:tc>
      </w:tr>
      <w:tr>
        <w:trPr>
          <w:trHeight w:val="356"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4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w:t>
            </w:r>
          </w:p>
        </w:tc>
      </w:tr>
      <w:tr>
        <w:trPr>
          <w:trHeight w:val="322"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z w:val="18"/>
              </w:rPr>
              <w:t>8,640,000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z w:val="18"/>
              </w:rPr>
              <w:t>1,125,000</w:t>
            </w: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z w:val="18"/>
              </w:rPr>
              <w:t>7,515,000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让的股份不超过</w:t>
            </w:r>
          </w:p>
        </w:tc>
      </w:tr>
      <w:tr>
        <w:trPr>
          <w:trHeight w:val="317"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其所持有公司股</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69"/>
        <w:gridCol w:w="1369"/>
        <w:gridCol w:w="1368"/>
        <w:gridCol w:w="1369"/>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8,115,000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975,000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7,140,000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任职期间每年转 让的股份不超过 其所持有公司股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刘永春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5,064,220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1,266,055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3,798,165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任职期间每年转 让的股份不超过 其所持有公司股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王葆玲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222,375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222,375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任职期间每年转 让的股份不超过 其所持有公司股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李玉玲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41" w:right="0"/>
              <w:jc w:val="lef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任职期间每年转 让的股份不超过 其所持有公司股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丛伟滋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5,064,220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5,064,220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白海清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熊小洪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黄暂度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郑州佳辰企业管 理咨询中心（有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3,775,582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3,775,582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罗会军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762,173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762,173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705,716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705,716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吴凤辉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402,258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402,258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票激励计划授予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名激励对 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9,529,400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3,908,660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5,620,740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7"/>
              <w:jc w:val="left"/>
              <w:rPr>
                <w:rFonts w:ascii="宋体" w:hAnsi="宋体" w:cs="宋体" w:eastAsia="宋体" w:hint="default"/>
                <w:sz w:val="18"/>
                <w:szCs w:val="18"/>
              </w:rPr>
            </w:pPr>
            <w:r>
              <w:rPr>
                <w:rFonts w:ascii="宋体" w:hAnsi="宋体" w:cs="宋体" w:eastAsia="宋体" w:hint="default"/>
                <w:sz w:val="18"/>
                <w:szCs w:val="18"/>
              </w:rPr>
              <w:t>根据股权激励计 划约定解锁</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69"/>
        <w:gridCol w:w="1369"/>
        <w:gridCol w:w="1368"/>
        <w:gridCol w:w="1369"/>
        <w:gridCol w:w="1362"/>
      </w:tblGrid>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140,553,676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20,419,667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1" w:right="0"/>
              <w:jc w:val="left"/>
              <w:rPr>
                <w:rFonts w:ascii="Times New Roman" w:hAnsi="Times New Roman" w:cs="Times New Roman" w:eastAsia="Times New Roman" w:hint="default"/>
                <w:sz w:val="18"/>
                <w:szCs w:val="18"/>
              </w:rPr>
            </w:pPr>
            <w:r>
              <w:rPr>
                <w:rFonts w:ascii="Times New Roman"/>
                <w:sz w:val="18"/>
              </w:rPr>
              <w:t>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120,156,509</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33"/>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3"/>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pict>
          <v:shape style="position:absolute;margin-left:449.219696pt;margin-top:19.672024pt;width:85.6pt;height:82.05pt;mso-position-horizontal-relative:page;mso-position-vertical-relative:paragraph;z-index:-12219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39996pt;margin-top:19.672024pt;width:52.45pt;height:82.05pt;mso-position-horizontal-relative:page;mso-position-vertical-relative:paragraph;z-index:-1221904" coordorigin="9647,393" coordsize="1049,1641">
            <v:group style="position:absolute;left:9647;top:393;width:1049;height:1641" coordorigin="9647,393" coordsize="1049,1641">
              <v:shape style="position:absolute;left:9647;top:393;width:1049;height:1641" coordorigin="9647,393" coordsize="1049,1641" path="m9647,2034l10696,2034,10696,393,9647,393,9647,2034xe" filled="true" fillcolor="#ffffff" stroked="false">
                <v:path arrowok="t"/>
                <v:fill type="solid"/>
              </v:shape>
            </v:group>
            <v:group style="position:absolute;left:9670;top:1017;width:1004;height:393" coordorigin="9670,1017" coordsize="1004,393">
              <v:shape style="position:absolute;left:9670;top:1017;width:1004;height:393" coordorigin="9670,1017" coordsize="1004,393" path="m9670,1410l10673,1410,10673,1017,9670,1017,9670,1410xe" filled="true" fillcolor="#ffffff" stroked="false">
                <v:path arrowok="t"/>
                <v:fill type="solid"/>
              </v:shape>
            </v:group>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4"/>
        <w:gridCol w:w="135"/>
        <w:gridCol w:w="661"/>
        <w:gridCol w:w="750"/>
        <w:gridCol w:w="750"/>
        <w:gridCol w:w="824"/>
        <w:gridCol w:w="332"/>
        <w:gridCol w:w="456"/>
        <w:gridCol w:w="830"/>
        <w:gridCol w:w="796"/>
        <w:gridCol w:w="311"/>
        <w:gridCol w:w="1038"/>
        <w:gridCol w:w="290"/>
        <w:gridCol w:w="1060"/>
      </w:tblGrid>
      <w:tr>
        <w:trPr>
          <w:trHeight w:val="1650" w:hRule="exact"/>
        </w:trPr>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25,363</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0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25,125</w:t>
            </w: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3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7" w:right="7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0"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1" w:type="dxa"/>
            <w:gridSpan w:val="2"/>
            <w:vMerge/>
            <w:tcBorders>
              <w:left w:val="single" w:sz="4" w:space="0" w:color="000000"/>
              <w:bottom w:val="single" w:sz="4" w:space="0" w:color="000000"/>
              <w:right w:val="single" w:sz="4" w:space="0" w:color="000000"/>
            </w:tcBorders>
            <w:shd w:val="clear" w:color="auto" w:fill="D3D3D3"/>
          </w:tcPr>
          <w:p>
            <w:pPr/>
          </w:p>
        </w:tc>
        <w:tc>
          <w:tcPr>
            <w:tcW w:w="750" w:type="dxa"/>
            <w:vMerge/>
            <w:tcBorders>
              <w:left w:val="single" w:sz="4" w:space="0" w:color="000000"/>
              <w:bottom w:val="single" w:sz="4" w:space="0" w:color="000000"/>
              <w:right w:val="single" w:sz="4" w:space="0" w:color="000000"/>
            </w:tcBorders>
            <w:shd w:val="clear" w:color="auto" w:fill="D3D3D3"/>
          </w:tcPr>
          <w:p>
            <w:pPr/>
          </w:p>
        </w:tc>
        <w:tc>
          <w:tcPr>
            <w:tcW w:w="824" w:type="dxa"/>
            <w:vMerge/>
            <w:tcBorders>
              <w:left w:val="single" w:sz="4" w:space="0" w:color="000000"/>
              <w:bottom w:val="single" w:sz="4" w:space="0" w:color="000000"/>
              <w:right w:val="single" w:sz="4" w:space="0" w:color="000000"/>
            </w:tcBorders>
            <w:shd w:val="clear" w:color="auto" w:fill="D3D3D3"/>
          </w:tcPr>
          <w:p>
            <w:pPr/>
          </w:p>
        </w:tc>
        <w:tc>
          <w:tcPr>
            <w:tcW w:w="788" w:type="dxa"/>
            <w:gridSpan w:val="2"/>
            <w:vMerge/>
            <w:tcBorders>
              <w:left w:val="single" w:sz="4" w:space="0" w:color="000000"/>
              <w:bottom w:val="single" w:sz="4" w:space="0" w:color="000000"/>
              <w:right w:val="single" w:sz="4" w:space="0" w:color="000000"/>
            </w:tcBorders>
            <w:shd w:val="clear" w:color="auto" w:fill="D3D3D3"/>
          </w:tcPr>
          <w:p>
            <w:pPr/>
          </w:p>
        </w:tc>
        <w:tc>
          <w:tcPr>
            <w:tcW w:w="830" w:type="dxa"/>
            <w:vMerge/>
            <w:tcBorders>
              <w:left w:val="single" w:sz="4" w:space="0" w:color="000000"/>
              <w:bottom w:val="single" w:sz="4" w:space="0" w:color="000000"/>
              <w:right w:val="single" w:sz="4" w:space="0" w:color="000000"/>
            </w:tcBorders>
            <w:shd w:val="clear" w:color="auto" w:fill="D3D3D3"/>
          </w:tcPr>
          <w:p>
            <w:pPr/>
          </w:p>
        </w:tc>
        <w:tc>
          <w:tcPr>
            <w:tcW w:w="796" w:type="dxa"/>
            <w:vMerge/>
            <w:tcBorders>
              <w:left w:val="single" w:sz="4" w:space="0" w:color="000000"/>
              <w:bottom w:val="single" w:sz="4" w:space="0" w:color="000000"/>
              <w:right w:val="single" w:sz="4" w:space="0" w:color="000000"/>
            </w:tcBorders>
            <w:shd w:val="clear" w:color="auto" w:fill="D3D3D3"/>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20.29%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65,840,00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Times New Roman" w:hAnsi="Times New Roman" w:cs="Times New Roman" w:eastAsia="Times New Roman" w:hint="default"/>
                <w:sz w:val="18"/>
                <w:szCs w:val="18"/>
              </w:rPr>
            </w:pPr>
            <w:r>
              <w:rPr>
                <w:rFonts w:ascii="Times New Roman"/>
                <w:sz w:val="18"/>
              </w:rPr>
              <w:t>49,380,00</w:t>
            </w:r>
          </w:p>
          <w:p>
            <w:pPr>
              <w:pStyle w:val="TableParagraph"/>
              <w:spacing w:line="240" w:lineRule="auto" w:before="106"/>
              <w:ind w:right="65"/>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16,460,00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24,478,900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3.85%</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12,487,20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9,365,400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3,121,800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3.41%</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11,068,80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8,301,600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2,767,200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5,460,000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3.33%</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10,820,00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8,115,000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2,705,000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3,930,000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葛晓阁</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3.18%</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5,340,000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4"/>
              <w:jc w:val="left"/>
              <w:rPr>
                <w:rFonts w:ascii="宋体" w:hAnsi="宋体" w:cs="宋体" w:eastAsia="宋体" w:hint="default"/>
                <w:sz w:val="18"/>
                <w:szCs w:val="18"/>
              </w:rPr>
            </w:pPr>
            <w:r>
              <w:rPr>
                <w:rFonts w:ascii="宋体" w:hAnsi="宋体" w:cs="宋体" w:eastAsia="宋体" w:hint="default"/>
                <w:sz w:val="18"/>
                <w:szCs w:val="18"/>
              </w:rPr>
              <w:t>江西和信融智资 产管理有限公司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3.14%</w:t>
            </w:r>
            <w:r>
              <w:rPr>
                <w:rFonts w:ascii="Times New Roman"/>
                <w:sz w:val="18"/>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1pt;height:674.7pt;mso-position-horizontal-relative:page;mso-position-vertical-relative:page;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98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－和信融智 </w:t>
                        </w:r>
                        <w:r>
                          <w:rPr>
                            <w:rFonts w:ascii="Times New Roman" w:hAnsi="Times New Roman" w:cs="Times New Roman" w:eastAsia="Times New Roman" w:hint="default"/>
                            <w:sz w:val="18"/>
                            <w:szCs w:val="18"/>
                          </w:rPr>
                          <w:t>PIPE16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号私募投 资基金</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3.09%</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7,515,000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2,505,000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3.09%</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7,515,000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3.09%</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7,515,000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3,315,000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2.93%</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9,520,000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7,140,000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1,661,200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江西和信融智资产管理有限公司为公司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年非公开发行股票获配对象之一，获配</w:t>
                        </w:r>
                      </w:p>
                      <w:p>
                        <w:pPr>
                          <w:pStyle w:val="TableParagraph"/>
                          <w:spacing w:line="302" w:lineRule="auto" w:before="61"/>
                          <w:ind w:left="16"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万股，股份性质为无限售流通股，该部分股票在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日在深圳证券 交易所上市交易。</w:t>
                        </w:r>
                      </w:p>
                    </w:tc>
                  </w:tr>
                  <w:tr>
                    <w:trPr>
                      <w:trHeight w:val="161"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688" w:type="dxa"/>
                        <w:gridSpan w:val="7"/>
                        <w:vMerge w:val="restart"/>
                        <w:tcBorders>
                          <w:top w:val="single" w:sz="4" w:space="0" w:color="000000"/>
                          <w:left w:val="single" w:sz="4" w:space="0" w:color="000000"/>
                          <w:right w:val="single" w:sz="4" w:space="0" w:color="000000"/>
                        </w:tcBorders>
                      </w:tcPr>
                      <w:p>
                        <w:pPr>
                          <w:pStyle w:val="TableParagraph"/>
                          <w:spacing w:line="309" w:lineRule="auto" w:before="51"/>
                          <w:ind w:left="22" w:right="110"/>
                          <w:jc w:val="both"/>
                          <w:rPr>
                            <w:rFonts w:ascii="宋体" w:hAnsi="宋体" w:cs="宋体" w:eastAsia="宋体" w:hint="default"/>
                            <w:sz w:val="18"/>
                            <w:szCs w:val="18"/>
                          </w:rPr>
                        </w:pPr>
                        <w:r>
                          <w:rPr>
                            <w:rFonts w:ascii="宋体" w:hAnsi="宋体" w:cs="宋体" w:eastAsia="宋体" w:hint="default"/>
                            <w:spacing w:val="-4"/>
                            <w:sz w:val="18"/>
                            <w:szCs w:val="18"/>
                          </w:rPr>
                          <w:t>前十名股东中杨维国、尚卫国、付秋生、华梦阳、葛晓阁、傅常顺、赵利宾、杜建平</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刘恩臣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名自然人与郎金文（</w:t>
                        </w:r>
                        <w:r>
                          <w:rPr>
                            <w:rFonts w:ascii="Times New Roman" w:hAnsi="Times New Roman" w:cs="Times New Roman" w:eastAsia="Times New Roman" w:hint="default"/>
                            <w:sz w:val="18"/>
                            <w:szCs w:val="18"/>
                          </w:rPr>
                          <w:t>9,220,000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股）为一致行动人，前述股东合计持有公司 </w:t>
                        </w:r>
                        <w:r>
                          <w:rPr>
                            <w:rFonts w:ascii="Times New Roman" w:hAnsi="Times New Roman" w:cs="Times New Roman" w:eastAsia="Times New Roman" w:hint="default"/>
                            <w:sz w:val="18"/>
                            <w:szCs w:val="18"/>
                          </w:rPr>
                          <w:t>49.10%</w:t>
                        </w:r>
                        <w:r>
                          <w:rPr>
                            <w:rFonts w:ascii="宋体" w:hAnsi="宋体" w:cs="宋体" w:eastAsia="宋体" w:hint="default"/>
                            <w:sz w:val="18"/>
                            <w:szCs w:val="18"/>
                          </w:rPr>
                          <w:t>的股份。</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4" w:space="0" w:color="000000"/>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688" w:type="dxa"/>
                        <w:gridSpan w:val="7"/>
                        <w:vMerge/>
                        <w:tcBorders>
                          <w:left w:val="single" w:sz="4" w:space="0" w:color="000000"/>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6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880" w:type="dxa"/>
                        <w:gridSpan w:val="2"/>
                        <w:vMerge/>
                        <w:tcBorders>
                          <w:left w:val="single" w:sz="4" w:space="0" w:color="000000"/>
                          <w:bottom w:val="nil" w:sz="6" w:space="0" w:color="auto"/>
                          <w:right w:val="single" w:sz="4" w:space="0" w:color="000000"/>
                        </w:tcBorders>
                        <w:shd w:val="clear" w:color="auto" w:fill="D3D3D3"/>
                      </w:tcPr>
                      <w:p>
                        <w:pPr/>
                      </w:p>
                    </w:tc>
                    <w:tc>
                      <w:tcPr>
                        <w:tcW w:w="3989" w:type="dxa"/>
                        <w:gridSpan w:val="5"/>
                        <w:vMerge/>
                        <w:tcBorders>
                          <w:left w:val="single" w:sz="4" w:space="0" w:color="000000"/>
                          <w:bottom w:val="nil" w:sz="6" w:space="0" w:color="auto"/>
                          <w:right w:val="single" w:sz="4" w:space="0" w:color="000000"/>
                        </w:tcBorders>
                        <w:shd w:val="clear" w:color="auto" w:fill="D3D3D3"/>
                      </w:tcPr>
                      <w:p>
                        <w:pP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5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16,460,000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葛晓阁</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10,320,000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江西和信融智资产管理有限公司－ 和信融智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PIPE16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号私募投资基金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10,185,000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10,185,000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郎金文</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丛伟滋</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5,064,220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5,064,220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上海天戈投资管理有限公司－天戈 紫云一号私募基金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3,401,096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3,401,096</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3,328,301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3,328,301</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3,121,800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3,121,800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3,077,925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3,077,925</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2,767,200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2,767,200</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名无限售流通股股东中，杨维国、葛晓阁、郎金文、尚卫国、付秋生系一致行 </w:t>
                        </w:r>
                        <w:r>
                          <w:rPr>
                            <w:rFonts w:ascii="宋体" w:hAnsi="宋体" w:cs="宋体" w:eastAsia="宋体" w:hint="default"/>
                            <w:spacing w:val="-1"/>
                            <w:sz w:val="18"/>
                            <w:szCs w:val="18"/>
                          </w:rPr>
                          <w:t>动人，具体内容详见上表相关内容。公司未知除前述股东之外的其他无限售条件股东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之间是否存在关联关系，也未知其间是否存在一致行动人之情形。</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7611"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18"/>
              <w:jc w:val="left"/>
              <w:rPr>
                <w:rFonts w:ascii="Times New Roman" w:hAnsi="Times New Roman" w:cs="Times New Roman" w:eastAsia="Times New Roman" w:hint="default"/>
                <w:sz w:val="18"/>
                <w:szCs w:val="18"/>
              </w:rPr>
            </w:pPr>
            <w:r>
              <w:rPr>
                <w:rFonts w:ascii="宋体" w:hAnsi="宋体" w:cs="宋体" w:eastAsia="宋体" w:hint="default"/>
                <w:sz w:val="18"/>
                <w:szCs w:val="18"/>
              </w:rPr>
              <w:t>杨维国先生简历请见本报告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第八节</w:t>
            </w:r>
            <w:r>
              <w:rPr>
                <w:rFonts w:ascii="宋体" w:hAnsi="宋体" w:cs="宋体" w:eastAsia="宋体" w:hint="default"/>
                <w:spacing w:val="-1"/>
                <w:sz w:val="18"/>
                <w:szCs w:val="18"/>
              </w:rPr>
              <w:t> </w:t>
            </w:r>
            <w:r>
              <w:rPr>
                <w:rFonts w:ascii="宋体" w:hAnsi="宋体" w:cs="宋体" w:eastAsia="宋体" w:hint="default"/>
                <w:sz w:val="18"/>
                <w:szCs w:val="18"/>
              </w:rPr>
              <w:t>董事、监事、高级管理人员和员工情况</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三、任职情况</w:t>
            </w:r>
            <w:r>
              <w:rPr>
                <w:rFonts w:ascii="Times New Roman" w:hAnsi="Times New Roman" w:cs="Times New Roman" w:eastAsia="Times New Roman" w:hint="default"/>
                <w:sz w:val="18"/>
                <w:szCs w:val="18"/>
              </w:rPr>
              <w:t>"</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5"/>
        <w:ind w:left="154" w:right="13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right="13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7431"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杨维国先生简历请见本报告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第八节</w:t>
            </w:r>
            <w:r>
              <w:rPr>
                <w:rFonts w:ascii="宋体" w:hAnsi="宋体" w:cs="宋体" w:eastAsia="宋体" w:hint="default"/>
                <w:spacing w:val="2"/>
                <w:sz w:val="18"/>
                <w:szCs w:val="18"/>
              </w:rPr>
              <w:t> </w:t>
            </w:r>
            <w:r>
              <w:rPr>
                <w:rFonts w:ascii="宋体" w:hAnsi="宋体" w:cs="宋体" w:eastAsia="宋体" w:hint="default"/>
                <w:spacing w:val="-4"/>
                <w:sz w:val="18"/>
                <w:szCs w:val="18"/>
              </w:rPr>
              <w:t>董事、监事、高级管理人员和员工情况</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之</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三、任职情况</w:t>
            </w:r>
            <w:r>
              <w:rPr>
                <w:rFonts w:ascii="Times New Roman" w:hAnsi="Times New Roman" w:cs="Times New Roman" w:eastAsia="Times New Roman" w:hint="default"/>
                <w:sz w:val="18"/>
                <w:szCs w:val="18"/>
              </w:rPr>
              <w:t>"</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5"/>
        <w:ind w:left="154" w:right="13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5"/>
          <w:szCs w:val="25"/>
        </w:rPr>
      </w:pPr>
    </w:p>
    <w:p>
      <w:pPr>
        <w:spacing w:line="4972" w:lineRule="exact"/>
        <w:ind w:left="258"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5991743" cy="315772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0" cstate="print"/>
                    <a:stretch>
                      <a:fillRect/>
                    </a:stretch>
                  </pic:blipFill>
                  <pic:spPr>
                    <a:xfrm>
                      <a:off x="0" y="0"/>
                      <a:ext cx="5991743" cy="3157728"/>
                    </a:xfrm>
                    <a:prstGeom prst="rect">
                      <a:avLst/>
                    </a:prstGeom>
                  </pic:spPr>
                </pic:pic>
              </a:graphicData>
            </a:graphic>
          </wp:inline>
        </w:drawing>
      </w:r>
      <w:r>
        <w:rPr>
          <w:rFonts w:ascii="宋体" w:hAnsi="宋体" w:cs="宋体" w:eastAsia="宋体" w:hint="default"/>
          <w:position w:val="-98"/>
          <w:sz w:val="20"/>
          <w:szCs w:val="20"/>
        </w:rPr>
      </w:r>
    </w:p>
    <w:p>
      <w:pPr>
        <w:spacing w:line="240" w:lineRule="auto" w:before="12"/>
        <w:rPr>
          <w:rFonts w:ascii="宋体" w:hAnsi="宋体" w:cs="宋体" w:eastAsia="宋体" w:hint="default"/>
          <w:sz w:val="11"/>
          <w:szCs w:val="11"/>
        </w:rPr>
      </w:pPr>
    </w:p>
    <w:p>
      <w:pPr>
        <w:pStyle w:val="BodyText"/>
        <w:spacing w:line="240" w:lineRule="auto" w:before="35"/>
        <w:ind w:right="133"/>
        <w:jc w:val="left"/>
      </w:pPr>
      <w:r>
        <w:rPr/>
        <w:t>实际控制人通过信托或其他资产管理方式控制公司</w:t>
      </w:r>
    </w:p>
    <w:p>
      <w:pPr>
        <w:spacing w:line="240" w:lineRule="auto" w:before="1"/>
        <w:rPr>
          <w:rFonts w:ascii="宋体" w:hAnsi="宋体" w:cs="宋体" w:eastAsia="宋体" w:hint="default"/>
          <w:sz w:val="20"/>
          <w:szCs w:val="20"/>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33"/>
        <w:jc w:val="left"/>
        <w:rPr>
          <w:b w:val="0"/>
          <w:bCs w:val="0"/>
        </w:rPr>
      </w:pPr>
      <w:r>
        <w:rPr>
          <w:rFonts w:ascii="Times New Roman" w:hAnsi="Times New Roman" w:cs="Times New Roman" w:eastAsia="Times New Roman" w:hint="default"/>
        </w:rPr>
        <w:t>4</w:t>
      </w:r>
      <w:r>
        <w:rPr/>
        <w:t>、其他持股在</w:t>
      </w:r>
      <w:r>
        <w:rPr>
          <w:spacing w:val="-59"/>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133"/>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spacing w:line="338" w:lineRule="auto" w:before="44"/>
        <w:ind w:left="154" w:right="7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133"/>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33"/>
        <w:jc w:val="left"/>
        <w:rPr>
          <w:b w:val="0"/>
          <w:bCs w:val="0"/>
        </w:rPr>
      </w:pPr>
      <w:r>
        <w:rPr/>
        <w:pict>
          <v:shape style="position:absolute;margin-left:471.480011pt;margin-top:33.035938pt;width:63.55pt;height:50.8pt;mso-position-horizontal-relative:page;mso-position-vertical-relative:paragraph;z-index:-122185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2"/>
              <w:jc w:val="righ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3"/>
              <w:jc w:val="right"/>
              <w:rPr>
                <w:rFonts w:ascii="宋体" w:hAnsi="宋体" w:cs="宋体" w:eastAsia="宋体" w:hint="default"/>
                <w:sz w:val="18"/>
                <w:szCs w:val="18"/>
              </w:rPr>
            </w:pPr>
            <w:r>
              <w:rPr>
                <w:rFonts w:ascii="宋体" w:hAnsi="宋体" w:cs="宋体" w:eastAsia="宋体" w:hint="default"/>
                <w:sz w:val="18"/>
                <w:szCs w:val="18"/>
              </w:rPr>
              <w:t>杨维国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177"/>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65,840,00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3"/>
              <w:jc w:val="right"/>
              <w:rPr>
                <w:rFonts w:ascii="宋体" w:hAnsi="宋体" w:cs="宋体" w:eastAsia="宋体" w:hint="default"/>
                <w:sz w:val="18"/>
                <w:szCs w:val="18"/>
              </w:rPr>
            </w:pPr>
            <w:r>
              <w:rPr>
                <w:rFonts w:ascii="宋体" w:hAnsi="宋体" w:cs="宋体" w:eastAsia="宋体" w:hint="default"/>
                <w:sz w:val="18"/>
                <w:szCs w:val="18"/>
              </w:rPr>
              <w:t>付秋生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常 务副总经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11,068,80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11,068,80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3"/>
              <w:jc w:val="right"/>
              <w:rPr>
                <w:rFonts w:ascii="宋体" w:hAnsi="宋体" w:cs="宋体" w:eastAsia="宋体" w:hint="default"/>
                <w:sz w:val="18"/>
                <w:szCs w:val="18"/>
              </w:rPr>
            </w:pPr>
            <w:r>
              <w:rPr>
                <w:rFonts w:ascii="宋体" w:hAnsi="宋体" w:cs="宋体" w:eastAsia="宋体" w:hint="default"/>
                <w:sz w:val="18"/>
                <w:szCs w:val="18"/>
              </w:rPr>
              <w:t>尚卫国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176"/>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12,487,20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12,487,20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23"/>
              <w:jc w:val="right"/>
              <w:rPr>
                <w:rFonts w:ascii="宋体" w:hAnsi="宋体" w:cs="宋体" w:eastAsia="宋体" w:hint="default"/>
                <w:sz w:val="18"/>
                <w:szCs w:val="18"/>
              </w:rPr>
            </w:pPr>
            <w:r>
              <w:rPr>
                <w:rFonts w:ascii="宋体" w:hAnsi="宋体" w:cs="宋体" w:eastAsia="宋体" w:hint="default"/>
                <w:sz w:val="18"/>
                <w:szCs w:val="18"/>
              </w:rPr>
              <w:t>赵利宾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176"/>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10,020,00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司志刚</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刘汴生</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王玉辉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张英瑶</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23"/>
              <w:jc w:val="right"/>
              <w:rPr>
                <w:rFonts w:ascii="宋体" w:hAnsi="宋体" w:cs="宋体" w:eastAsia="宋体" w:hint="default"/>
                <w:sz w:val="18"/>
                <w:szCs w:val="18"/>
              </w:rPr>
            </w:pPr>
            <w:r>
              <w:rPr>
                <w:rFonts w:ascii="宋体" w:hAnsi="宋体" w:cs="宋体" w:eastAsia="宋体" w:hint="default"/>
                <w:sz w:val="18"/>
                <w:szCs w:val="18"/>
              </w:rPr>
              <w:t>毕会静</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3"/>
              <w:jc w:val="right"/>
              <w:rPr>
                <w:rFonts w:ascii="宋体" w:hAnsi="宋体" w:cs="宋体" w:eastAsia="宋体" w:hint="default"/>
                <w:sz w:val="18"/>
                <w:szCs w:val="18"/>
              </w:rPr>
            </w:pPr>
            <w:r>
              <w:rPr>
                <w:rFonts w:ascii="宋体" w:hAnsi="宋体" w:cs="宋体" w:eastAsia="宋体" w:hint="default"/>
                <w:sz w:val="18"/>
                <w:szCs w:val="18"/>
              </w:rPr>
              <w:t>刘恩臣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9,520,000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3"/>
              <w:jc w:val="right"/>
              <w:rPr>
                <w:rFonts w:ascii="宋体" w:hAnsi="宋体" w:cs="宋体" w:eastAsia="宋体" w:hint="default"/>
                <w:sz w:val="18"/>
                <w:szCs w:val="18"/>
              </w:rPr>
            </w:pPr>
            <w:r>
              <w:rPr>
                <w:rFonts w:ascii="宋体" w:hAnsi="宋体" w:cs="宋体" w:eastAsia="宋体" w:hint="default"/>
                <w:sz w:val="18"/>
                <w:szCs w:val="18"/>
              </w:rPr>
              <w:t>王葆玲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张建英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10,820,00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李玉玲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10,020,00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10,020,00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刘永春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5,064,220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5,064,220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145,306,7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145,306,7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20</w:t>
            </w:r>
          </w:p>
        </w:tc>
      </w:tr>
    </w:tbl>
    <w:p>
      <w:pPr>
        <w:spacing w:line="240" w:lineRule="auto" w:before="2"/>
        <w:rPr>
          <w:rFonts w:ascii="宋体" w:hAnsi="宋体" w:cs="宋体" w:eastAsia="宋体" w:hint="default"/>
          <w:b/>
          <w:bCs/>
          <w:sz w:val="18"/>
          <w:szCs w:val="18"/>
        </w:rPr>
      </w:pPr>
    </w:p>
    <w:p>
      <w:pPr>
        <w:pStyle w:val="Heading2"/>
        <w:spacing w:line="240" w:lineRule="auto" w:before="26"/>
        <w:ind w:right="133"/>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3"/>
        <w:jc w:val="left"/>
        <w:rPr>
          <w:b w:val="0"/>
          <w:bCs w:val="0"/>
        </w:rPr>
      </w:pPr>
      <w:r>
        <w:rPr/>
        <w:t>三、任职情况</w:t>
      </w:r>
      <w:r>
        <w:rPr>
          <w:b w:val="0"/>
          <w:bCs w:val="0"/>
        </w:rPr>
      </w:r>
    </w:p>
    <w:p>
      <w:pPr>
        <w:spacing w:line="240" w:lineRule="auto" w:before="9"/>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0"/>
        <w:rPr>
          <w:rFonts w:ascii="宋体" w:hAnsi="宋体" w:cs="宋体" w:eastAsia="宋体" w:hint="default"/>
          <w:sz w:val="12"/>
          <w:szCs w:val="12"/>
        </w:rPr>
      </w:pPr>
    </w:p>
    <w:p>
      <w:pPr>
        <w:pStyle w:val="BodyText"/>
        <w:spacing w:line="408" w:lineRule="auto" w:before="0"/>
        <w:ind w:left="575" w:right="133" w:hanging="422"/>
        <w:jc w:val="left"/>
      </w:pPr>
      <w:r>
        <w:rPr/>
        <w:t>（一）董事会成员 </w:t>
      </w:r>
      <w:r>
        <w:rPr>
          <w:spacing w:val="-1"/>
        </w:rPr>
        <w:t>公司第三届董事会任期至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10</w:t>
      </w:r>
      <w:r>
        <w:rPr>
          <w:spacing w:val="-1"/>
        </w:rPr>
        <w:t>日止，公司于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13</w:t>
      </w:r>
      <w:r>
        <w:rPr>
          <w:spacing w:val="-1"/>
        </w:rPr>
        <w:t>日召开</w:t>
      </w:r>
      <w:r>
        <w:rPr>
          <w:rFonts w:ascii="Times New Roman" w:hAnsi="Times New Roman" w:cs="Times New Roman" w:eastAsia="Times New Roman" w:hint="default"/>
          <w:spacing w:val="-1"/>
        </w:rPr>
        <w:t>2017</w:t>
      </w:r>
      <w:r>
        <w:rPr>
          <w:spacing w:val="-1"/>
        </w:rPr>
        <w:t>年第一次临时股东大会选</w:t>
      </w:r>
    </w:p>
    <w:p>
      <w:pPr>
        <w:pStyle w:val="BodyText"/>
        <w:spacing w:line="408" w:lineRule="auto" w:before="14"/>
        <w:ind w:left="575" w:right="132" w:hanging="422"/>
        <w:jc w:val="left"/>
      </w:pPr>
      <w:r>
        <w:rPr/>
        <w:t>举第四届董事会成员，成员具体情况如下： 杨维国先生，男，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11</w:t>
      </w:r>
      <w:r>
        <w:rPr/>
        <w:t>月出生，</w:t>
      </w:r>
      <w:r>
        <w:rPr>
          <w:rFonts w:ascii="Times New Roman" w:hAnsi="Times New Roman" w:cs="Times New Roman" w:eastAsia="Times New Roman" w:hint="default"/>
        </w:rPr>
        <w:t>EMBA</w:t>
      </w:r>
      <w:r>
        <w:rPr/>
        <w:t>，高级经济师、工程师，河南省软件行业协会常务理事、</w:t>
      </w:r>
    </w:p>
    <w:p>
      <w:pPr>
        <w:pStyle w:val="BodyText"/>
        <w:spacing w:line="386" w:lineRule="auto" w:before="14"/>
        <w:ind w:right="133"/>
        <w:jc w:val="left"/>
      </w:pPr>
      <w:r>
        <w:rPr>
          <w:spacing w:val="-1"/>
        </w:rPr>
        <w:t>河南省工商业联合会常委。</w:t>
      </w:r>
      <w:r>
        <w:rPr>
          <w:rFonts w:ascii="Times New Roman" w:hAnsi="Times New Roman" w:cs="Times New Roman" w:eastAsia="Times New Roman" w:hint="default"/>
          <w:spacing w:val="-1"/>
        </w:rPr>
        <w:t>1985</w:t>
      </w:r>
      <w:r>
        <w:rPr>
          <w:spacing w:val="-1"/>
        </w:rPr>
        <w:t>年毕业于郑州工学院电机系，获工学学士学位；</w:t>
      </w:r>
      <w:r>
        <w:rPr>
          <w:rFonts w:ascii="Times New Roman" w:hAnsi="Times New Roman" w:cs="Times New Roman" w:eastAsia="Times New Roman" w:hint="default"/>
          <w:spacing w:val="-1"/>
        </w:rPr>
        <w:t>1994</w:t>
      </w:r>
      <w:r>
        <w:rPr>
          <w:spacing w:val="-1"/>
        </w:rPr>
        <w:t>年毕业于西安交通大</w:t>
      </w:r>
      <w:r>
        <w:rPr>
          <w:spacing w:val="-86"/>
        </w:rPr>
        <w:t> </w:t>
      </w:r>
      <w:r>
        <w:rPr>
          <w:spacing w:val="-86"/>
        </w:rPr>
      </w:r>
      <w:r>
        <w:rPr>
          <w:spacing w:val="-1"/>
        </w:rPr>
        <w:t>学，获法学学士学位。</w:t>
      </w:r>
      <w:r>
        <w:rPr>
          <w:rFonts w:ascii="Times New Roman" w:hAnsi="Times New Roman" w:cs="Times New Roman" w:eastAsia="Times New Roman" w:hint="default"/>
          <w:spacing w:val="-1"/>
        </w:rPr>
        <w:t>1985</w:t>
      </w:r>
      <w:r>
        <w:rPr>
          <w:spacing w:val="-1"/>
        </w:rPr>
        <w:t>年至</w:t>
      </w:r>
      <w:r>
        <w:rPr>
          <w:rFonts w:ascii="Times New Roman" w:hAnsi="Times New Roman" w:cs="Times New Roman" w:eastAsia="Times New Roman" w:hint="default"/>
          <w:spacing w:val="-1"/>
        </w:rPr>
        <w:t>1994</w:t>
      </w:r>
      <w:r>
        <w:rPr>
          <w:spacing w:val="-1"/>
        </w:rPr>
        <w:t>年，在郑州工学院（</w:t>
      </w:r>
      <w:r>
        <w:rPr>
          <w:rFonts w:ascii="Times New Roman" w:hAnsi="Times New Roman" w:cs="Times New Roman" w:eastAsia="Times New Roman" w:hint="default"/>
          <w:spacing w:val="-1"/>
        </w:rPr>
        <w:t>1996</w:t>
      </w:r>
      <w:r>
        <w:rPr>
          <w:spacing w:val="-1"/>
        </w:rPr>
        <w:t>年更名为郑州工业大学，</w:t>
      </w:r>
      <w:r>
        <w:rPr>
          <w:rFonts w:ascii="Times New Roman" w:hAnsi="Times New Roman" w:cs="Times New Roman" w:eastAsia="Times New Roman" w:hint="default"/>
          <w:spacing w:val="-1"/>
        </w:rPr>
        <w:t>2000</w:t>
      </w:r>
      <w:r>
        <w:rPr>
          <w:spacing w:val="-1"/>
        </w:rPr>
        <w:t>年与原郑州大</w:t>
      </w:r>
    </w:p>
    <w:p>
      <w:pPr>
        <w:spacing w:after="0" w:line="386"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93" w:lineRule="auto" w:before="35"/>
        <w:ind w:left="153" w:right="150"/>
        <w:jc w:val="both"/>
      </w:pPr>
      <w:r>
        <w:rPr>
          <w:spacing w:val="-1"/>
        </w:rPr>
        <w:t>学、河南医科大学合并组建新郑州大学）计算机与自动化系政治辅导员、兼课教师，历任校团委干事、分</w:t>
      </w:r>
      <w:r>
        <w:rPr>
          <w:spacing w:val="-83"/>
        </w:rPr>
        <w:t> </w:t>
      </w:r>
      <w:r>
        <w:rPr>
          <w:spacing w:val="-83"/>
        </w:rPr>
      </w:r>
      <w:r>
        <w:rPr>
          <w:spacing w:val="-1"/>
        </w:rPr>
        <w:t>团委书记、计算机与自动化系主任助理；</w:t>
      </w:r>
      <w:r>
        <w:rPr>
          <w:rFonts w:ascii="Times New Roman" w:hAnsi="Times New Roman" w:cs="Times New Roman" w:eastAsia="Times New Roman" w:hint="default"/>
          <w:spacing w:val="-1"/>
        </w:rPr>
        <w:t>1994</w:t>
      </w:r>
      <w:r>
        <w:rPr>
          <w:spacing w:val="-1"/>
        </w:rPr>
        <w:t>年至</w:t>
      </w:r>
      <w:r>
        <w:rPr>
          <w:rFonts w:ascii="Times New Roman" w:hAnsi="Times New Roman" w:cs="Times New Roman" w:eastAsia="Times New Roman" w:hint="default"/>
          <w:spacing w:val="-1"/>
        </w:rPr>
        <w:t>2000</w:t>
      </w:r>
      <w:r>
        <w:rPr>
          <w:spacing w:val="-1"/>
        </w:rPr>
        <w:t>年，任郑州工学院科技开发公司副总经理，兼任郑</w:t>
      </w:r>
      <w:r>
        <w:rPr>
          <w:spacing w:val="-83"/>
        </w:rPr>
        <w:t> </w:t>
      </w:r>
      <w:r>
        <w:rPr>
          <w:spacing w:val="-83"/>
        </w:rPr>
      </w:r>
      <w:r>
        <w:rPr/>
        <w:t>州工学院开普电子技术公司（成立于 </w:t>
      </w:r>
      <w:r>
        <w:rPr>
          <w:rFonts w:ascii="Times New Roman" w:hAnsi="Times New Roman" w:cs="Times New Roman" w:eastAsia="Times New Roman" w:hint="default"/>
        </w:rPr>
        <w:t>1992</w:t>
      </w:r>
      <w:r>
        <w:rPr>
          <w:rFonts w:ascii="Times New Roman" w:hAnsi="Times New Roman" w:cs="Times New Roman" w:eastAsia="Times New Roman" w:hint="default"/>
          <w:spacing w:val="24"/>
        </w:rPr>
        <w:t> </w:t>
      </w:r>
      <w:r>
        <w:rPr/>
        <w:t>年，系郑州工学院校办企业，</w:t>
      </w:r>
      <w:r>
        <w:rPr>
          <w:rFonts w:ascii="Times New Roman" w:hAnsi="Times New Roman" w:cs="Times New Roman" w:eastAsia="Times New Roman" w:hint="default"/>
        </w:rPr>
        <w:t>1996</w:t>
      </w:r>
      <w:r>
        <w:rPr/>
        <w:t>年更名为郑州工业大学开普 电子技术公司，已于</w:t>
      </w:r>
      <w:r>
        <w:rPr>
          <w:spacing w:val="-10"/>
        </w:rPr>
        <w:t>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月注销）总经理；</w:t>
      </w:r>
      <w:r>
        <w:rPr>
          <w:rFonts w:ascii="Times New Roman" w:hAnsi="Times New Roman" w:cs="Times New Roman" w:eastAsia="Times New Roman" w:hint="default"/>
        </w:rPr>
        <w:t>2000</w:t>
      </w:r>
      <w:r>
        <w:rPr/>
        <w:t>年至今在公司工作，现任公司董事长兼总经理。</w:t>
      </w:r>
    </w:p>
    <w:p>
      <w:pPr>
        <w:pStyle w:val="BodyText"/>
        <w:spacing w:line="393" w:lineRule="auto" w:before="28"/>
        <w:ind w:left="153" w:right="146" w:firstLine="421"/>
        <w:jc w:val="left"/>
      </w:pPr>
      <w:r>
        <w:rPr>
          <w:spacing w:val="-5"/>
        </w:rPr>
        <w:t>付秋生先生，</w:t>
      </w:r>
      <w:r>
        <w:rPr>
          <w:rFonts w:ascii="Times New Roman" w:hAnsi="Times New Roman" w:cs="Times New Roman" w:eastAsia="Times New Roman" w:hint="default"/>
          <w:spacing w:val="-5"/>
        </w:rPr>
        <w:t>1963</w:t>
      </w:r>
      <w:r>
        <w:rPr>
          <w:spacing w:val="-5"/>
        </w:rPr>
        <w:t>年</w:t>
      </w:r>
      <w:r>
        <w:rPr>
          <w:rFonts w:ascii="Times New Roman" w:hAnsi="Times New Roman" w:cs="Times New Roman" w:eastAsia="Times New Roman" w:hint="default"/>
          <w:spacing w:val="-5"/>
        </w:rPr>
        <w:t>11</w:t>
      </w:r>
      <w:r>
        <w:rPr>
          <w:spacing w:val="-5"/>
        </w:rPr>
        <w:t>月出生，硕士学历，高级工程师。</w:t>
      </w:r>
      <w:r>
        <w:rPr>
          <w:rFonts w:ascii="Times New Roman" w:hAnsi="Times New Roman" w:cs="Times New Roman" w:eastAsia="Times New Roman" w:hint="default"/>
          <w:spacing w:val="-5"/>
        </w:rPr>
        <w:t>1985</w:t>
      </w:r>
      <w:r>
        <w:rPr>
          <w:spacing w:val="-5"/>
        </w:rPr>
        <w:t>年毕业于上海理工大学计算机应用专业，</w:t>
      </w:r>
      <w:r>
        <w:rPr/>
        <w:t> 获学士学位；</w:t>
      </w:r>
      <w:r>
        <w:rPr>
          <w:rFonts w:ascii="Times New Roman" w:hAnsi="Times New Roman" w:cs="Times New Roman" w:eastAsia="Times New Roman" w:hint="default"/>
        </w:rPr>
        <w:t>1988</w:t>
      </w:r>
      <w:r>
        <w:rPr/>
        <w:t>年毕业于上海理工大学计算机控制专业，获硕士学位。</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5</w:t>
      </w:r>
      <w:r>
        <w:rPr/>
        <w:t>月参加工作，在郑州工 </w:t>
      </w:r>
      <w:r>
        <w:rPr>
          <w:spacing w:val="-1"/>
        </w:rPr>
        <w:t>学院计算机自动化系任教；</w:t>
      </w:r>
      <w:r>
        <w:rPr>
          <w:rFonts w:ascii="Times New Roman" w:hAnsi="Times New Roman" w:cs="Times New Roman" w:eastAsia="Times New Roman" w:hint="default"/>
          <w:spacing w:val="-1"/>
        </w:rPr>
        <w:t>1996</w:t>
      </w:r>
      <w:r>
        <w:rPr>
          <w:spacing w:val="-1"/>
        </w:rPr>
        <w:t>年任河南省计算技术研究所所长助理；</w:t>
      </w:r>
      <w:r>
        <w:rPr>
          <w:rFonts w:ascii="Times New Roman" w:hAnsi="Times New Roman" w:cs="Times New Roman" w:eastAsia="Times New Roman" w:hint="default"/>
          <w:spacing w:val="-1"/>
        </w:rPr>
        <w:t>1998</w:t>
      </w:r>
      <w:r>
        <w:rPr>
          <w:spacing w:val="-1"/>
        </w:rPr>
        <w:t>年进入河南思达高科技股份有</w:t>
      </w:r>
      <w:r>
        <w:rPr>
          <w:spacing w:val="-83"/>
        </w:rPr>
        <w:t> </w:t>
      </w:r>
      <w:r>
        <w:rPr>
          <w:spacing w:val="-83"/>
        </w:rPr>
      </w:r>
      <w:r>
        <w:rPr>
          <w:spacing w:val="-5"/>
        </w:rPr>
        <w:t>限公司，历任系统集成分公司经理，副总经理、总经理；</w:t>
      </w:r>
      <w:r>
        <w:rPr>
          <w:rFonts w:ascii="Times New Roman" w:hAnsi="Times New Roman" w:cs="Times New Roman" w:eastAsia="Times New Roman" w:hint="default"/>
          <w:spacing w:val="-5"/>
        </w:rPr>
        <w:t>2003</w:t>
      </w:r>
      <w:r>
        <w:rPr>
          <w:spacing w:val="-5"/>
        </w:rPr>
        <w:t>年任河南思达科技发展股份有限公司副总裁；</w:t>
      </w:r>
      <w:r>
        <w:rPr>
          <w:spacing w:val="-95"/>
        </w:rPr>
        <w:t> </w:t>
      </w:r>
      <w:r>
        <w:rPr>
          <w:spacing w:val="-95"/>
        </w:rPr>
      </w:r>
      <w:r>
        <w:rPr>
          <w:rFonts w:ascii="Times New Roman" w:hAnsi="Times New Roman" w:cs="Times New Roman" w:eastAsia="Times New Roman" w:hint="default"/>
          <w:spacing w:val="-1"/>
        </w:rPr>
        <w:t>2006</w:t>
      </w:r>
      <w:r>
        <w:rPr>
          <w:spacing w:val="-1"/>
        </w:rPr>
        <w:t>年至今在本公司工作，现任公司董事、常务副总经理，系公司核心技术人员，主要负责公司研发、生</w:t>
      </w:r>
      <w:r>
        <w:rPr>
          <w:spacing w:val="-84"/>
        </w:rPr>
        <w:t> </w:t>
      </w:r>
      <w:r>
        <w:rPr>
          <w:spacing w:val="-84"/>
        </w:rPr>
      </w:r>
      <w:r>
        <w:rPr>
          <w:spacing w:val="-1"/>
        </w:rPr>
        <w:t>产、客服和营销等部门及业务的管理和协调，以及公司产品战略规划和重要产品评审决策。曾主持开发新</w:t>
      </w:r>
      <w:r>
        <w:rPr>
          <w:spacing w:val="-83"/>
        </w:rPr>
        <w:t> </w:t>
      </w:r>
      <w:r>
        <w:rPr>
          <w:spacing w:val="-83"/>
        </w:rPr>
      </w:r>
      <w:r>
        <w:rPr>
          <w:spacing w:val="-1"/>
        </w:rPr>
        <w:t>开普一卡通管理系统、智能集中电控系统、预付费电能表等产品，负责设计和实施的《河南省高级法院办</w:t>
      </w:r>
      <w:r>
        <w:rPr>
          <w:spacing w:val="-82"/>
        </w:rPr>
        <w:t> </w:t>
      </w:r>
      <w:r>
        <w:rPr>
          <w:spacing w:val="-82"/>
        </w:rPr>
      </w:r>
      <w:r>
        <w:rPr/>
        <w:t>公自动化系统》、《罗山县化肥厂氢氮比自动控制系统》曾获河南省科技进步三等奖。</w:t>
      </w:r>
    </w:p>
    <w:p>
      <w:pPr>
        <w:pStyle w:val="BodyText"/>
        <w:spacing w:line="386" w:lineRule="auto" w:before="59"/>
        <w:ind w:left="153" w:right="147" w:firstLine="421"/>
        <w:jc w:val="both"/>
      </w:pPr>
      <w:r>
        <w:rPr>
          <w:spacing w:val="-5"/>
        </w:rPr>
        <w:t>尚卫国先生，男，</w:t>
      </w:r>
      <w:r>
        <w:rPr>
          <w:rFonts w:ascii="Times New Roman" w:hAnsi="Times New Roman" w:cs="Times New Roman" w:eastAsia="Times New Roman" w:hint="default"/>
          <w:spacing w:val="-5"/>
        </w:rPr>
        <w:t>1963</w:t>
      </w:r>
      <w:r>
        <w:rPr>
          <w:spacing w:val="-5"/>
        </w:rPr>
        <w:t>年</w:t>
      </w:r>
      <w:r>
        <w:rPr>
          <w:rFonts w:ascii="Times New Roman" w:hAnsi="Times New Roman" w:cs="Times New Roman" w:eastAsia="Times New Roman" w:hint="default"/>
          <w:spacing w:val="-5"/>
        </w:rPr>
        <w:t>10</w:t>
      </w:r>
      <w:r>
        <w:rPr>
          <w:spacing w:val="-5"/>
        </w:rPr>
        <w:t>月出生，专科学历，工程师。</w:t>
      </w:r>
      <w:r>
        <w:rPr>
          <w:rFonts w:ascii="Times New Roman" w:hAnsi="Times New Roman" w:cs="Times New Roman" w:eastAsia="Times New Roman" w:hint="default"/>
          <w:spacing w:val="-5"/>
        </w:rPr>
        <w:t>1983</w:t>
      </w:r>
      <w:r>
        <w:rPr>
          <w:spacing w:val="-5"/>
        </w:rPr>
        <w:t>年毕业于河南省公安高等专科学校；</w:t>
      </w:r>
      <w:r>
        <w:rPr>
          <w:rFonts w:ascii="Times New Roman" w:hAnsi="Times New Roman" w:cs="Times New Roman" w:eastAsia="Times New Roman" w:hint="default"/>
          <w:spacing w:val="-5"/>
        </w:rPr>
        <w:t>1984</w:t>
      </w:r>
      <w:r>
        <w:rPr>
          <w:rFonts w:ascii="Times New Roman" w:hAnsi="Times New Roman" w:cs="Times New Roman" w:eastAsia="Times New Roman" w:hint="default"/>
        </w:rPr>
        <w:t> </w:t>
      </w:r>
      <w:r>
        <w:rPr>
          <w:spacing w:val="-1"/>
        </w:rPr>
        <w:t>年至</w:t>
      </w:r>
      <w:r>
        <w:rPr>
          <w:rFonts w:ascii="Times New Roman" w:hAnsi="Times New Roman" w:cs="Times New Roman" w:eastAsia="Times New Roman" w:hint="default"/>
          <w:spacing w:val="-1"/>
        </w:rPr>
        <w:t>1986</w:t>
      </w:r>
      <w:r>
        <w:rPr>
          <w:spacing w:val="-1"/>
        </w:rPr>
        <w:t>年在郑州大学法律系学习。</w:t>
      </w:r>
      <w:r>
        <w:rPr>
          <w:rFonts w:ascii="Times New Roman" w:hAnsi="Times New Roman" w:cs="Times New Roman" w:eastAsia="Times New Roman" w:hint="default"/>
          <w:spacing w:val="-1"/>
        </w:rPr>
        <w:t>1983</w:t>
      </w:r>
      <w:r>
        <w:rPr>
          <w:spacing w:val="-1"/>
        </w:rPr>
        <w:t>年至</w:t>
      </w:r>
      <w:r>
        <w:rPr>
          <w:rFonts w:ascii="Times New Roman" w:hAnsi="Times New Roman" w:cs="Times New Roman" w:eastAsia="Times New Roman" w:hint="default"/>
          <w:spacing w:val="-1"/>
        </w:rPr>
        <w:t>1995</w:t>
      </w:r>
      <w:r>
        <w:rPr>
          <w:spacing w:val="-1"/>
        </w:rPr>
        <w:t>年，任郑州工学院机关干部；</w:t>
      </w:r>
      <w:r>
        <w:rPr>
          <w:rFonts w:ascii="Times New Roman" w:hAnsi="Times New Roman" w:cs="Times New Roman" w:eastAsia="Times New Roman" w:hint="default"/>
          <w:spacing w:val="-1"/>
        </w:rPr>
        <w:t>1995</w:t>
      </w:r>
      <w:r>
        <w:rPr>
          <w:spacing w:val="-1"/>
        </w:rPr>
        <w:t>年至</w:t>
      </w:r>
      <w:r>
        <w:rPr>
          <w:rFonts w:ascii="Times New Roman" w:hAnsi="Times New Roman" w:cs="Times New Roman" w:eastAsia="Times New Roman" w:hint="default"/>
          <w:spacing w:val="-1"/>
        </w:rPr>
        <w:t>2000</w:t>
      </w:r>
      <w:r>
        <w:rPr>
          <w:spacing w:val="-1"/>
        </w:rPr>
        <w:t>年任郑州工</w:t>
      </w:r>
      <w:r>
        <w:rPr>
          <w:spacing w:val="-88"/>
        </w:rPr>
        <w:t> </w:t>
      </w:r>
      <w:r>
        <w:rPr>
          <w:spacing w:val="-88"/>
        </w:rPr>
      </w:r>
      <w:r>
        <w:rPr/>
        <w:t>学院开普电子技术公司管理部经理；</w:t>
      </w:r>
      <w:r>
        <w:rPr>
          <w:rFonts w:ascii="Times New Roman" w:hAnsi="Times New Roman" w:cs="Times New Roman" w:eastAsia="Times New Roman" w:hint="default"/>
        </w:rPr>
        <w:t>2000</w:t>
      </w:r>
      <w:r>
        <w:rPr/>
        <w:t>年至今在公司工作，现任公司董事、副总经理。</w:t>
      </w:r>
    </w:p>
    <w:p>
      <w:pPr>
        <w:pStyle w:val="BodyText"/>
        <w:spacing w:line="386" w:lineRule="auto" w:before="35"/>
        <w:ind w:left="153" w:right="133" w:firstLine="421"/>
        <w:jc w:val="left"/>
      </w:pPr>
      <w:r>
        <w:rPr/>
        <w:t>赵利宾先生，男，</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5</w:t>
      </w:r>
      <w:r>
        <w:rPr/>
        <w:t>月出生，专科学历，会计师。</w:t>
      </w:r>
      <w:r>
        <w:rPr>
          <w:rFonts w:ascii="Times New Roman" w:hAnsi="Times New Roman" w:cs="Times New Roman" w:eastAsia="Times New Roman" w:hint="default"/>
        </w:rPr>
        <w:t>1985</w:t>
      </w:r>
      <w:r>
        <w:rPr/>
        <w:t>年至</w:t>
      </w:r>
      <w:r>
        <w:rPr>
          <w:rFonts w:ascii="Times New Roman" w:hAnsi="Times New Roman" w:cs="Times New Roman" w:eastAsia="Times New Roman" w:hint="default"/>
        </w:rPr>
        <w:t>1987</w:t>
      </w:r>
      <w:r>
        <w:rPr/>
        <w:t>年在重庆石油专科学校学习会 </w:t>
      </w:r>
      <w:r>
        <w:rPr>
          <w:spacing w:val="-1"/>
        </w:rPr>
        <w:t>计学专业；</w:t>
      </w:r>
      <w:r>
        <w:rPr>
          <w:rFonts w:ascii="Times New Roman" w:hAnsi="Times New Roman" w:cs="Times New Roman" w:eastAsia="Times New Roman" w:hint="default"/>
          <w:spacing w:val="-1"/>
        </w:rPr>
        <w:t>1994</w:t>
      </w:r>
      <w:r>
        <w:rPr>
          <w:spacing w:val="-1"/>
        </w:rPr>
        <w:t>年毕业于河南财经学院财务会计专业，专科学历。</w:t>
      </w:r>
      <w:r>
        <w:rPr>
          <w:rFonts w:ascii="Times New Roman" w:hAnsi="Times New Roman" w:cs="Times New Roman" w:eastAsia="Times New Roman" w:hint="default"/>
          <w:spacing w:val="-1"/>
        </w:rPr>
        <w:t>1987</w:t>
      </w:r>
      <w:r>
        <w:rPr>
          <w:spacing w:val="-1"/>
        </w:rPr>
        <w:t>年至</w:t>
      </w:r>
      <w:r>
        <w:rPr>
          <w:rFonts w:ascii="Times New Roman" w:hAnsi="Times New Roman" w:cs="Times New Roman" w:eastAsia="Times New Roman" w:hint="default"/>
          <w:spacing w:val="-1"/>
        </w:rPr>
        <w:t>1990</w:t>
      </w:r>
      <w:r>
        <w:rPr>
          <w:spacing w:val="-1"/>
        </w:rPr>
        <w:t>年，任中原油田钻井四公</w:t>
      </w:r>
      <w:r>
        <w:rPr>
          <w:spacing w:val="-84"/>
        </w:rPr>
        <w:t> </w:t>
      </w:r>
      <w:r>
        <w:rPr>
          <w:spacing w:val="-84"/>
        </w:rPr>
      </w:r>
      <w:r>
        <w:rPr>
          <w:spacing w:val="-1"/>
        </w:rPr>
        <w:t>司财务科会计；</w:t>
      </w:r>
      <w:r>
        <w:rPr>
          <w:rFonts w:ascii="Times New Roman" w:hAnsi="Times New Roman" w:cs="Times New Roman" w:eastAsia="Times New Roman" w:hint="default"/>
          <w:spacing w:val="-1"/>
        </w:rPr>
        <w:t>1990</w:t>
      </w:r>
      <w:r>
        <w:rPr>
          <w:spacing w:val="-1"/>
        </w:rPr>
        <w:t>年至</w:t>
      </w:r>
      <w:r>
        <w:rPr>
          <w:rFonts w:ascii="Times New Roman" w:hAnsi="Times New Roman" w:cs="Times New Roman" w:eastAsia="Times New Roman" w:hint="default"/>
          <w:spacing w:val="-1"/>
        </w:rPr>
        <w:t>1994</w:t>
      </w:r>
      <w:r>
        <w:rPr>
          <w:spacing w:val="-1"/>
        </w:rPr>
        <w:t>年，在郑州工学院财务处工作；</w:t>
      </w:r>
      <w:r>
        <w:rPr>
          <w:rFonts w:ascii="Times New Roman" w:hAnsi="Times New Roman" w:cs="Times New Roman" w:eastAsia="Times New Roman" w:hint="default"/>
          <w:spacing w:val="-1"/>
        </w:rPr>
        <w:t>1994</w:t>
      </w:r>
      <w:r>
        <w:rPr>
          <w:spacing w:val="-1"/>
        </w:rPr>
        <w:t>年至</w:t>
      </w:r>
      <w:r>
        <w:rPr>
          <w:rFonts w:ascii="Times New Roman" w:hAnsi="Times New Roman" w:cs="Times New Roman" w:eastAsia="Times New Roman" w:hint="default"/>
          <w:spacing w:val="-1"/>
        </w:rPr>
        <w:t>1997</w:t>
      </w:r>
      <w:r>
        <w:rPr>
          <w:spacing w:val="-1"/>
        </w:rPr>
        <w:t>年任郑州工学院开普电子技术</w:t>
      </w:r>
      <w:r>
        <w:rPr>
          <w:spacing w:val="-86"/>
        </w:rPr>
        <w:t> </w:t>
      </w:r>
      <w:r>
        <w:rPr>
          <w:spacing w:val="-86"/>
        </w:rPr>
      </w:r>
      <w:r>
        <w:rPr/>
        <w:t>公司财务经理；</w:t>
      </w:r>
      <w:r>
        <w:rPr>
          <w:rFonts w:ascii="Times New Roman" w:hAnsi="Times New Roman" w:cs="Times New Roman" w:eastAsia="Times New Roman" w:hint="default"/>
        </w:rPr>
        <w:t>2000</w:t>
      </w:r>
      <w:r>
        <w:rPr/>
        <w:t>年至今在本公司工作，现任公司董事、副总经理。</w:t>
      </w:r>
    </w:p>
    <w:p>
      <w:pPr>
        <w:pStyle w:val="BodyText"/>
        <w:spacing w:line="398" w:lineRule="auto" w:before="35"/>
        <w:ind w:left="153" w:right="148" w:firstLine="421"/>
        <w:jc w:val="both"/>
      </w:pPr>
      <w:r>
        <w:rPr>
          <w:spacing w:val="-5"/>
        </w:rPr>
        <w:t>司志刚先生，男，</w:t>
      </w:r>
      <w:r>
        <w:rPr>
          <w:rFonts w:ascii="Times New Roman" w:hAnsi="Times New Roman" w:cs="Times New Roman" w:eastAsia="Times New Roman" w:hint="default"/>
          <w:spacing w:val="-5"/>
        </w:rPr>
        <w:t>1965</w:t>
      </w:r>
      <w:r>
        <w:rPr>
          <w:spacing w:val="-5"/>
        </w:rPr>
        <w:t>年出生，硕士，教授。</w:t>
      </w:r>
      <w:r>
        <w:rPr>
          <w:rFonts w:ascii="Times New Roman" w:hAnsi="Times New Roman" w:cs="Times New Roman" w:eastAsia="Times New Roman" w:hint="default"/>
          <w:spacing w:val="-5"/>
        </w:rPr>
        <w:t>1987</w:t>
      </w:r>
      <w:r>
        <w:rPr>
          <w:spacing w:val="-5"/>
        </w:rPr>
        <w:t>年至</w:t>
      </w:r>
      <w:r>
        <w:rPr>
          <w:rFonts w:ascii="Times New Roman" w:hAnsi="Times New Roman" w:cs="Times New Roman" w:eastAsia="Times New Roman" w:hint="default"/>
          <w:spacing w:val="-5"/>
        </w:rPr>
        <w:t>2016</w:t>
      </w:r>
      <w:r>
        <w:rPr>
          <w:spacing w:val="-5"/>
        </w:rPr>
        <w:t>年任职于解放军信息工程大学，历任讲师、</w:t>
      </w:r>
      <w:r>
        <w:rPr/>
        <w:t> </w:t>
      </w:r>
      <w:r>
        <w:rPr>
          <w:spacing w:val="-1"/>
        </w:rPr>
        <w:t>副教授、教授。目前担任郑州市政府第二届专家委员会副主任委员，郑州市信息化促进会专家委员会副主</w:t>
      </w:r>
      <w:r>
        <w:rPr>
          <w:spacing w:val="-83"/>
        </w:rPr>
        <w:t> </w:t>
      </w:r>
      <w:r>
        <w:rPr>
          <w:spacing w:val="-83"/>
        </w:rPr>
      </w:r>
      <w:r>
        <w:rPr/>
        <w:t>任委员。</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月起，担任公司董事。</w:t>
      </w:r>
    </w:p>
    <w:p>
      <w:pPr>
        <w:pStyle w:val="BodyText"/>
        <w:spacing w:line="403" w:lineRule="auto" w:before="24"/>
        <w:ind w:right="151" w:firstLine="421"/>
        <w:jc w:val="both"/>
      </w:pPr>
      <w:r>
        <w:rPr>
          <w:spacing w:val="-1"/>
        </w:rPr>
        <w:t>毕会静女士，女，</w:t>
      </w:r>
      <w:r>
        <w:rPr>
          <w:rFonts w:ascii="Times New Roman" w:hAnsi="Times New Roman" w:cs="Times New Roman" w:eastAsia="Times New Roman" w:hint="default"/>
          <w:spacing w:val="-1"/>
        </w:rPr>
        <w:t>1973</w:t>
      </w:r>
      <w:r>
        <w:rPr>
          <w:spacing w:val="-1"/>
        </w:rPr>
        <w:t>年出生，本科学历，注册会计师，高级会计师。河南省注册会计师协会常务理</w:t>
      </w:r>
      <w:r>
        <w:rPr/>
        <w:t> </w:t>
      </w:r>
      <w:r>
        <w:rPr>
          <w:spacing w:val="-1"/>
        </w:rPr>
        <w:t>事、申诉与维权委员会副主任委员、专业技术委员会委员、惩戒委员会委员，河南省政协十一届委员、民</w:t>
      </w:r>
      <w:r>
        <w:rPr>
          <w:spacing w:val="-83"/>
        </w:rPr>
        <w:t> </w:t>
      </w:r>
      <w:r>
        <w:rPr>
          <w:spacing w:val="-83"/>
        </w:rPr>
      </w:r>
      <w:r>
        <w:rPr>
          <w:spacing w:val="-1"/>
        </w:rPr>
        <w:t>族宗教委员会委员，河南省省直机关青联委员。曾任河南金鼎会计师事务所副所长，河南天健会计师事务</w:t>
      </w:r>
      <w:r>
        <w:rPr>
          <w:spacing w:val="-83"/>
        </w:rPr>
        <w:t> </w:t>
      </w:r>
      <w:r>
        <w:rPr>
          <w:spacing w:val="-83"/>
        </w:rPr>
      </w:r>
      <w:r>
        <w:rPr>
          <w:spacing w:val="-1"/>
        </w:rPr>
        <w:t>所董事长，现任中审华会计师事务所（特殊普通合伙）河南分所所长，目前还担任好想你枣业股份有限公</w:t>
      </w:r>
      <w:r>
        <w:rPr>
          <w:spacing w:val="-82"/>
        </w:rPr>
        <w:t> </w:t>
      </w:r>
      <w:r>
        <w:rPr>
          <w:spacing w:val="-82"/>
        </w:rPr>
      </w:r>
      <w:r>
        <w:rPr/>
        <w:t>司独立董事。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月起，担任公司独立董事。</w:t>
      </w:r>
    </w:p>
    <w:p>
      <w:pPr>
        <w:pStyle w:val="BodyText"/>
        <w:spacing w:line="386" w:lineRule="auto" w:before="19"/>
        <w:ind w:right="233" w:firstLine="421"/>
        <w:jc w:val="both"/>
      </w:pPr>
      <w:r>
        <w:rPr/>
        <w:t>王玉辉女士，女，</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4</w:t>
      </w:r>
      <w:r>
        <w:rPr/>
        <w:t>月出生，博士、教授。</w:t>
      </w:r>
      <w:r>
        <w:rPr>
          <w:rFonts w:ascii="Times New Roman" w:hAnsi="Times New Roman" w:cs="Times New Roman" w:eastAsia="Times New Roman" w:hint="default"/>
        </w:rPr>
        <w:t>2008</w:t>
      </w:r>
      <w:r>
        <w:rPr/>
        <w:t>年至今，任职于郑州大学；自</w:t>
      </w:r>
      <w:r>
        <w:rPr>
          <w:rFonts w:ascii="Times New Roman" w:hAnsi="Times New Roman" w:cs="Times New Roman" w:eastAsia="Times New Roman" w:hint="default"/>
        </w:rPr>
        <w:t>2008</w:t>
      </w:r>
      <w:r>
        <w:rPr/>
        <w:t>年起，担任 中国经济法学会理事；</w:t>
      </w:r>
      <w:r>
        <w:rPr>
          <w:rFonts w:ascii="Times New Roman" w:hAnsi="Times New Roman" w:cs="Times New Roman" w:eastAsia="Times New Roman" w:hint="default"/>
        </w:rPr>
        <w:t>2017</w:t>
      </w:r>
      <w:r>
        <w:rPr/>
        <w:t>年起，担任河南省省委法律专家库成员。</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月起，担任公司独立董事。</w:t>
      </w:r>
    </w:p>
    <w:p>
      <w:pPr>
        <w:pStyle w:val="BodyText"/>
        <w:spacing w:line="240" w:lineRule="auto" w:before="35"/>
        <w:ind w:left="575" w:right="0"/>
        <w:jc w:val="left"/>
      </w:pPr>
      <w:r>
        <w:rPr/>
        <w:t>张英瑶先生，男，</w:t>
      </w:r>
      <w:r>
        <w:rPr>
          <w:rFonts w:ascii="Times New Roman" w:hAnsi="Times New Roman" w:cs="Times New Roman" w:eastAsia="Times New Roman" w:hint="default"/>
        </w:rPr>
        <w:t>1950</w:t>
      </w:r>
      <w:r>
        <w:rPr/>
        <w:t>年</w:t>
      </w:r>
      <w:r>
        <w:rPr>
          <w:rFonts w:ascii="Times New Roman" w:hAnsi="Times New Roman" w:cs="Times New Roman" w:eastAsia="Times New Roman" w:hint="default"/>
        </w:rPr>
        <w:t>12</w:t>
      </w:r>
      <w:r>
        <w:rPr/>
        <w:t>月出生，本科学历，高级工程师。</w:t>
      </w:r>
      <w:r>
        <w:rPr>
          <w:rFonts w:ascii="Times New Roman" w:hAnsi="Times New Roman" w:cs="Times New Roman" w:eastAsia="Times New Roman" w:hint="default"/>
        </w:rPr>
        <w:t>1976</w:t>
      </w:r>
      <w:r>
        <w:rPr/>
        <w:t>年至</w:t>
      </w:r>
      <w:r>
        <w:rPr>
          <w:rFonts w:ascii="Times New Roman" w:hAnsi="Times New Roman" w:cs="Times New Roman" w:eastAsia="Times New Roman" w:hint="default"/>
        </w:rPr>
        <w:t>1996</w:t>
      </w:r>
      <w:r>
        <w:rPr/>
        <w:t>年，历任河南省电子公司</w:t>
      </w:r>
    </w:p>
    <w:p>
      <w:pPr>
        <w:spacing w:after="0" w:line="240" w:lineRule="auto"/>
        <w:jc w:val="left"/>
        <w:sectPr>
          <w:footerReference w:type="default" r:id="rId31"/>
          <w:pgSz w:w="11910" w:h="16840"/>
          <w:pgMar w:footer="982" w:header="877" w:top="1100" w:bottom="1180" w:left="980" w:right="980"/>
          <w:pgNumType w:start="110"/>
        </w:sectPr>
      </w:pPr>
    </w:p>
    <w:p>
      <w:pPr>
        <w:spacing w:line="240" w:lineRule="auto" w:before="8"/>
        <w:rPr>
          <w:rFonts w:ascii="宋体" w:hAnsi="宋体" w:cs="宋体" w:eastAsia="宋体" w:hint="default"/>
          <w:sz w:val="26"/>
          <w:szCs w:val="26"/>
        </w:rPr>
      </w:pPr>
    </w:p>
    <w:p>
      <w:pPr>
        <w:pStyle w:val="BodyText"/>
        <w:spacing w:line="386" w:lineRule="auto" w:before="35"/>
        <w:ind w:left="153" w:right="210"/>
        <w:jc w:val="both"/>
      </w:pPr>
      <w:r>
        <w:rPr>
          <w:spacing w:val="-1"/>
        </w:rPr>
        <w:t>技术科、河南省电子工业局、河南省机电厅电子办科长、主任；</w:t>
      </w:r>
      <w:r>
        <w:rPr>
          <w:rFonts w:ascii="Times New Roman" w:hAnsi="Times New Roman" w:cs="Times New Roman" w:eastAsia="Times New Roman" w:hint="default"/>
          <w:spacing w:val="-1"/>
        </w:rPr>
        <w:t>1996</w:t>
      </w:r>
      <w:r>
        <w:rPr>
          <w:spacing w:val="-1"/>
        </w:rPr>
        <w:t>年至</w:t>
      </w:r>
      <w:r>
        <w:rPr>
          <w:rFonts w:ascii="Times New Roman" w:hAnsi="Times New Roman" w:cs="Times New Roman" w:eastAsia="Times New Roman" w:hint="default"/>
          <w:spacing w:val="-1"/>
        </w:rPr>
        <w:t>2000</w:t>
      </w:r>
      <w:r>
        <w:rPr>
          <w:spacing w:val="-1"/>
        </w:rPr>
        <w:t>年，任河南省电子局总工程</w:t>
      </w:r>
      <w:r>
        <w:rPr>
          <w:spacing w:val="-84"/>
        </w:rPr>
        <w:t> </w:t>
      </w:r>
      <w:r>
        <w:rPr>
          <w:spacing w:val="-84"/>
        </w:rPr>
      </w:r>
      <w:r>
        <w:rPr>
          <w:spacing w:val="-1"/>
        </w:rPr>
        <w:t>师；</w:t>
      </w:r>
      <w:r>
        <w:rPr>
          <w:rFonts w:ascii="Times New Roman" w:hAnsi="Times New Roman" w:cs="Times New Roman" w:eastAsia="Times New Roman" w:hint="default"/>
          <w:spacing w:val="-1"/>
        </w:rPr>
        <w:t>2000</w:t>
      </w:r>
      <w:r>
        <w:rPr>
          <w:spacing w:val="-1"/>
        </w:rPr>
        <w:t>年至</w:t>
      </w:r>
      <w:r>
        <w:rPr>
          <w:rFonts w:ascii="Times New Roman" w:hAnsi="Times New Roman" w:cs="Times New Roman" w:eastAsia="Times New Roman" w:hint="default"/>
          <w:spacing w:val="-1"/>
        </w:rPr>
        <w:t>2007</w:t>
      </w:r>
      <w:r>
        <w:rPr>
          <w:spacing w:val="-1"/>
        </w:rPr>
        <w:t>年，任河南省信息产业厅总工程师；</w:t>
      </w:r>
      <w:r>
        <w:rPr>
          <w:rFonts w:ascii="Times New Roman" w:hAnsi="Times New Roman" w:cs="Times New Roman" w:eastAsia="Times New Roman" w:hint="default"/>
          <w:spacing w:val="-1"/>
        </w:rPr>
        <w:t>2007</w:t>
      </w:r>
      <w:r>
        <w:rPr>
          <w:spacing w:val="-1"/>
        </w:rPr>
        <w:t>年至</w:t>
      </w:r>
      <w:r>
        <w:rPr>
          <w:rFonts w:ascii="Times New Roman" w:hAnsi="Times New Roman" w:cs="Times New Roman" w:eastAsia="Times New Roman" w:hint="default"/>
          <w:spacing w:val="-1"/>
        </w:rPr>
        <w:t>2009</w:t>
      </w:r>
      <w:r>
        <w:rPr>
          <w:spacing w:val="-1"/>
        </w:rPr>
        <w:t>年，任河南省工业与信息化厅总工程</w:t>
      </w:r>
      <w:r>
        <w:rPr>
          <w:spacing w:val="-85"/>
        </w:rPr>
        <w:t> </w:t>
      </w:r>
      <w:r>
        <w:rPr>
          <w:spacing w:val="-85"/>
        </w:rPr>
      </w:r>
      <w:r>
        <w:rPr>
          <w:spacing w:val="-3"/>
        </w:rPr>
        <w:t>师；</w:t>
      </w:r>
      <w:r>
        <w:rPr>
          <w:rFonts w:ascii="Times New Roman" w:hAnsi="Times New Roman" w:cs="Times New Roman" w:eastAsia="Times New Roman" w:hint="default"/>
          <w:spacing w:val="-3"/>
        </w:rPr>
        <w:t>2009</w:t>
      </w:r>
      <w:r>
        <w:rPr>
          <w:spacing w:val="-3"/>
        </w:rPr>
        <w:t>年至今，任河南省软件协会秘书长，目前还担任新天科技股份有限公司独立董事。</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w:t>
      </w:r>
      <w:r>
        <w:rPr>
          <w:spacing w:val="-3"/>
        </w:rPr>
        <w:t>月起，</w:t>
      </w:r>
      <w:r>
        <w:rPr>
          <w:spacing w:val="-89"/>
        </w:rPr>
        <w:t> </w:t>
      </w:r>
      <w:r>
        <w:rPr/>
        <w:t>担任公司独立董事。</w:t>
      </w:r>
    </w:p>
    <w:p>
      <w:pPr>
        <w:pStyle w:val="BodyText"/>
        <w:spacing w:line="391" w:lineRule="auto" w:before="65"/>
        <w:ind w:left="153" w:right="197" w:firstLine="421"/>
        <w:jc w:val="left"/>
      </w:pPr>
      <w:r>
        <w:rPr>
          <w:spacing w:val="-1"/>
        </w:rPr>
        <w:t>刘汴生先生，男，</w:t>
      </w:r>
      <w:r>
        <w:rPr>
          <w:rFonts w:ascii="Times New Roman" w:hAnsi="Times New Roman" w:cs="Times New Roman" w:eastAsia="Times New Roman" w:hint="default"/>
          <w:spacing w:val="-1"/>
        </w:rPr>
        <w:t>1953</w:t>
      </w:r>
      <w:r>
        <w:rPr>
          <w:spacing w:val="-1"/>
        </w:rPr>
        <w:t>年出生，中南财经政法大学工业经济专业硕士。河南财经政法大学教授，硕士</w:t>
      </w:r>
      <w:r>
        <w:rPr/>
        <w:t> </w:t>
      </w:r>
      <w:r>
        <w:rPr>
          <w:spacing w:val="-2"/>
        </w:rPr>
        <w:t>生导师。曾任河南财经政法大学工商管理学院院长，河南财经政法大学</w:t>
      </w:r>
      <w:r>
        <w:rPr>
          <w:rFonts w:ascii="Times New Roman" w:hAnsi="Times New Roman" w:cs="Times New Roman" w:eastAsia="Times New Roman" w:hint="default"/>
          <w:spacing w:val="-2"/>
        </w:rPr>
        <w:t>MBA</w:t>
      </w:r>
      <w:r>
        <w:rPr>
          <w:spacing w:val="-2"/>
        </w:rPr>
        <w:t>学院院长、工业经济研究所所</w:t>
      </w:r>
      <w:r>
        <w:rPr>
          <w:spacing w:val="-94"/>
        </w:rPr>
        <w:t> </w:t>
      </w:r>
      <w:r>
        <w:rPr>
          <w:spacing w:val="-94"/>
        </w:rPr>
      </w:r>
      <w:r>
        <w:rPr>
          <w:spacing w:val="-1"/>
        </w:rPr>
        <w:t>长，现已退休。现任河南省企业管理咨询协会会长、河南省商业经济学会副会长、河南省企业管理与教育</w:t>
      </w:r>
      <w:r>
        <w:rPr>
          <w:spacing w:val="-82"/>
        </w:rPr>
        <w:t> </w:t>
      </w:r>
      <w:r>
        <w:rPr>
          <w:spacing w:val="-82"/>
        </w:rPr>
      </w:r>
      <w:r>
        <w:rPr>
          <w:spacing w:val="-2"/>
        </w:rPr>
        <w:t>学会常务理事、河南省经济学会常务理事、河南营销协会专家委员，曾获</w:t>
      </w:r>
      <w:r>
        <w:rPr>
          <w:rFonts w:ascii="Times New Roman" w:hAnsi="Times New Roman" w:cs="Times New Roman" w:eastAsia="Times New Roman" w:hint="default"/>
          <w:spacing w:val="-2"/>
        </w:rPr>
        <w:t>“</w:t>
      </w:r>
      <w:r>
        <w:rPr>
          <w:spacing w:val="-2"/>
        </w:rPr>
        <w:t>河南省十大营销策划专家</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河</w:t>
      </w:r>
      <w:r>
        <w:rPr>
          <w:spacing w:val="-102"/>
        </w:rPr>
        <w:t> </w:t>
      </w:r>
      <w:r>
        <w:rPr/>
        <w:t>南省十大管理英才</w:t>
      </w:r>
      <w:r>
        <w:rPr>
          <w:rFonts w:ascii="Times New Roman" w:hAnsi="Times New Roman" w:cs="Times New Roman" w:eastAsia="Times New Roman" w:hint="default"/>
        </w:rPr>
        <w:t>”</w:t>
      </w:r>
      <w:r>
        <w:rPr/>
        <w:t>等称号。目前还担任河南豫能控股股份有限公司、河南银鸽实业投资股份有限公司及 郑州信大捷安信息技术股份有限公司独立董事。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月起，担任公司独立董事。</w:t>
      </w:r>
    </w:p>
    <w:p>
      <w:pPr>
        <w:pStyle w:val="BodyText"/>
        <w:spacing w:line="408" w:lineRule="auto" w:before="30"/>
        <w:ind w:left="575" w:right="102" w:hanging="106"/>
        <w:jc w:val="left"/>
      </w:pPr>
      <w:r>
        <w:rPr/>
        <w:t>（二）监事会成员 </w:t>
      </w:r>
      <w:r>
        <w:rPr>
          <w:spacing w:val="-1"/>
        </w:rPr>
        <w:t>公司第三届监事会任期至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10</w:t>
      </w:r>
      <w:r>
        <w:rPr>
          <w:spacing w:val="-1"/>
        </w:rPr>
        <w:t>日止，公司于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13</w:t>
      </w:r>
      <w:r>
        <w:rPr>
          <w:spacing w:val="-1"/>
        </w:rPr>
        <w:t>日召开</w:t>
      </w:r>
      <w:r>
        <w:rPr>
          <w:rFonts w:ascii="Times New Roman" w:hAnsi="Times New Roman" w:cs="Times New Roman" w:eastAsia="Times New Roman" w:hint="default"/>
          <w:spacing w:val="-1"/>
        </w:rPr>
        <w:t>2017</w:t>
      </w:r>
      <w:r>
        <w:rPr>
          <w:spacing w:val="-1"/>
        </w:rPr>
        <w:t>年第一次临时股东大会选</w:t>
      </w:r>
    </w:p>
    <w:p>
      <w:pPr>
        <w:pStyle w:val="BodyText"/>
        <w:spacing w:line="408" w:lineRule="auto" w:before="14"/>
        <w:ind w:left="575" w:right="274" w:hanging="422"/>
        <w:jc w:val="left"/>
      </w:pPr>
      <w:r>
        <w:rPr/>
        <w:t>举第四届监事会成员，成员具体情况如下： 刘恩臣先生，男，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2</w:t>
      </w:r>
      <w:r>
        <w:rPr/>
        <w:t>月出生，本科学历，高级工程师。</w:t>
      </w:r>
      <w:r>
        <w:rPr>
          <w:rFonts w:ascii="Times New Roman" w:hAnsi="Times New Roman" w:cs="Times New Roman" w:eastAsia="Times New Roman" w:hint="default"/>
        </w:rPr>
        <w:t>1984</w:t>
      </w:r>
      <w:r>
        <w:rPr/>
        <w:t>年毕业于四川大学物理系半导体专</w:t>
      </w:r>
    </w:p>
    <w:p>
      <w:pPr>
        <w:pStyle w:val="BodyText"/>
        <w:spacing w:line="386" w:lineRule="auto" w:before="14"/>
        <w:ind w:right="102"/>
        <w:jc w:val="left"/>
      </w:pPr>
      <w:r>
        <w:rPr/>
        <w:t>业，获学士学位；</w:t>
      </w:r>
      <w:r>
        <w:rPr>
          <w:rFonts w:ascii="Times New Roman" w:hAnsi="Times New Roman" w:cs="Times New Roman" w:eastAsia="Times New Roman" w:hint="default"/>
        </w:rPr>
        <w:t>1991</w:t>
      </w:r>
      <w:r>
        <w:rPr/>
        <w:t>年至</w:t>
      </w:r>
      <w:r>
        <w:rPr>
          <w:spacing w:val="28"/>
        </w:rPr>
        <w:t> </w:t>
      </w:r>
      <w:r>
        <w:rPr>
          <w:rFonts w:ascii="Times New Roman" w:hAnsi="Times New Roman" w:cs="Times New Roman" w:eastAsia="Times New Roman" w:hint="default"/>
        </w:rPr>
        <w:t>1992</w:t>
      </w:r>
      <w:r>
        <w:rPr/>
        <w:t>年，赴美国学习。</w:t>
      </w:r>
      <w:r>
        <w:rPr>
          <w:spacing w:val="28"/>
        </w:rPr>
        <w:t> </w:t>
      </w:r>
      <w:r>
        <w:rPr>
          <w:rFonts w:ascii="Times New Roman" w:hAnsi="Times New Roman" w:cs="Times New Roman" w:eastAsia="Times New Roman" w:hint="default"/>
        </w:rPr>
        <w:t>1984</w:t>
      </w:r>
      <w:r>
        <w:rPr/>
        <w:t>年至</w:t>
      </w:r>
      <w:r>
        <w:rPr>
          <w:rFonts w:ascii="Times New Roman" w:hAnsi="Times New Roman" w:cs="Times New Roman" w:eastAsia="Times New Roman" w:hint="default"/>
        </w:rPr>
        <w:t>1991</w:t>
      </w:r>
      <w:r>
        <w:rPr/>
        <w:t>年，在郑州工学院太阳能研究室工作；</w:t>
      </w:r>
      <w:r>
        <w:rPr>
          <w:spacing w:val="-99"/>
        </w:rPr>
        <w:t> </w:t>
      </w:r>
      <w:r>
        <w:rPr>
          <w:spacing w:val="-99"/>
        </w:rPr>
      </w:r>
      <w:r>
        <w:rPr>
          <w:rFonts w:ascii="Times New Roman" w:hAnsi="Times New Roman" w:cs="Times New Roman" w:eastAsia="Times New Roman" w:hint="default"/>
        </w:rPr>
        <w:t>1992</w:t>
      </w:r>
      <w:r>
        <w:rPr/>
        <w:t>年至</w:t>
      </w:r>
      <w:r>
        <w:rPr>
          <w:rFonts w:ascii="Times New Roman" w:hAnsi="Times New Roman" w:cs="Times New Roman" w:eastAsia="Times New Roman" w:hint="default"/>
        </w:rPr>
        <w:t>1995</w:t>
      </w:r>
      <w:r>
        <w:rPr/>
        <w:t>年，任郑州工业大学太阳能研究室工程师；</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2000</w:t>
      </w:r>
      <w:r>
        <w:rPr/>
        <w:t>年任郑州工学院开普电子技术公司 主任工程师；</w:t>
      </w:r>
      <w:r>
        <w:rPr>
          <w:rFonts w:ascii="Times New Roman" w:hAnsi="Times New Roman" w:cs="Times New Roman" w:eastAsia="Times New Roman" w:hint="default"/>
        </w:rPr>
        <w:t>2000</w:t>
      </w:r>
      <w:r>
        <w:rPr/>
        <w:t>年至今在公司工作，现任公司监事会主席，系公司核心技术人员。</w:t>
      </w:r>
    </w:p>
    <w:p>
      <w:pPr>
        <w:pStyle w:val="BodyText"/>
        <w:spacing w:line="386" w:lineRule="auto" w:before="35"/>
        <w:ind w:left="153" w:right="102" w:firstLine="421"/>
        <w:jc w:val="left"/>
      </w:pPr>
      <w:r>
        <w:rPr>
          <w:spacing w:val="-1"/>
        </w:rPr>
        <w:t>王葆玲女士，女，</w:t>
      </w:r>
      <w:r>
        <w:rPr>
          <w:rFonts w:ascii="Times New Roman" w:hAnsi="Times New Roman" w:cs="Times New Roman" w:eastAsia="Times New Roman" w:hint="default"/>
          <w:spacing w:val="-1"/>
        </w:rPr>
        <w:t>1971</w:t>
      </w:r>
      <w:r>
        <w:rPr>
          <w:spacing w:val="-1"/>
        </w:rPr>
        <w:t>年</w:t>
      </w:r>
      <w:r>
        <w:rPr>
          <w:rFonts w:ascii="Times New Roman" w:hAnsi="Times New Roman" w:cs="Times New Roman" w:eastAsia="Times New Roman" w:hint="default"/>
          <w:spacing w:val="-1"/>
        </w:rPr>
        <w:t>5</w:t>
      </w:r>
      <w:r>
        <w:rPr>
          <w:spacing w:val="-1"/>
        </w:rPr>
        <w:t>月出生，专科学历。</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7</w:t>
      </w:r>
      <w:r>
        <w:rPr>
          <w:spacing w:val="-1"/>
        </w:rPr>
        <w:t>月毕业于河南财经学院会计专业。</w:t>
      </w:r>
      <w:r>
        <w:rPr>
          <w:rFonts w:ascii="Times New Roman" w:hAnsi="Times New Roman" w:cs="Times New Roman" w:eastAsia="Times New Roman" w:hint="default"/>
          <w:spacing w:val="-1"/>
        </w:rPr>
        <w:t>1995</w:t>
      </w:r>
      <w:r>
        <w:rPr>
          <w:spacing w:val="-1"/>
        </w:rPr>
        <w:t>至</w:t>
      </w:r>
      <w:r>
        <w:rPr>
          <w:rFonts w:ascii="Times New Roman" w:hAnsi="Times New Roman" w:cs="Times New Roman" w:eastAsia="Times New Roman" w:hint="default"/>
          <w:spacing w:val="-1"/>
        </w:rPr>
        <w:t>2000 </w:t>
      </w:r>
      <w:r>
        <w:rPr/>
        <w:t>年在郑州工学院开普电子技术公司工作，历任银</w:t>
      </w:r>
      <w:r>
        <w:rPr>
          <w:spacing w:val="-3"/>
        </w:rPr>
        <w:t> </w:t>
      </w:r>
      <w:r>
        <w:rPr/>
        <w:t>行出纳、会计、主管会计。</w:t>
      </w:r>
      <w:r>
        <w:rPr>
          <w:rFonts w:ascii="Times New Roman" w:hAnsi="Times New Roman" w:cs="Times New Roman" w:eastAsia="Times New Roman" w:hint="default"/>
        </w:rPr>
        <w:t>2000</w:t>
      </w:r>
      <w:r>
        <w:rPr/>
        <w:t>年至今在本公司工作， 现任公司监事（职工代表监事）、审计部经理。</w:t>
      </w:r>
    </w:p>
    <w:p>
      <w:pPr>
        <w:pStyle w:val="BodyText"/>
        <w:spacing w:line="386" w:lineRule="auto" w:before="65"/>
        <w:ind w:right="102" w:firstLine="421"/>
        <w:jc w:val="left"/>
      </w:pPr>
      <w:r>
        <w:rPr>
          <w:spacing w:val="-5"/>
        </w:rPr>
        <w:t>张建英女士，女，</w:t>
      </w:r>
      <w:r>
        <w:rPr>
          <w:rFonts w:ascii="Times New Roman" w:hAnsi="Times New Roman" w:cs="Times New Roman" w:eastAsia="Times New Roman" w:hint="default"/>
          <w:spacing w:val="-5"/>
        </w:rPr>
        <w:t>1975</w:t>
      </w:r>
      <w:r>
        <w:rPr>
          <w:spacing w:val="-5"/>
        </w:rPr>
        <w:t>年</w:t>
      </w:r>
      <w:r>
        <w:rPr>
          <w:rFonts w:ascii="Times New Roman" w:hAnsi="Times New Roman" w:cs="Times New Roman" w:eastAsia="Times New Roman" w:hint="default"/>
          <w:spacing w:val="-5"/>
        </w:rPr>
        <w:t>4</w:t>
      </w:r>
      <w:r>
        <w:rPr>
          <w:spacing w:val="-5"/>
        </w:rPr>
        <w:t>月出生，本科学历。</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7</w:t>
      </w:r>
      <w:r>
        <w:rPr>
          <w:spacing w:val="-5"/>
        </w:rPr>
        <w:t>月毕业于中央广播电视大学工商管理专业。</w:t>
      </w:r>
      <w:r>
        <w:rPr>
          <w:rFonts w:ascii="Times New Roman" w:hAnsi="Times New Roman" w:cs="Times New Roman" w:eastAsia="Times New Roman" w:hint="default"/>
          <w:spacing w:val="-5"/>
        </w:rPr>
        <w:t>2000</w:t>
      </w:r>
      <w:r>
        <w:rPr>
          <w:rFonts w:ascii="Times New Roman" w:hAnsi="Times New Roman" w:cs="Times New Roman" w:eastAsia="Times New Roman" w:hint="default"/>
        </w:rPr>
        <w:t> </w:t>
      </w:r>
      <w:r>
        <w:rPr/>
        <w:t>年至今在公司工作，历任生产人员、采购员、采购主管，现任生产制造部经理并担任公司职工代表监事。</w:t>
      </w:r>
    </w:p>
    <w:p>
      <w:pPr>
        <w:pStyle w:val="BodyText"/>
        <w:spacing w:line="408" w:lineRule="auto" w:before="65"/>
        <w:ind w:left="575" w:right="5524" w:hanging="106"/>
        <w:jc w:val="left"/>
      </w:pPr>
      <w:r>
        <w:rPr/>
        <w:t>（三）高级管理人员 公司高级管理人员共</w:t>
      </w:r>
      <w:r>
        <w:rPr>
          <w:rFonts w:ascii="Times New Roman" w:hAnsi="Times New Roman" w:cs="Times New Roman" w:eastAsia="Times New Roman" w:hint="default"/>
        </w:rPr>
        <w:t>9</w:t>
      </w:r>
      <w:r>
        <w:rPr/>
        <w:t>人，具体情况如下：</w:t>
      </w:r>
    </w:p>
    <w:p>
      <w:pPr>
        <w:pStyle w:val="BodyText"/>
        <w:spacing w:line="386" w:lineRule="auto" w:before="14"/>
        <w:ind w:left="575" w:right="274"/>
        <w:jc w:val="left"/>
      </w:pPr>
      <w:r>
        <w:rPr/>
        <w:t>杨维国先生：本公司董事长、总经理，简历详见本节之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 付秋生先生：本公司董事、常务副总经理，简历详见本节之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 尚卫国先生：本公司董事、副总经理，简历详见本节之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 赵利宾先生：本公司董事、副总经理，简历详见本节之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 华梦阳先生，男，</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7</w:t>
      </w:r>
      <w:r>
        <w:rPr/>
        <w:t>月出生，大学学历。</w:t>
      </w:r>
      <w:r>
        <w:rPr>
          <w:rFonts w:ascii="Times New Roman" w:hAnsi="Times New Roman" w:cs="Times New Roman" w:eastAsia="Times New Roman" w:hint="default"/>
        </w:rPr>
        <w:t>1992</w:t>
      </w:r>
      <w:r>
        <w:rPr/>
        <w:t>年毕业于郑州工学院计算机与自动化系。</w:t>
      </w:r>
      <w:r>
        <w:rPr>
          <w:rFonts w:ascii="Times New Roman" w:hAnsi="Times New Roman" w:cs="Times New Roman" w:eastAsia="Times New Roman" w:hint="default"/>
        </w:rPr>
        <w:t>1992</w:t>
      </w:r>
      <w:r>
        <w:rPr/>
        <w:t>年</w:t>
      </w:r>
    </w:p>
    <w:p>
      <w:pPr>
        <w:pStyle w:val="BodyText"/>
        <w:spacing w:line="240" w:lineRule="auto" w:before="35"/>
        <w:ind w:right="102"/>
        <w:jc w:val="left"/>
      </w:pPr>
      <w:r>
        <w:rPr/>
        <w:t>至</w:t>
      </w:r>
      <w:r>
        <w:rPr>
          <w:rFonts w:ascii="Times New Roman" w:hAnsi="Times New Roman" w:cs="Times New Roman" w:eastAsia="Times New Roman" w:hint="default"/>
        </w:rPr>
        <w:t>1995</w:t>
      </w:r>
      <w:r>
        <w:rPr/>
        <w:t>年，任河南天地实业有限公司计算机事业部经理；</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2000</w:t>
      </w:r>
      <w:r>
        <w:rPr/>
        <w:t>年，在郑州工学院开普电子技术公</w:t>
      </w:r>
    </w:p>
    <w:p>
      <w:pPr>
        <w:spacing w:after="0" w:line="240" w:lineRule="auto"/>
        <w:jc w:val="left"/>
        <w:sectPr>
          <w:footerReference w:type="default" r:id="rId32"/>
          <w:pgSz w:w="11910" w:h="16840"/>
          <w:pgMar w:footer="982" w:header="877" w:top="1100" w:bottom="1180" w:left="980" w:right="920"/>
          <w:pgNumType w:start="111"/>
        </w:sectPr>
      </w:pPr>
    </w:p>
    <w:p>
      <w:pPr>
        <w:spacing w:line="240" w:lineRule="auto" w:before="8"/>
        <w:rPr>
          <w:rFonts w:ascii="宋体" w:hAnsi="宋体" w:cs="宋体" w:eastAsia="宋体" w:hint="default"/>
          <w:sz w:val="26"/>
          <w:szCs w:val="26"/>
        </w:rPr>
      </w:pPr>
    </w:p>
    <w:p>
      <w:pPr>
        <w:pStyle w:val="BodyText"/>
        <w:spacing w:line="386" w:lineRule="auto" w:before="35"/>
        <w:ind w:left="153" w:right="133"/>
        <w:jc w:val="left"/>
      </w:pPr>
      <w:r>
        <w:rPr>
          <w:spacing w:val="-1"/>
        </w:rPr>
        <w:t>司工作，历任电脑经营部副经理、经理及市场部经理。</w:t>
      </w:r>
      <w:r>
        <w:rPr>
          <w:rFonts w:ascii="Times New Roman" w:hAnsi="Times New Roman" w:cs="Times New Roman" w:eastAsia="Times New Roman" w:hint="default"/>
          <w:spacing w:val="-1"/>
        </w:rPr>
        <w:t>2000</w:t>
      </w:r>
      <w:r>
        <w:rPr>
          <w:spacing w:val="-1"/>
        </w:rPr>
        <w:t>年进入公司工作，现任公司副总经理、董事会</w:t>
      </w:r>
      <w:r>
        <w:rPr>
          <w:spacing w:val="-84"/>
        </w:rPr>
        <w:t> </w:t>
      </w:r>
      <w:r>
        <w:rPr>
          <w:spacing w:val="-84"/>
        </w:rPr>
      </w:r>
      <w:r>
        <w:rPr/>
        <w:t>秘书。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月参加深圳证券交易所创业板上市公司第三期董事会秘书培训班并取得董事会秘书资格证 书。</w:t>
      </w:r>
    </w:p>
    <w:p>
      <w:pPr>
        <w:pStyle w:val="BodyText"/>
        <w:spacing w:line="393" w:lineRule="auto" w:before="65"/>
        <w:ind w:right="133" w:firstLine="421"/>
        <w:jc w:val="left"/>
      </w:pPr>
      <w:r>
        <w:rPr/>
        <w:t>李玉玲女士，女，</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11</w:t>
      </w:r>
      <w:r>
        <w:rPr/>
        <w:t>月出生，本科学历，高级会计师，注册会计师，注册税务师。</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 </w:t>
      </w:r>
      <w:r>
        <w:rPr>
          <w:spacing w:val="-1"/>
        </w:rPr>
        <w:t>毕业于河南财政税务高等专科学校会计专业；</w:t>
      </w:r>
      <w:r>
        <w:rPr>
          <w:rFonts w:ascii="Times New Roman" w:hAnsi="Times New Roman" w:cs="Times New Roman" w:eastAsia="Times New Roman" w:hint="default"/>
          <w:spacing w:val="-1"/>
        </w:rPr>
        <w:t>1998</w:t>
      </w:r>
      <w:r>
        <w:rPr>
          <w:spacing w:val="-1"/>
        </w:rPr>
        <w:t>年毕业于河南财经学院会计专业，获本科学历。曾担任</w:t>
      </w:r>
      <w:r>
        <w:rPr>
          <w:spacing w:val="-85"/>
        </w:rPr>
        <w:t> </w:t>
      </w:r>
      <w:r>
        <w:rPr>
          <w:spacing w:val="-85"/>
        </w:rPr>
      </w:r>
      <w:r>
        <w:rPr>
          <w:spacing w:val="-1"/>
        </w:rPr>
        <w:t>河南诚和会计师事务所审计部经理、所长助理，河南省注册会计师协会专业委员会委员，河南海联科技实</w:t>
      </w:r>
      <w:r>
        <w:rPr>
          <w:spacing w:val="-83"/>
        </w:rPr>
        <w:t> </w:t>
      </w:r>
      <w:r>
        <w:rPr>
          <w:spacing w:val="-83"/>
        </w:rPr>
      </w:r>
      <w:r>
        <w:rPr/>
        <w:t>业有限公司财务经理、郑州星之旅信息传播服务有限公司财务总监。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月起担任公司财务总监。</w:t>
      </w:r>
    </w:p>
    <w:p>
      <w:pPr>
        <w:pStyle w:val="BodyText"/>
        <w:spacing w:line="386" w:lineRule="auto" w:before="28"/>
        <w:ind w:right="133" w:firstLine="421"/>
        <w:jc w:val="left"/>
      </w:pPr>
      <w:r>
        <w:rPr/>
        <w:t>傅常顺先生，男，</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w:t>
      </w:r>
      <w:r>
        <w:rPr/>
        <w:t>月出生，研究生学历，工程师、计算机信息系统集成高级项目经理、信息 </w:t>
      </w:r>
      <w:r>
        <w:rPr>
          <w:spacing w:val="-5"/>
        </w:rPr>
        <w:t>安全系统高级管理员、网络安全管理工程师。</w:t>
      </w:r>
      <w:r>
        <w:rPr>
          <w:rFonts w:ascii="Times New Roman" w:hAnsi="Times New Roman" w:cs="Times New Roman" w:eastAsia="Times New Roman" w:hint="default"/>
          <w:spacing w:val="-5"/>
        </w:rPr>
        <w:t>1994</w:t>
      </w:r>
      <w:r>
        <w:rPr>
          <w:spacing w:val="-5"/>
        </w:rPr>
        <w:t>年毕业于郑州工学院计算机应用专业，获学士学位；</w:t>
      </w:r>
      <w:r>
        <w:rPr>
          <w:rFonts w:ascii="Times New Roman" w:hAnsi="Times New Roman" w:cs="Times New Roman" w:eastAsia="Times New Roman" w:hint="default"/>
          <w:spacing w:val="-5"/>
        </w:rPr>
        <w:t>2001</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1"/>
        </w:rPr>
        <w:t>年于郑州大学计算机应用技术专业研究生班进修结业；</w:t>
      </w:r>
      <w:r>
        <w:rPr>
          <w:rFonts w:ascii="Times New Roman" w:hAnsi="Times New Roman" w:cs="Times New Roman" w:eastAsia="Times New Roman" w:hint="default"/>
          <w:spacing w:val="-1"/>
        </w:rPr>
        <w:t>2014</w:t>
      </w:r>
      <w:r>
        <w:rPr>
          <w:spacing w:val="-1"/>
        </w:rPr>
        <w:t>年毕业于郑州大学商学院，获高级管理人员工</w:t>
      </w:r>
      <w:r>
        <w:rPr>
          <w:spacing w:val="-83"/>
        </w:rPr>
        <w:t> </w:t>
      </w:r>
      <w:r>
        <w:rPr>
          <w:spacing w:val="-83"/>
        </w:rPr>
      </w:r>
      <w:r>
        <w:rPr>
          <w:spacing w:val="-1"/>
        </w:rPr>
        <w:t>商管理硕士学位。</w:t>
      </w:r>
      <w:r>
        <w:rPr>
          <w:rFonts w:ascii="Times New Roman" w:hAnsi="Times New Roman" w:cs="Times New Roman" w:eastAsia="Times New Roman" w:hint="default"/>
          <w:spacing w:val="-1"/>
        </w:rPr>
        <w:t>1994</w:t>
      </w:r>
      <w:r>
        <w:rPr>
          <w:spacing w:val="-1"/>
        </w:rPr>
        <w:t>年至</w:t>
      </w:r>
      <w:r>
        <w:rPr>
          <w:rFonts w:ascii="Times New Roman" w:hAnsi="Times New Roman" w:cs="Times New Roman" w:eastAsia="Times New Roman" w:hint="default"/>
          <w:spacing w:val="-1"/>
        </w:rPr>
        <w:t>2000</w:t>
      </w:r>
      <w:r>
        <w:rPr>
          <w:spacing w:val="-1"/>
        </w:rPr>
        <w:t>年在郑州工学院开普电子技术公司工作，历任工程部经理、深圳办事处经</w:t>
      </w:r>
      <w:r>
        <w:rPr>
          <w:spacing w:val="-84"/>
        </w:rPr>
        <w:t> </w:t>
      </w:r>
      <w:r>
        <w:rPr>
          <w:spacing w:val="-84"/>
        </w:rPr>
      </w:r>
      <w:r>
        <w:rPr>
          <w:spacing w:val="-1"/>
        </w:rPr>
        <w:t>理、软件开发部经理；</w:t>
      </w:r>
      <w:r>
        <w:rPr>
          <w:rFonts w:ascii="Times New Roman" w:hAnsi="Times New Roman" w:cs="Times New Roman" w:eastAsia="Times New Roman" w:hint="default"/>
          <w:spacing w:val="-1"/>
        </w:rPr>
        <w:t>2000</w:t>
      </w:r>
      <w:r>
        <w:rPr>
          <w:spacing w:val="-1"/>
        </w:rPr>
        <w:t>年进入公司工作，历任公司技术总监、技术研究中心总经理、公司质控中心总</w:t>
      </w:r>
      <w:r>
        <w:rPr>
          <w:spacing w:val="-84"/>
        </w:rPr>
        <w:t> </w:t>
      </w:r>
      <w:r>
        <w:rPr>
          <w:spacing w:val="-84"/>
        </w:rPr>
      </w:r>
      <w:r>
        <w:rPr/>
        <w:t>经理、生产中心总经理，现任公司副总经理，系公司核心技术人员。</w:t>
      </w:r>
    </w:p>
    <w:p>
      <w:pPr>
        <w:pStyle w:val="BodyText"/>
        <w:spacing w:line="386" w:lineRule="auto" w:before="65"/>
        <w:ind w:left="153" w:right="151" w:firstLine="421"/>
        <w:jc w:val="both"/>
      </w:pPr>
      <w:r>
        <w:rPr>
          <w:spacing w:val="-1"/>
        </w:rPr>
        <w:t>杜建平先生，男，</w:t>
      </w:r>
      <w:r>
        <w:rPr>
          <w:rFonts w:ascii="Times New Roman" w:hAnsi="Times New Roman" w:cs="Times New Roman" w:eastAsia="Times New Roman" w:hint="default"/>
          <w:spacing w:val="-1"/>
        </w:rPr>
        <w:t>1972</w:t>
      </w:r>
      <w:r>
        <w:rPr>
          <w:spacing w:val="-1"/>
        </w:rPr>
        <w:t>年</w:t>
      </w:r>
      <w:r>
        <w:rPr>
          <w:rFonts w:ascii="Times New Roman" w:hAnsi="Times New Roman" w:cs="Times New Roman" w:eastAsia="Times New Roman" w:hint="default"/>
          <w:spacing w:val="-1"/>
        </w:rPr>
        <w:t>10</w:t>
      </w:r>
      <w:r>
        <w:rPr>
          <w:spacing w:val="-1"/>
        </w:rPr>
        <w:t>月生，本科学历，计算机信息系统集成高级项目经理。</w:t>
      </w:r>
      <w:r>
        <w:rPr>
          <w:rFonts w:ascii="Times New Roman" w:hAnsi="Times New Roman" w:cs="Times New Roman" w:eastAsia="Times New Roman" w:hint="default"/>
          <w:spacing w:val="-1"/>
        </w:rPr>
        <w:t>1995</w:t>
      </w:r>
      <w:r>
        <w:rPr>
          <w:spacing w:val="-1"/>
        </w:rPr>
        <w:t>年毕业于郑州</w:t>
      </w:r>
      <w:r>
        <w:rPr/>
        <w:t> </w:t>
      </w:r>
      <w:r>
        <w:rPr>
          <w:spacing w:val="-1"/>
        </w:rPr>
        <w:t>工学院计算机与自动化系，获学士学位。</w:t>
      </w:r>
      <w:r>
        <w:rPr>
          <w:rFonts w:ascii="Times New Roman" w:hAnsi="Times New Roman" w:cs="Times New Roman" w:eastAsia="Times New Roman" w:hint="default"/>
          <w:spacing w:val="-1"/>
        </w:rPr>
        <w:t>1995</w:t>
      </w:r>
      <w:r>
        <w:rPr>
          <w:spacing w:val="-1"/>
        </w:rPr>
        <w:t>年至</w:t>
      </w:r>
      <w:r>
        <w:rPr>
          <w:rFonts w:ascii="Times New Roman" w:hAnsi="Times New Roman" w:cs="Times New Roman" w:eastAsia="Times New Roman" w:hint="default"/>
          <w:spacing w:val="-1"/>
        </w:rPr>
        <w:t>2000</w:t>
      </w:r>
      <w:r>
        <w:rPr>
          <w:spacing w:val="-1"/>
        </w:rPr>
        <w:t>年在郑州工学院开普电子技术公司工作；</w:t>
      </w:r>
      <w:r>
        <w:rPr>
          <w:rFonts w:ascii="Times New Roman" w:hAnsi="Times New Roman" w:cs="Times New Roman" w:eastAsia="Times New Roman" w:hint="default"/>
          <w:spacing w:val="-1"/>
        </w:rPr>
        <w:t>2000</w:t>
      </w:r>
      <w:r>
        <w:rPr>
          <w:spacing w:val="-1"/>
        </w:rPr>
        <w:t>年进</w:t>
      </w:r>
      <w:r>
        <w:rPr>
          <w:spacing w:val="-87"/>
        </w:rPr>
        <w:t> </w:t>
      </w:r>
      <w:r>
        <w:rPr/>
        <w:t>入公司工作，历任公司营销中心副总经理、营销中心总经理，现任公司副总经理。</w:t>
      </w:r>
    </w:p>
    <w:p>
      <w:pPr>
        <w:pStyle w:val="BodyText"/>
        <w:spacing w:line="386" w:lineRule="auto" w:before="106"/>
        <w:ind w:left="153" w:right="146" w:firstLine="435"/>
        <w:jc w:val="both"/>
      </w:pPr>
      <w:r>
        <w:rPr/>
        <w:t>刘永春先生，男，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8</w:t>
      </w:r>
      <w:r>
        <w:rPr/>
        <w:t>月生，本科学历。</w:t>
      </w:r>
      <w:r>
        <w:rPr>
          <w:rFonts w:ascii="Times New Roman" w:hAnsi="Times New Roman" w:cs="Times New Roman" w:eastAsia="Times New Roman" w:hint="default"/>
        </w:rPr>
        <w:t>1992</w:t>
      </w:r>
      <w:r>
        <w:rPr/>
        <w:t>年毕业于北京航空航天大学计算机辅助设计和辅助 制造专业，</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月任沈阳飞机制造公司工艺员；</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12</w:t>
      </w:r>
      <w:r>
        <w:rPr/>
        <w:t>月任香港文思顿实</w:t>
      </w:r>
      <w:r>
        <w:rPr>
          <w:spacing w:val="-38"/>
        </w:rPr>
        <w:t> </w:t>
      </w:r>
      <w:r>
        <w:rPr>
          <w:spacing w:val="-38"/>
        </w:rPr>
      </w:r>
      <w:r>
        <w:rPr/>
        <w:t>业有限公司销售员；</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7</w:t>
      </w:r>
      <w:r>
        <w:rPr/>
        <w:t>月任北京泰立电子技术有限公司市场部经理；</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1997</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年</w:t>
      </w:r>
      <w:r>
        <w:rPr>
          <w:rFonts w:ascii="Times New Roman" w:hAnsi="Times New Roman" w:cs="Times New Roman" w:eastAsia="Times New Roman" w:hint="default"/>
        </w:rPr>
        <w:t>5</w:t>
      </w:r>
      <w:r>
        <w:rPr/>
        <w:t>月任北京斯维格</w:t>
      </w:r>
      <w:r>
        <w:rPr>
          <w:rFonts w:ascii="Times New Roman" w:hAnsi="Times New Roman" w:cs="Times New Roman" w:eastAsia="Times New Roman" w:hint="default"/>
        </w:rPr>
        <w:t>-</w:t>
      </w:r>
      <w:r>
        <w:rPr/>
        <w:t>泰德公司副总经理；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月任北京银兰科技有限公司副总经理；</w:t>
      </w:r>
      <w:r>
        <w:rPr>
          <w:rFonts w:ascii="Times New Roman" w:hAnsi="Times New Roman" w:cs="Times New Roman" w:eastAsia="Times New Roman" w:hint="default"/>
        </w:rPr>
        <w:t>1998</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月任北京迪科创新科技有限公司副总经理；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月创立北京迪科远望科技股份有限公</w:t>
      </w:r>
      <w:r>
        <w:rPr>
          <w:spacing w:val="-38"/>
        </w:rPr>
        <w:t> </w:t>
      </w:r>
      <w:r>
        <w:rPr>
          <w:spacing w:val="-38"/>
        </w:rPr>
      </w:r>
      <w:r>
        <w:rPr/>
        <w:t>司（现已更名为北京迪科远望科技有限公司），</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月担任董事长。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月至今，任</w:t>
      </w:r>
      <w:r>
        <w:rPr>
          <w:spacing w:val="-41"/>
        </w:rPr>
        <w:t> </w:t>
      </w:r>
      <w:r>
        <w:rPr>
          <w:spacing w:val="-41"/>
        </w:rPr>
      </w:r>
      <w:r>
        <w:rPr/>
        <w:t>北京迪科远望科技有限公司副董事长。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月起任公司副总经理。</w:t>
      </w:r>
    </w:p>
    <w:p>
      <w:pPr>
        <w:spacing w:line="240" w:lineRule="auto" w:before="0"/>
        <w:rPr>
          <w:rFonts w:ascii="宋体" w:hAnsi="宋体" w:cs="宋体" w:eastAsia="宋体" w:hint="default"/>
          <w:sz w:val="17"/>
          <w:szCs w:val="17"/>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4" w:right="133" w:firstLine="0"/>
        <w:jc w:val="left"/>
        <w:rPr>
          <w:rFonts w:ascii="宋体" w:hAnsi="宋体" w:cs="宋体" w:eastAsia="宋体" w:hint="default"/>
          <w:sz w:val="18"/>
          <w:szCs w:val="18"/>
        </w:rPr>
      </w:pPr>
      <w:r>
        <w:rPr/>
        <w:pict>
          <v:shape style="position:absolute;margin-left:225.359711pt;margin-top:55.332314pt;width:103.8pt;height:35.25pt;mso-position-horizontal-relative:page;mso-position-vertical-relative:paragraph;z-index:-1221832" type="#_x0000_t202" filled="false" stroked="false">
            <v:textbox inset="0,0,0,0">
              <w:txbxContent>
                <w:p>
                  <w:pPr>
                    <w:spacing w:line="240" w:lineRule="auto" w:before="11"/>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（有限合伙）</w:t>
                  </w:r>
                </w:p>
              </w:txbxContent>
            </v:textbox>
            <w10:wrap type="none"/>
          </v:shape>
        </w:pict>
      </w:r>
      <w:r>
        <w:rPr/>
        <w:pict>
          <v:group style="position:absolute;margin-left:276.480011pt;margin-top:55.332314pt;width:52.7pt;height:35.25pt;mso-position-horizontal-relative:page;mso-position-vertical-relative:paragraph;z-index:-1221808" coordorigin="5530,1107" coordsize="1054,705">
            <v:group style="position:absolute;left:5530;top:1107;width:1054;height:705" coordorigin="5530,1107" coordsize="1054,705">
              <v:shape style="position:absolute;left:5530;top:1107;width:1054;height:705" coordorigin="5530,1107" coordsize="1054,705" path="m5530,1811l6583,1811,6583,1107,5530,1107,5530,1811xe" filled="true" fillcolor="#ffffff" stroked="false">
                <v:path arrowok="t"/>
                <v:fill type="solid"/>
              </v:shape>
            </v:group>
            <v:group style="position:absolute;left:5552;top:1263;width:1008;height:393" coordorigin="5552,1263" coordsize="1008,393">
              <v:shape style="position:absolute;left:5552;top:1263;width:1008;height:393" coordorigin="5552,1263" coordsize="1008,393" path="m5552,1655l6560,1655,6560,1263,5552,1263,5552,1655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郑州佳辰企业管理咨询中心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普通合伙人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shape style="position:absolute;margin-left:225.359711pt;margin-top:643.5pt;width:103.8pt;height:35.25pt;mso-position-horizontal-relative:page;mso-position-vertical-relative:page;z-index:-1221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（有限合伙）</w:t>
                  </w:r>
                </w:p>
              </w:txbxContent>
            </v:textbox>
            <w10:wrap type="none"/>
          </v:shape>
        </w:pict>
      </w:r>
      <w:r>
        <w:rPr/>
        <w:pict>
          <v:group style="position:absolute;margin-left:276.480011pt;margin-top:643.5pt;width:52.7pt;height:35.25pt;mso-position-horizontal-relative:page;mso-position-vertical-relative:page;z-index:-1221760" coordorigin="5530,12870" coordsize="1054,705">
            <v:group style="position:absolute;left:5530;top:12870;width:1054;height:705" coordorigin="5530,12870" coordsize="1054,705">
              <v:shape style="position:absolute;left:5530;top:12870;width:1054;height:705" coordorigin="5530,12870" coordsize="1054,705" path="m5530,13574l6583,13574,6583,12870,5530,12870,5530,13574xe" filled="true" fillcolor="#ffffff" stroked="false">
                <v:path arrowok="t"/>
                <v:fill type="solid"/>
              </v:shape>
            </v:group>
            <v:group style="position:absolute;left:5552;top:13026;width:1008;height:393" coordorigin="5552,13026" coordsize="1008,393">
              <v:shape style="position:absolute;left:5552;top:13026;width:1008;height:393" coordorigin="5552,13026" coordsize="1008,393" path="m5552,13418l6560,13418,6560,13026,5552,13026,5552,1341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漫时尚品（北京）电子商务有限公司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凯里智慧城市通卡管理有限公司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北京新洞察信息服务有限责任公司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河南佳弘信诚企业管理咨询中心（有限 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普通合伙人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凯里智慧城市通卡管理有限公司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司志刚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郑州市政府第二届专家委员会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司志刚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郑州市信息化促进会专家委员会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北京乐智科技有限公司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成都兰途网络科技有限公司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北京希嘉创智教育科技有限公司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河南华夏海纳创业投资集团有限公司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河南瑞弘企业管理咨询中心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普通合伙人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刘永春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王玉辉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王玉辉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中国经济法学会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张英瑶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河南省软件协会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毕会静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中审华会计师事务所（特殊普通合伙） 河南分所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毕会静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好想你枣业股份有限公司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刘汴生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河南豫能控股股份有限公司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刘汴生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河南银鸽实业投资股份有限公司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刘汴生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郑州信大捷安信息技术股份有限公司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6"/>
        <w:ind w:left="153"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2"/>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102"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2"/>
          <w:szCs w:val="12"/>
        </w:rPr>
      </w:pPr>
    </w:p>
    <w:p>
      <w:pPr>
        <w:pStyle w:val="BodyText"/>
        <w:spacing w:line="240" w:lineRule="auto" w:before="0"/>
        <w:ind w:left="577" w:right="102"/>
        <w:jc w:val="left"/>
      </w:pPr>
      <w:r>
        <w:rPr>
          <w:rFonts w:ascii="Times New Roman" w:hAnsi="Times New Roman" w:cs="Times New Roman" w:eastAsia="Times New Roman" w:hint="default"/>
        </w:rPr>
        <w:t>1</w:t>
      </w:r>
      <w:r>
        <w:rPr/>
        <w:t>、董事、监事、高级管理人员报酬的决策程序</w:t>
      </w:r>
    </w:p>
    <w:p>
      <w:pPr>
        <w:spacing w:line="240" w:lineRule="auto" w:before="9"/>
        <w:rPr>
          <w:rFonts w:ascii="宋体" w:hAnsi="宋体" w:cs="宋体" w:eastAsia="宋体" w:hint="default"/>
          <w:sz w:val="16"/>
          <w:szCs w:val="16"/>
        </w:rPr>
      </w:pPr>
    </w:p>
    <w:p>
      <w:pPr>
        <w:pStyle w:val="BodyText"/>
        <w:spacing w:line="400" w:lineRule="auto" w:before="0"/>
        <w:ind w:right="102" w:firstLine="423"/>
        <w:jc w:val="left"/>
      </w:pPr>
      <w:r>
        <w:rPr/>
        <w:t>（</w:t>
      </w:r>
      <w:r>
        <w:rPr>
          <w:rFonts w:ascii="Times New Roman" w:hAnsi="Times New Roman" w:cs="Times New Roman" w:eastAsia="Times New Roman" w:hint="default"/>
        </w:rPr>
        <w:t>1</w:t>
      </w:r>
      <w:r>
        <w:rPr/>
        <w:t>）根据《郑州新开普电子股份有限公司董事、监事薪酬制度》、《郑州新开普电子股份有限公司 </w:t>
      </w:r>
      <w:r>
        <w:rPr>
          <w:spacing w:val="-1"/>
        </w:rPr>
        <w:t>高级管理人员薪酬制度》。董事报酬经董事会薪酬与考核委员会审核、董事会审议通过后提交股东大会审</w:t>
      </w:r>
      <w:r>
        <w:rPr>
          <w:spacing w:val="-83"/>
        </w:rPr>
        <w:t> </w:t>
      </w:r>
      <w:r>
        <w:rPr>
          <w:spacing w:val="-83"/>
        </w:rPr>
      </w:r>
      <w:r>
        <w:rPr>
          <w:spacing w:val="-1"/>
        </w:rPr>
        <w:t>议，监事报酬经监事会审议通过后提交股东大会审议，高级管理人员报酬经董事会薪酬与考核委员会审核</w:t>
      </w:r>
      <w:r>
        <w:rPr>
          <w:spacing w:val="-81"/>
        </w:rPr>
        <w:t> </w:t>
      </w:r>
      <w:r>
        <w:rPr>
          <w:spacing w:val="-81"/>
        </w:rPr>
      </w:r>
      <w:r>
        <w:rPr/>
        <w:t>通过后提交董事会审议；</w:t>
      </w:r>
    </w:p>
    <w:p>
      <w:pPr>
        <w:pStyle w:val="BodyText"/>
        <w:spacing w:line="403" w:lineRule="auto" w:before="92"/>
        <w:ind w:right="104" w:firstLine="423"/>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w:t>
      </w:r>
      <w:r>
        <w:rPr/>
        <w:t>7年4月20日，公司第四次董事会第二次会议审议通过了《关于审议新开普电子股份有限公司 2017年度董事薪酬政策的议案》、《关于审议新开普电子股份有限公司2017年度高级管理人员薪酬政策的 议案》，公司第四次监事会第二次会议审议通过了《关于审议新开普电子股份有限公司2017年度监事薪酬 政策的议案》；2017年5月12日，公司2016年度股东大会审议通过了《关于审议新开普电子股份有限公司</w:t>
      </w:r>
      <w:r>
        <w:rPr>
          <w:spacing w:val="-36"/>
        </w:rPr>
        <w:t> </w:t>
      </w:r>
      <w:r>
        <w:rPr>
          <w:spacing w:val="-36"/>
        </w:rPr>
      </w:r>
      <w:r>
        <w:rPr/>
        <w:t>2017年度董事薪酬政策的议案》、《关于审议新开普电子股份有限公司2017年度监事薪酬政策的议案》。</w:t>
      </w:r>
    </w:p>
    <w:p>
      <w:pPr>
        <w:pStyle w:val="BodyText"/>
        <w:spacing w:line="240" w:lineRule="auto" w:before="91"/>
        <w:ind w:left="577" w:right="102"/>
        <w:jc w:val="left"/>
      </w:pPr>
      <w:r>
        <w:rPr>
          <w:rFonts w:ascii="Times New Roman" w:hAnsi="Times New Roman" w:cs="Times New Roman" w:eastAsia="Times New Roman" w:hint="default"/>
        </w:rPr>
        <w:t>2</w:t>
      </w:r>
      <w:r>
        <w:rPr/>
        <w:t>、董事、监事、高级管理人员报酬确定依据</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10" w:lineRule="auto" w:before="35"/>
        <w:ind w:right="150" w:firstLine="423"/>
        <w:jc w:val="both"/>
      </w:pPr>
      <w:r>
        <w:rPr>
          <w:spacing w:val="-1"/>
        </w:rPr>
        <w:t>董事、监事和高级管理人员的报酬按照《新开普电子股份有限公司章程》、《新开普电子股份有限公</w:t>
      </w:r>
      <w:r>
        <w:rPr/>
        <w:t> </w:t>
      </w:r>
      <w:r>
        <w:rPr>
          <w:spacing w:val="-1"/>
        </w:rPr>
        <w:t>司董事、监事薪酬制度》、《新开普电子股份有限公司高级管理人员薪酬制度》等规定，结合其职位、责</w:t>
      </w:r>
      <w:r>
        <w:rPr>
          <w:spacing w:val="-85"/>
        </w:rPr>
        <w:t> </w:t>
      </w:r>
      <w:r>
        <w:rPr>
          <w:spacing w:val="-85"/>
        </w:rPr>
      </w:r>
      <w:r>
        <w:rPr/>
        <w:t>任、能力、绩效考核情况、市场薪资行等因素确定并发放。</w:t>
      </w:r>
    </w:p>
    <w:p>
      <w:pPr>
        <w:pStyle w:val="BodyText"/>
        <w:spacing w:line="420" w:lineRule="auto" w:before="83"/>
        <w:ind w:left="577" w:right="2837" w:hanging="1"/>
        <w:jc w:val="left"/>
      </w:pPr>
      <w:r>
        <w:rPr>
          <w:rFonts w:ascii="Times New Roman" w:hAnsi="Times New Roman" w:cs="Times New Roman" w:eastAsia="Times New Roman" w:hint="default"/>
        </w:rPr>
        <w:t>3</w:t>
      </w:r>
      <w:r>
        <w:rPr/>
        <w:t>、董事、监事和高级管理人员报酬的实际支付情况 董事、监事和高级管理人员的薪酬均已按照确定的薪酬标准全额支付。</w:t>
      </w:r>
    </w:p>
    <w:p>
      <w:pPr>
        <w:spacing w:line="240" w:lineRule="auto" w:before="3"/>
        <w:rPr>
          <w:rFonts w:ascii="宋体" w:hAnsi="宋体" w:cs="宋体" w:eastAsia="宋体" w:hint="default"/>
          <w:sz w:val="25"/>
          <w:szCs w:val="25"/>
        </w:rPr>
      </w:pPr>
    </w:p>
    <w:p>
      <w:pPr>
        <w:spacing w:before="44"/>
        <w:ind w:left="153" w:right="13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付秋生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常务副总经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尚卫国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赵利宾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司志刚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刘汴生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张英瑶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毕会静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刘恩臣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王葆玲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华梦阳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董事会秘书</w:t>
            </w:r>
            <w:r>
              <w:rPr>
                <w:rFonts w:ascii="Times New Roman" w:hAnsi="Times New Roman" w:cs="Times New Roman" w:eastAsia="Times New Roman" w:hint="default"/>
                <w:sz w:val="18"/>
                <w:szCs w:val="18"/>
              </w:rPr>
              <w:t>,</w:t>
            </w:r>
            <w:r>
              <w:rPr>
                <w:rFonts w:ascii="宋体" w:hAnsi="宋体" w:cs="宋体" w:eastAsia="宋体" w:hint="default"/>
                <w:sz w:val="18"/>
                <w:szCs w:val="18"/>
              </w:rPr>
              <w:t>副总</w:t>
            </w:r>
            <w:r>
              <w:rPr>
                <w:rFonts w:ascii="宋体" w:hAnsi="宋体" w:cs="宋体" w:eastAsia="宋体" w:hint="default"/>
                <w:spacing w:val="-2"/>
                <w:sz w:val="18"/>
                <w:szCs w:val="18"/>
              </w:rPr>
              <w:t> </w:t>
            </w:r>
            <w:r>
              <w:rPr>
                <w:rFonts w:ascii="宋体" w:hAnsi="宋体" w:cs="宋体" w:eastAsia="宋体" w:hint="default"/>
                <w:sz w:val="18"/>
                <w:szCs w:val="18"/>
              </w:rPr>
              <w:t>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傅常顺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杜建平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314.67</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133"/>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2,039</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2,039</w:t>
            </w:r>
          </w:p>
        </w:tc>
      </w:tr>
    </w:tbl>
    <w:p>
      <w:pPr>
        <w:spacing w:line="240" w:lineRule="auto" w:before="2"/>
        <w:rPr>
          <w:rFonts w:ascii="宋体" w:hAnsi="宋体" w:cs="宋体" w:eastAsia="宋体" w:hint="default"/>
          <w:b/>
          <w:bCs/>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133"/>
        <w:jc w:val="left"/>
      </w:pPr>
      <w:r>
        <w:rPr/>
        <w:t>公司的薪酬政策设计符合以下三个原则：</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spacing w:val="-3"/>
        </w:rPr>
        <w:t>（</w:t>
      </w:r>
      <w:r>
        <w:rPr>
          <w:rFonts w:ascii="Times New Roman" w:hAnsi="Times New Roman" w:cs="Times New Roman" w:eastAsia="Times New Roman" w:hint="default"/>
          <w:spacing w:val="-3"/>
        </w:rPr>
        <w:t>1</w:t>
      </w:r>
      <w:r>
        <w:rPr>
          <w:spacing w:val="-3"/>
        </w:rPr>
        <w:t>）外在竞争性：公司员工的收入水平依据战略要求和市场环境，具有竞争性和稳定性的薪酬水准。</w:t>
      </w:r>
    </w:p>
    <w:p>
      <w:pPr>
        <w:pStyle w:val="BodyText"/>
        <w:spacing w:line="240" w:lineRule="auto" w:before="177"/>
        <w:ind w:left="574" w:right="133"/>
        <w:jc w:val="left"/>
      </w:pPr>
      <w:r>
        <w:rPr/>
        <w:t>（</w:t>
      </w:r>
      <w:r>
        <w:rPr>
          <w:rFonts w:ascii="Times New Roman" w:hAnsi="Times New Roman" w:cs="Times New Roman" w:eastAsia="Times New Roman" w:hint="default"/>
        </w:rPr>
        <w:t>2</w:t>
      </w:r>
      <w:r>
        <w:rPr/>
        <w:t>）内在公平性：在公司内部薪酬收入高低相对公平。</w:t>
      </w:r>
    </w:p>
    <w:p>
      <w:pPr>
        <w:pStyle w:val="BodyText"/>
        <w:spacing w:line="386" w:lineRule="auto" w:before="177"/>
        <w:ind w:left="574" w:right="2736" w:hanging="1"/>
        <w:jc w:val="left"/>
      </w:pPr>
      <w:r>
        <w:rPr/>
        <w:t>（</w:t>
      </w:r>
      <w:r>
        <w:rPr>
          <w:rFonts w:ascii="Times New Roman" w:hAnsi="Times New Roman" w:cs="Times New Roman" w:eastAsia="Times New Roman" w:hint="default"/>
        </w:rPr>
        <w:t>3</w:t>
      </w:r>
      <w:r>
        <w:rPr/>
        <w:t>）战略文化特性：结合企业发展战略实时优化调整公司的薪酬政策。 基于以上原则设计的薪酬结构包括：</w:t>
      </w:r>
    </w:p>
    <w:p>
      <w:pPr>
        <w:pStyle w:val="BodyText"/>
        <w:spacing w:line="386" w:lineRule="auto" w:before="65"/>
        <w:ind w:left="574" w:right="2630" w:hanging="1"/>
        <w:jc w:val="left"/>
      </w:pPr>
      <w:r>
        <w:rPr/>
        <w:t>（</w:t>
      </w:r>
      <w:r>
        <w:rPr>
          <w:rFonts w:ascii="Times New Roman" w:hAnsi="Times New Roman" w:cs="Times New Roman" w:eastAsia="Times New Roman" w:hint="default"/>
        </w:rPr>
        <w:t>1</w:t>
      </w:r>
      <w:r>
        <w:rPr/>
        <w:t>）固定薪酬和绩效薪酬： 固定薪酬：公司根据岗位价值、员工技能和资历，给予员工的固定收入；</w:t>
      </w:r>
    </w:p>
    <w:p>
      <w:pPr>
        <w:spacing w:after="0" w:line="386"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102" w:firstLine="420"/>
        <w:jc w:val="left"/>
      </w:pPr>
      <w:r>
        <w:rPr>
          <w:spacing w:val="-1"/>
        </w:rPr>
        <w:t>绩效薪酬：员工完成或者超额完成本岗位考核周期内的任务指标，依据对应的绩效考核激励方案，公</w:t>
      </w:r>
      <w:r>
        <w:rPr/>
        <w:t> 司予以核算发放的绩效奖励。</w:t>
      </w:r>
    </w:p>
    <w:p>
      <w:pPr>
        <w:pStyle w:val="BodyText"/>
        <w:spacing w:line="386" w:lineRule="auto"/>
        <w:ind w:left="574" w:right="102" w:hanging="1"/>
        <w:jc w:val="left"/>
      </w:pPr>
      <w:r>
        <w:rPr/>
        <w:t>（</w:t>
      </w:r>
      <w:r>
        <w:rPr>
          <w:rFonts w:ascii="Times New Roman" w:hAnsi="Times New Roman" w:cs="Times New Roman" w:eastAsia="Times New Roman" w:hint="default"/>
        </w:rPr>
        <w:t>2</w:t>
      </w:r>
      <w:r>
        <w:rPr/>
        <w:t>）短期激励和长期激励： </w:t>
      </w:r>
      <w:r>
        <w:rPr>
          <w:spacing w:val="-1"/>
        </w:rPr>
        <w:t>短期激励：基于项目阶段性成果、生产阶段性成果等设立的过程激励，公司实时核算、实时发放的激</w:t>
      </w:r>
    </w:p>
    <w:p>
      <w:pPr>
        <w:pStyle w:val="BodyText"/>
        <w:spacing w:line="240" w:lineRule="auto" w:before="65"/>
        <w:ind w:right="102"/>
        <w:jc w:val="left"/>
      </w:pPr>
      <w:r>
        <w:rPr/>
        <w:t>励；</w:t>
      </w:r>
    </w:p>
    <w:p>
      <w:pPr>
        <w:spacing w:line="240" w:lineRule="auto" w:before="10"/>
        <w:rPr>
          <w:rFonts w:ascii="宋体" w:hAnsi="宋体" w:cs="宋体" w:eastAsia="宋体" w:hint="default"/>
          <w:sz w:val="14"/>
          <w:szCs w:val="14"/>
        </w:rPr>
      </w:pPr>
    </w:p>
    <w:p>
      <w:pPr>
        <w:pStyle w:val="BodyText"/>
        <w:spacing w:line="408" w:lineRule="auto" w:before="0"/>
        <w:ind w:right="102" w:firstLine="420"/>
        <w:jc w:val="left"/>
      </w:pPr>
      <w:r>
        <w:rPr>
          <w:spacing w:val="-1"/>
        </w:rPr>
        <w:t>长期激励：认同公司文化，坚决跟随公司战略发展，愿意为之奋斗，愿意和公司成为命运共同体的优</w:t>
      </w:r>
      <w:r>
        <w:rPr/>
        <w:t> 秀员工，公司为其提供更大的发展空间，给予股票期权的激励。</w:t>
      </w:r>
    </w:p>
    <w:p>
      <w:pPr>
        <w:pStyle w:val="BodyText"/>
        <w:spacing w:line="386" w:lineRule="auto"/>
        <w:ind w:left="574" w:right="102" w:hanging="1"/>
        <w:jc w:val="left"/>
      </w:pPr>
      <w:r>
        <w:rPr/>
        <w:t>（</w:t>
      </w:r>
      <w:r>
        <w:rPr>
          <w:rFonts w:ascii="Times New Roman" w:hAnsi="Times New Roman" w:cs="Times New Roman" w:eastAsia="Times New Roman" w:hint="default"/>
        </w:rPr>
        <w:t>3</w:t>
      </w:r>
      <w:r>
        <w:rPr/>
        <w:t>）非经济薪酬和经济薪酬： </w:t>
      </w:r>
      <w:r>
        <w:rPr>
          <w:spacing w:val="-1"/>
        </w:rPr>
        <w:t>非经济薪酬：公司为员工提供了良好的办公环境、职级发展通道、培训、各种奖励等，以满足员工的</w:t>
      </w:r>
    </w:p>
    <w:p>
      <w:pPr>
        <w:pStyle w:val="BodyText"/>
        <w:spacing w:line="408" w:lineRule="auto" w:before="65"/>
        <w:ind w:left="574" w:right="102" w:hanging="420"/>
        <w:jc w:val="left"/>
      </w:pPr>
      <w:r>
        <w:rPr/>
        <w:t>精神需要，都属于非经济薪酬； </w:t>
      </w:r>
      <w:r>
        <w:rPr>
          <w:spacing w:val="-1"/>
        </w:rPr>
        <w:t>经济薪酬：公司给予员工的固定薪酬、绩效薪酬、短期激励、长期激励、五险一金福利、体检、岗位</w:t>
      </w:r>
    </w:p>
    <w:p>
      <w:pPr>
        <w:pStyle w:val="BodyText"/>
        <w:spacing w:line="420" w:lineRule="auto"/>
        <w:ind w:right="102"/>
        <w:jc w:val="left"/>
      </w:pPr>
      <w:r>
        <w:rPr/>
        <w:t>津贴、活动经费等，都属于经济薪酬。 </w:t>
      </w:r>
      <w:r>
        <w:rPr>
          <w:spacing w:val="-1"/>
        </w:rPr>
        <w:t>公司会针对不同的岗位类别设计有差异的薪酬结构，同时也会根据市场的变化、战略的发展，持续的调整</w:t>
      </w:r>
      <w:r>
        <w:rPr>
          <w:spacing w:val="-83"/>
        </w:rPr>
        <w:t> </w:t>
      </w:r>
      <w:r>
        <w:rPr>
          <w:spacing w:val="-83"/>
        </w:rPr>
      </w:r>
      <w:r>
        <w:rPr>
          <w:spacing w:val="-1"/>
        </w:rPr>
        <w:t>优化薪酬政策，从而确保员工对薪酬系统的正确理解，积极配合组织的经营战略，促成组织和个人目标的</w:t>
      </w:r>
      <w:r>
        <w:rPr>
          <w:spacing w:val="-83"/>
        </w:rPr>
        <w:t> </w:t>
      </w:r>
      <w:r>
        <w:rPr>
          <w:spacing w:val="-83"/>
        </w:rPr>
      </w:r>
      <w:r>
        <w:rPr/>
        <w:t>实现。</w:t>
      </w:r>
    </w:p>
    <w:p>
      <w:pPr>
        <w:spacing w:line="240" w:lineRule="auto" w:before="9"/>
        <w:rPr>
          <w:rFonts w:ascii="宋体" w:hAnsi="宋体" w:cs="宋体" w:eastAsia="宋体" w:hint="default"/>
          <w:sz w:val="19"/>
          <w:szCs w:val="19"/>
        </w:rPr>
      </w:pPr>
    </w:p>
    <w:p>
      <w:pPr>
        <w:pStyle w:val="Heading4"/>
        <w:spacing w:line="240" w:lineRule="auto"/>
        <w:ind w:right="102"/>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393" w:lineRule="auto" w:before="0"/>
        <w:ind w:right="102" w:firstLine="419"/>
        <w:jc w:val="left"/>
      </w:pPr>
      <w:r>
        <w:rPr>
          <w:rFonts w:ascii="Times New Roman" w:hAnsi="Times New Roman" w:cs="Times New Roman" w:eastAsia="Times New Roman" w:hint="default"/>
        </w:rPr>
        <w:t>2017</w:t>
      </w:r>
      <w:r>
        <w:rPr/>
        <w:t>年，公司共组织公司级培训</w:t>
      </w:r>
      <w:r>
        <w:rPr>
          <w:rFonts w:ascii="Times New Roman" w:hAnsi="Times New Roman" w:cs="Times New Roman" w:eastAsia="Times New Roman" w:hint="default"/>
        </w:rPr>
        <w:t>31</w:t>
      </w:r>
      <w:r>
        <w:rPr/>
        <w:t>次，培训</w:t>
      </w:r>
      <w:r>
        <w:rPr>
          <w:rFonts w:ascii="Times New Roman" w:hAnsi="Times New Roman" w:cs="Times New Roman" w:eastAsia="Times New Roman" w:hint="default"/>
        </w:rPr>
        <w:t>210</w:t>
      </w:r>
      <w:r>
        <w:rPr/>
        <w:t>学时，参训人数达</w:t>
      </w:r>
      <w:r>
        <w:rPr>
          <w:rFonts w:ascii="Times New Roman" w:hAnsi="Times New Roman" w:cs="Times New Roman" w:eastAsia="Times New Roman" w:hint="default"/>
        </w:rPr>
        <w:t>5172</w:t>
      </w:r>
      <w:r>
        <w:rPr/>
        <w:t>人次，比</w:t>
      </w:r>
      <w:r>
        <w:rPr>
          <w:rFonts w:ascii="Times New Roman" w:hAnsi="Times New Roman" w:cs="Times New Roman" w:eastAsia="Times New Roman" w:hint="default"/>
        </w:rPr>
        <w:t>2016</w:t>
      </w:r>
      <w:r>
        <w:rPr/>
        <w:t>年增长</w:t>
      </w:r>
      <w:r>
        <w:rPr>
          <w:rFonts w:ascii="Times New Roman" w:hAnsi="Times New Roman" w:cs="Times New Roman" w:eastAsia="Times New Roman" w:hint="default"/>
        </w:rPr>
        <w:t>146.29%</w:t>
      </w:r>
      <w:r>
        <w:rPr/>
        <w:t>。 涉及课程涵盖管理培训、技术培训、技能培训、新员工入岗培训、体系类相关培训，课程内容包含研发前 端开发技术、</w:t>
      </w:r>
      <w:r>
        <w:rPr>
          <w:rFonts w:ascii="Times New Roman" w:hAnsi="Times New Roman" w:cs="Times New Roman" w:eastAsia="Times New Roman" w:hint="default"/>
        </w:rPr>
        <w:t>H5</w:t>
      </w:r>
      <w:r>
        <w:rPr/>
        <w:t>应用技术、精益生产系列培训、</w:t>
      </w:r>
      <w:r>
        <w:rPr>
          <w:rFonts w:ascii="Times New Roman" w:hAnsi="Times New Roman" w:cs="Times New Roman" w:eastAsia="Times New Roman" w:hint="default"/>
        </w:rPr>
        <w:t>ISO9000</w:t>
      </w:r>
      <w:r>
        <w:rPr/>
        <w:t>体系、</w:t>
      </w:r>
      <w:r>
        <w:rPr>
          <w:rFonts w:ascii="Times New Roman" w:hAnsi="Times New Roman" w:cs="Times New Roman" w:eastAsia="Times New Roman" w:hint="default"/>
        </w:rPr>
        <w:t>ISO14000</w:t>
      </w:r>
      <w:r>
        <w:rPr/>
        <w:t>体系、</w:t>
      </w:r>
      <w:r>
        <w:rPr>
          <w:rFonts w:ascii="Times New Roman" w:hAnsi="Times New Roman" w:cs="Times New Roman" w:eastAsia="Times New Roman" w:hint="default"/>
        </w:rPr>
        <w:t>OHSAS18000</w:t>
      </w:r>
      <w:r>
        <w:rPr/>
        <w:t>体系、知识 产权培训、新员工入职系列培训等。</w:t>
      </w:r>
      <w:r>
        <w:rPr>
          <w:rFonts w:ascii="Times New Roman" w:hAnsi="Times New Roman" w:cs="Times New Roman" w:eastAsia="Times New Roman" w:hint="default"/>
        </w:rPr>
        <w:t>2017</w:t>
      </w:r>
      <w:r>
        <w:rPr/>
        <w:t>年公司还增加了</w:t>
      </w:r>
      <w:r>
        <w:rPr>
          <w:rFonts w:ascii="Times New Roman" w:hAnsi="Times New Roman" w:cs="Times New Roman" w:eastAsia="Times New Roman" w:hint="default"/>
        </w:rPr>
        <w:t>CMMI5</w:t>
      </w:r>
      <w:r>
        <w:rPr/>
        <w:t>级认证体系培训课程。</w:t>
      </w:r>
    </w:p>
    <w:p>
      <w:pPr>
        <w:pStyle w:val="BodyText"/>
        <w:spacing w:line="398" w:lineRule="auto" w:before="28"/>
        <w:ind w:right="211" w:firstLine="420"/>
        <w:jc w:val="both"/>
      </w:pPr>
      <w:r>
        <w:rPr>
          <w:spacing w:val="-1"/>
        </w:rPr>
        <w:t>通过多种方式的培训，不仅帮助员工提升工作技能、解决业务痛点、改进工作绩效，更将公司的企业</w:t>
      </w:r>
      <w:r>
        <w:rPr/>
        <w:t> 文化</w:t>
      </w:r>
      <w:r>
        <w:rPr>
          <w:rFonts w:ascii="Times New Roman" w:hAnsi="Times New Roman" w:cs="Times New Roman" w:eastAsia="Times New Roman" w:hint="default"/>
        </w:rPr>
        <w:t>--</w:t>
      </w:r>
      <w:r>
        <w:rPr/>
        <w:t>创新、勤勉、担当的企业精神快速深入人心，融入工作的各个环节，从而提升公司的凝聚力和竞争</w:t>
      </w:r>
      <w:r>
        <w:rPr>
          <w:spacing w:val="-68"/>
        </w:rPr>
        <w:t> </w:t>
      </w:r>
      <w:r>
        <w:rPr>
          <w:spacing w:val="-68"/>
        </w:rPr>
      </w:r>
      <w:r>
        <w:rPr/>
        <w:t>力。</w:t>
      </w:r>
    </w:p>
    <w:p>
      <w:pPr>
        <w:spacing w:line="240" w:lineRule="auto" w:before="3"/>
        <w:rPr>
          <w:rFonts w:ascii="宋体" w:hAnsi="宋体" w:cs="宋体" w:eastAsia="宋体" w:hint="default"/>
          <w:sz w:val="21"/>
          <w:szCs w:val="21"/>
        </w:rPr>
      </w:pPr>
    </w:p>
    <w:p>
      <w:pPr>
        <w:pStyle w:val="Heading4"/>
        <w:spacing w:line="240" w:lineRule="auto"/>
        <w:ind w:right="102"/>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28" w:right="3484"/>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
        <w:jc w:val="left"/>
        <w:rPr>
          <w:b w:val="0"/>
          <w:bCs w:val="0"/>
        </w:rPr>
      </w:pP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211" w:firstLine="420"/>
        <w:jc w:val="both"/>
      </w:pPr>
      <w:r>
        <w:rPr>
          <w:spacing w:val="-1"/>
        </w:rPr>
        <w:t>报告期内，公司严格按照《公司法》、《证券法》、《上市公司治理准则》、《深圳证券交易所创业</w:t>
      </w:r>
      <w:r>
        <w:rPr/>
        <w:t> </w:t>
      </w:r>
      <w:r>
        <w:rPr>
          <w:spacing w:val="-1"/>
        </w:rPr>
        <w:t>板股票上市规则》、《创业板上市公司规范运作指引》、《上市公司章程指引》和其他有关法律法规的要</w:t>
      </w:r>
      <w:r>
        <w:rPr>
          <w:spacing w:val="-84"/>
        </w:rPr>
        <w:t> </w:t>
      </w:r>
      <w:r>
        <w:rPr>
          <w:spacing w:val="-84"/>
        </w:rPr>
      </w:r>
      <w:r>
        <w:rPr>
          <w:spacing w:val="-1"/>
        </w:rPr>
        <w:t>求，不断完善公司法人治理结构，建立健全公司内部管理和控制制度，进一步规范公司运作，提升公司的</w:t>
      </w:r>
      <w:r>
        <w:rPr>
          <w:spacing w:val="-82"/>
        </w:rPr>
        <w:t> </w:t>
      </w:r>
      <w:r>
        <w:rPr>
          <w:spacing w:val="-82"/>
        </w:rPr>
      </w:r>
      <w:r>
        <w:rPr>
          <w:spacing w:val="-1"/>
        </w:rPr>
        <w:t>规范化和透明度，努力做好信息披露工作及投资者关系管理，不断提高公司治理水平。截止报告期末，公</w:t>
      </w:r>
      <w:r>
        <w:rPr>
          <w:spacing w:val="-82"/>
        </w:rPr>
        <w:t> </w:t>
      </w:r>
      <w:r>
        <w:rPr>
          <w:spacing w:val="-82"/>
        </w:rPr>
      </w:r>
      <w:r>
        <w:rPr/>
        <w:t>司治理结构的实际情况符合中国证监会发布的有关上市公司治理的规范性文件的要求。</w:t>
      </w:r>
    </w:p>
    <w:p>
      <w:pPr>
        <w:pStyle w:val="BodyText"/>
        <w:spacing w:line="408" w:lineRule="auto"/>
        <w:ind w:left="573" w:right="102"/>
        <w:jc w:val="left"/>
      </w:pPr>
      <w:r>
        <w:rPr/>
        <w:t>（一）独立性 </w:t>
      </w:r>
      <w:r>
        <w:rPr>
          <w:spacing w:val="-6"/>
        </w:rPr>
        <w:t>公司自成立以来严格按照《公司法》、《证券法》等有关法律、法规和《公司章程》的要求规范运作，</w:t>
      </w:r>
    </w:p>
    <w:p>
      <w:pPr>
        <w:pStyle w:val="BodyText"/>
        <w:spacing w:line="408" w:lineRule="auto"/>
        <w:ind w:left="153" w:right="102"/>
        <w:jc w:val="left"/>
      </w:pPr>
      <w:r>
        <w:rPr>
          <w:spacing w:val="-1"/>
        </w:rPr>
        <w:t>在业务、资产、人员、机构和财务等方面与公司股东相互独立，拥有独立完整的采购、生产、销售、研发</w:t>
      </w:r>
      <w:r>
        <w:rPr>
          <w:spacing w:val="-85"/>
        </w:rPr>
        <w:t> </w:t>
      </w:r>
      <w:r>
        <w:rPr>
          <w:spacing w:val="-85"/>
        </w:rPr>
      </w:r>
      <w:r>
        <w:rPr/>
        <w:t>系统，具备面向市场自主经营的能力。</w:t>
      </w:r>
    </w:p>
    <w:p>
      <w:pPr>
        <w:pStyle w:val="BodyText"/>
        <w:spacing w:line="400" w:lineRule="auto"/>
        <w:ind w:left="153" w:right="196" w:firstLine="420"/>
        <w:jc w:val="left"/>
      </w:pPr>
      <w:r>
        <w:rPr>
          <w:rFonts w:ascii="Times New Roman" w:hAnsi="Times New Roman" w:cs="Times New Roman" w:eastAsia="Times New Roman" w:hint="default"/>
        </w:rPr>
        <w:t>1</w:t>
      </w:r>
      <w:r>
        <w:rPr/>
        <w:t>、公司的人员独立。公司的董事、监事均严格按照《公司法》、《公司章程》的有关规定产生，履 </w:t>
      </w:r>
      <w:r>
        <w:rPr>
          <w:spacing w:val="-5"/>
        </w:rPr>
        <w:t>行了合法程序；公司的总经理、副总经理、董事会秘书、财务总监、核心技术人员等人员专职在公司工作，</w:t>
      </w:r>
      <w:r>
        <w:rPr/>
        <w:t> </w:t>
      </w:r>
      <w:r>
        <w:rPr>
          <w:spacing w:val="-1"/>
        </w:rPr>
        <w:t>并在公司领取薪酬。公司已建立独立的劳动、人事、社会保障体系及工资管理体系，与员工签订了劳动合</w:t>
      </w:r>
      <w:r>
        <w:rPr>
          <w:spacing w:val="-82"/>
        </w:rPr>
        <w:t> </w:t>
      </w:r>
      <w:r>
        <w:rPr>
          <w:spacing w:val="-82"/>
        </w:rPr>
      </w:r>
      <w:r>
        <w:rPr/>
        <w:t>同，并按国家规定办理了社会保险。</w:t>
      </w:r>
    </w:p>
    <w:p>
      <w:pPr>
        <w:pStyle w:val="BodyText"/>
        <w:spacing w:line="398" w:lineRule="auto" w:before="52"/>
        <w:ind w:left="153" w:right="102" w:firstLine="420"/>
        <w:jc w:val="left"/>
      </w:pPr>
      <w:r>
        <w:rPr>
          <w:rFonts w:ascii="Times New Roman" w:hAnsi="Times New Roman" w:cs="Times New Roman" w:eastAsia="Times New Roman" w:hint="default"/>
        </w:rPr>
        <w:t>2</w:t>
      </w:r>
      <w:r>
        <w:rPr/>
        <w:t>、公司的资产独立完整、权属清晰。公司具备与生产经营有关的生产系统、辅助生产系统和配套设 施，合法拥有与生产经营有关的土地、厂房、机器设备以及商标、专利、非专利技术的所有权和使用权，</w:t>
      </w:r>
      <w:r>
        <w:rPr>
          <w:spacing w:val="-36"/>
        </w:rPr>
        <w:t> </w:t>
      </w:r>
      <w:r>
        <w:rPr>
          <w:spacing w:val="-36"/>
        </w:rPr>
      </w:r>
      <w:r>
        <w:rPr/>
        <w:t>具有独立的原料采购和产品销售系统，与发起人及其他关联方间资产相互独立，其资产具有完整性。</w:t>
      </w:r>
    </w:p>
    <w:p>
      <w:pPr>
        <w:pStyle w:val="BodyText"/>
        <w:spacing w:line="398" w:lineRule="auto" w:before="54"/>
        <w:ind w:right="102" w:firstLine="420"/>
        <w:jc w:val="left"/>
      </w:pPr>
      <w:r>
        <w:rPr>
          <w:rFonts w:ascii="Times New Roman" w:hAnsi="Times New Roman" w:cs="Times New Roman" w:eastAsia="Times New Roman" w:hint="default"/>
        </w:rPr>
        <w:t>3</w:t>
      </w:r>
      <w:r>
        <w:rPr/>
        <w:t>、公司财务独立。公司有独立的财务部门，建立了独立的会计核算体系和财务管理制度；配备了专 </w:t>
      </w:r>
      <w:r>
        <w:rPr>
          <w:spacing w:val="-1"/>
        </w:rPr>
        <w:t>职的财务会计人员，独立进行会计核算和财务决策。公司开设有独立的银行帐号，公司并依法独立进行纳</w:t>
      </w:r>
      <w:r>
        <w:rPr>
          <w:spacing w:val="-83"/>
        </w:rPr>
        <w:t> </w:t>
      </w:r>
      <w:r>
        <w:rPr>
          <w:spacing w:val="-83"/>
        </w:rPr>
      </w:r>
      <w:r>
        <w:rPr/>
        <w:t>税申报和履行纳税义务。</w:t>
      </w:r>
    </w:p>
    <w:p>
      <w:pPr>
        <w:pStyle w:val="BodyText"/>
        <w:spacing w:line="240" w:lineRule="auto" w:before="54"/>
        <w:ind w:left="574" w:right="102"/>
        <w:jc w:val="left"/>
      </w:pPr>
      <w:r>
        <w:rPr>
          <w:rFonts w:ascii="Times New Roman" w:hAnsi="Times New Roman" w:cs="Times New Roman" w:eastAsia="Times New Roman" w:hint="default"/>
          <w:spacing w:val="-8"/>
        </w:rPr>
        <w:t>4</w:t>
      </w:r>
      <w:r>
        <w:rPr>
          <w:spacing w:val="-8"/>
        </w:rPr>
        <w:t>、公司建立健全了独立的股东大会、董事会、监事会、经理的法人治理结构。并严格按照《公司法》、</w:t>
      </w:r>
    </w:p>
    <w:p>
      <w:pPr>
        <w:pStyle w:val="BodyText"/>
        <w:spacing w:line="408" w:lineRule="auto" w:before="177"/>
        <w:ind w:right="102"/>
        <w:jc w:val="left"/>
      </w:pPr>
      <w:r>
        <w:rPr>
          <w:spacing w:val="-1"/>
        </w:rPr>
        <w:t>《公司章程》的规定履行各自的职责；建立了独立的、适应自身发展需要的组织结构，制定了完善的岗位</w:t>
      </w:r>
      <w:r>
        <w:rPr>
          <w:spacing w:val="-82"/>
        </w:rPr>
        <w:t> </w:t>
      </w:r>
      <w:r>
        <w:rPr>
          <w:spacing w:val="-82"/>
        </w:rPr>
      </w:r>
      <w:r>
        <w:rPr/>
        <w:t>职责和管理制度，各部门按照规定的职责独立运作。</w:t>
      </w:r>
    </w:p>
    <w:p>
      <w:pPr>
        <w:pStyle w:val="BodyText"/>
        <w:spacing w:line="398" w:lineRule="auto"/>
        <w:ind w:right="102" w:firstLine="420"/>
        <w:jc w:val="left"/>
      </w:pPr>
      <w:r>
        <w:rPr>
          <w:rFonts w:ascii="Times New Roman" w:hAnsi="Times New Roman" w:cs="Times New Roman" w:eastAsia="Times New Roman" w:hint="default"/>
        </w:rPr>
        <w:t>5</w:t>
      </w:r>
      <w:r>
        <w:rPr/>
        <w:t>、公司业务独立。公司具备独立、完整的产供销系统，拥有独立的决策和执行机构，并拥有独立的 业务系统；独立地对外签署合同，独立采购、生产并销售其生产的产品；具有面向市场的自主经营能力；</w:t>
      </w:r>
      <w:r>
        <w:rPr>
          <w:spacing w:val="-36"/>
        </w:rPr>
        <w:t> </w:t>
      </w:r>
      <w:r>
        <w:rPr>
          <w:spacing w:val="-36"/>
        </w:rPr>
      </w:r>
      <w:r>
        <w:rPr/>
        <w:t>公司股东及其控制的其他企业没有从事与公司相同或相近的业务。</w:t>
      </w:r>
    </w:p>
    <w:p>
      <w:pPr>
        <w:spacing w:after="0" w:line="39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573" w:right="102"/>
        <w:jc w:val="left"/>
      </w:pPr>
      <w:r>
        <w:rPr/>
        <w:t>（二）股东与股东大会 </w:t>
      </w:r>
      <w:r>
        <w:rPr>
          <w:spacing w:val="-1"/>
        </w:rPr>
        <w:t>公司严格按照《创业板上市公司规范运作指引》、《上市公司股东大会规则》、《公司章程》、《公</w:t>
      </w:r>
    </w:p>
    <w:p>
      <w:pPr>
        <w:pStyle w:val="BodyText"/>
        <w:spacing w:line="408" w:lineRule="auto"/>
        <w:ind w:left="153" w:right="210"/>
        <w:jc w:val="both"/>
      </w:pPr>
      <w:r>
        <w:rPr>
          <w:spacing w:val="-1"/>
        </w:rPr>
        <w:t>司股东大会议事规则》等规定的要求，召集、召开股东大会，平等对待所有股东，特别是保证中小股东享</w:t>
      </w:r>
      <w:r>
        <w:rPr>
          <w:spacing w:val="-83"/>
        </w:rPr>
        <w:t> </w:t>
      </w:r>
      <w:r>
        <w:rPr>
          <w:spacing w:val="-83"/>
        </w:rPr>
      </w:r>
      <w:r>
        <w:rPr>
          <w:spacing w:val="-1"/>
        </w:rPr>
        <w:t>有平等地位，并尽可能为股东参加股东大会提供便利，使其充分行使自己的权利。在《公司章程》、《股</w:t>
      </w:r>
      <w:r>
        <w:rPr>
          <w:spacing w:val="-85"/>
        </w:rPr>
        <w:t> </w:t>
      </w:r>
      <w:r>
        <w:rPr>
          <w:spacing w:val="-85"/>
        </w:rPr>
      </w:r>
      <w:r>
        <w:rPr>
          <w:spacing w:val="-1"/>
        </w:rPr>
        <w:t>东大会议事规则》中明确规定了股东大会的召集、召开及表决程序、股东的参会资格和对董事会的授权原</w:t>
      </w:r>
      <w:r>
        <w:rPr>
          <w:spacing w:val="-83"/>
        </w:rPr>
        <w:t> </w:t>
      </w:r>
      <w:r>
        <w:rPr>
          <w:spacing w:val="-83"/>
        </w:rPr>
      </w:r>
      <w:r>
        <w:rPr/>
        <w:t>则等，董事会在报告期内做到认真审议并安排股东大会的审议事项等。</w:t>
      </w:r>
    </w:p>
    <w:p>
      <w:pPr>
        <w:pStyle w:val="BodyText"/>
        <w:spacing w:line="408" w:lineRule="auto"/>
        <w:ind w:left="573" w:right="102"/>
        <w:jc w:val="left"/>
      </w:pPr>
      <w:r>
        <w:rPr/>
        <w:t>（三）公司与控股股东 </w:t>
      </w:r>
      <w:r>
        <w:rPr>
          <w:spacing w:val="-1"/>
        </w:rPr>
        <w:t>公司控股股东严格按照《上市公司治理准则》、《深圳证券交易所创业板股票上市规则》、《公司章</w:t>
      </w:r>
    </w:p>
    <w:p>
      <w:pPr>
        <w:pStyle w:val="BodyText"/>
        <w:spacing w:line="408" w:lineRule="auto"/>
        <w:ind w:left="153" w:right="102"/>
        <w:jc w:val="left"/>
      </w:pPr>
      <w:r>
        <w:rPr/>
        <w:t>程》规范自己的行为，通过股东大会依法行使出资人的权利，没有采取任何其他方式直接或间接地干预公 司的决策及依法开展的生产经营活动，没有损害公司及其他股东的利益；公司与控股股东在业务、人员、</w:t>
      </w:r>
      <w:r>
        <w:rPr>
          <w:spacing w:val="-36"/>
        </w:rPr>
        <w:t> </w:t>
      </w:r>
      <w:r>
        <w:rPr>
          <w:spacing w:val="-36"/>
        </w:rPr>
      </w:r>
      <w:r>
        <w:rPr/>
        <w:t>资产、机构和财务方面做到相互独立；公司的重大决策能按照规范的程序由股东大会和董事会作出。控股</w:t>
      </w:r>
      <w:r>
        <w:rPr/>
        <w:t> 股东与公司之间无关联交易，公司没有为控股股东及其下属企业提供担保。</w:t>
      </w:r>
    </w:p>
    <w:p>
      <w:pPr>
        <w:pStyle w:val="BodyText"/>
        <w:spacing w:line="408" w:lineRule="auto"/>
        <w:ind w:left="573" w:right="102"/>
        <w:jc w:val="left"/>
      </w:pPr>
      <w:r>
        <w:rPr/>
        <w:t>（四）董事与董事会 </w:t>
      </w:r>
      <w:r>
        <w:rPr>
          <w:spacing w:val="-1"/>
        </w:rPr>
        <w:t>公司在《公司章程》、《董事会议事规则》中规定规范、透明的董事选聘程序，并严格执行。公司董</w:t>
      </w:r>
    </w:p>
    <w:p>
      <w:pPr>
        <w:pStyle w:val="BodyText"/>
        <w:spacing w:line="403" w:lineRule="auto"/>
        <w:ind w:left="153" w:right="211"/>
        <w:jc w:val="both"/>
      </w:pPr>
      <w:r>
        <w:rPr>
          <w:spacing w:val="-1"/>
        </w:rPr>
        <w:t>事会设董事</w:t>
      </w:r>
      <w:r>
        <w:rPr>
          <w:rFonts w:ascii="Times New Roman" w:hAnsi="Times New Roman" w:cs="Times New Roman" w:eastAsia="Times New Roman" w:hint="default"/>
          <w:spacing w:val="-1"/>
        </w:rPr>
        <w:t>9</w:t>
      </w:r>
      <w:r>
        <w:rPr>
          <w:spacing w:val="-1"/>
        </w:rPr>
        <w:t>名，其中独立董事</w:t>
      </w:r>
      <w:r>
        <w:rPr>
          <w:rFonts w:ascii="Times New Roman" w:hAnsi="Times New Roman" w:cs="Times New Roman" w:eastAsia="Times New Roman" w:hint="default"/>
          <w:spacing w:val="-1"/>
        </w:rPr>
        <w:t>4</w:t>
      </w:r>
      <w:r>
        <w:rPr>
          <w:spacing w:val="-1"/>
        </w:rPr>
        <w:t>名，董事会的人数及人员构成符合法律、法规和《公司章程》的要求。各</w:t>
      </w:r>
      <w:r>
        <w:rPr>
          <w:spacing w:val="-84"/>
        </w:rPr>
        <w:t> </w:t>
      </w:r>
      <w:r>
        <w:rPr>
          <w:spacing w:val="-84"/>
        </w:rPr>
      </w:r>
      <w:r>
        <w:rPr>
          <w:spacing w:val="-1"/>
        </w:rPr>
        <w:t>位董事能够依据《公司法》、《创业板上市公司规范运作指引》、《公司章程》、《董事会议事规则》等</w:t>
      </w:r>
      <w:r>
        <w:rPr>
          <w:spacing w:val="-86"/>
        </w:rPr>
        <w:t> </w:t>
      </w:r>
      <w:r>
        <w:rPr>
          <w:spacing w:val="-86"/>
        </w:rPr>
      </w:r>
      <w:r>
        <w:rPr>
          <w:spacing w:val="-1"/>
        </w:rPr>
        <w:t>相关法律法规制度开展工作，按时参加会议，勤勉尽责地履行职责和义务，同时积极参加相关培训，熟悉</w:t>
      </w:r>
      <w:r>
        <w:rPr>
          <w:spacing w:val="-82"/>
        </w:rPr>
        <w:t> </w:t>
      </w:r>
      <w:r>
        <w:rPr>
          <w:spacing w:val="-82"/>
        </w:rPr>
      </w:r>
      <w:r>
        <w:rPr>
          <w:spacing w:val="-1"/>
        </w:rPr>
        <w:t>相关法律法规。独立董事能够不受公司主要股东、实际控制人以及其他与公司存在利害关系的单位或个人</w:t>
      </w:r>
      <w:r>
        <w:rPr>
          <w:spacing w:val="-81"/>
        </w:rPr>
        <w:t> </w:t>
      </w:r>
      <w:r>
        <w:rPr>
          <w:spacing w:val="-81"/>
        </w:rPr>
      </w:r>
      <w:r>
        <w:rPr/>
        <w:t>的影响，独立履行职责，对公司的重大事项均能发表独立意见。</w:t>
      </w:r>
    </w:p>
    <w:p>
      <w:pPr>
        <w:pStyle w:val="BodyText"/>
        <w:spacing w:line="403" w:lineRule="auto" w:before="50"/>
        <w:ind w:left="153" w:right="102" w:firstLine="420"/>
        <w:jc w:val="left"/>
      </w:pPr>
      <w:r>
        <w:rPr/>
        <w:t>（五）监事与监事会 </w:t>
      </w:r>
      <w:r>
        <w:rPr>
          <w:spacing w:val="-1"/>
        </w:rPr>
        <w:t>公司监事会严格按照《公司法》、《公司章程》和《监事会议事规则》的有关规定，认真履行职责，对公</w:t>
      </w:r>
      <w:r>
        <w:rPr>
          <w:spacing w:val="-85"/>
        </w:rPr>
        <w:t> </w:t>
      </w:r>
      <w:r>
        <w:rPr>
          <w:spacing w:val="-85"/>
        </w:rPr>
      </w:r>
      <w:r>
        <w:rPr>
          <w:spacing w:val="-1"/>
        </w:rPr>
        <w:t>司财务状况、重大事项以及公司董事、经理和其他高级管理人员履行职责的合法合规性进行监督，维护公</w:t>
      </w:r>
      <w:r>
        <w:rPr>
          <w:spacing w:val="-83"/>
        </w:rPr>
        <w:t> </w:t>
      </w:r>
      <w:r>
        <w:rPr>
          <w:spacing w:val="-83"/>
        </w:rPr>
      </w:r>
      <w:r>
        <w:rPr>
          <w:spacing w:val="-1"/>
        </w:rPr>
        <w:t>司及股东的合法权益。公司监事会设监事</w:t>
      </w:r>
      <w:r>
        <w:rPr>
          <w:rFonts w:ascii="Times New Roman" w:hAnsi="Times New Roman" w:cs="Times New Roman" w:eastAsia="Times New Roman" w:hint="default"/>
          <w:spacing w:val="-1"/>
        </w:rPr>
        <w:t>3</w:t>
      </w:r>
      <w:r>
        <w:rPr>
          <w:spacing w:val="-1"/>
        </w:rPr>
        <w:t>名，其中职工代表监事</w:t>
      </w:r>
      <w:r>
        <w:rPr>
          <w:rFonts w:ascii="Times New Roman" w:hAnsi="Times New Roman" w:cs="Times New Roman" w:eastAsia="Times New Roman" w:hint="default"/>
          <w:spacing w:val="-1"/>
        </w:rPr>
        <w:t>1</w:t>
      </w:r>
      <w:r>
        <w:rPr>
          <w:spacing w:val="-1"/>
        </w:rPr>
        <w:t>名，公司监事会的人数、成员构成及监</w:t>
      </w:r>
      <w:r>
        <w:rPr>
          <w:spacing w:val="-82"/>
        </w:rPr>
        <w:t> </w:t>
      </w:r>
      <w:r>
        <w:rPr>
          <w:spacing w:val="-82"/>
        </w:rPr>
      </w:r>
      <w:r>
        <w:rPr>
          <w:spacing w:val="-1"/>
        </w:rPr>
        <w:t>事的任职资格符合相关法律、法规的要求。监事会能够严格按照《监事会议事规则》的要求召集、召开监</w:t>
      </w:r>
      <w:r>
        <w:rPr>
          <w:spacing w:val="-83"/>
        </w:rPr>
        <w:t> </w:t>
      </w:r>
      <w:r>
        <w:rPr>
          <w:spacing w:val="-83"/>
        </w:rPr>
      </w:r>
      <w:r>
        <w:rPr/>
        <w:t>事会，表决程序符合法律、法规的要求。</w:t>
      </w:r>
    </w:p>
    <w:p>
      <w:pPr>
        <w:pStyle w:val="BodyText"/>
        <w:spacing w:line="408" w:lineRule="auto" w:before="50"/>
        <w:ind w:left="153" w:right="102" w:firstLine="420"/>
        <w:jc w:val="left"/>
      </w:pPr>
      <w:r>
        <w:rPr/>
        <w:t>（六）绩效评价与激励约束机制 董事会薪酬与考核委员会负责对公司的董事、监事、高级管理人员进行绩效考核，建立并逐步完善公正、</w:t>
      </w:r>
      <w:r>
        <w:rPr>
          <w:spacing w:val="-36"/>
        </w:rPr>
        <w:t> </w:t>
      </w:r>
      <w:r>
        <w:rPr>
          <w:spacing w:val="-36"/>
        </w:rPr>
      </w:r>
      <w:r>
        <w:rPr/>
        <w:t>透明的绩效评价标准和激励约束机制。《公司章程》明确规定了高级管理人员的履职行为、权限和职责，</w:t>
      </w:r>
      <w:r>
        <w:rPr>
          <w:spacing w:val="-36"/>
        </w:rPr>
        <w:t> </w:t>
      </w:r>
      <w:r>
        <w:rPr>
          <w:spacing w:val="-36"/>
        </w:rPr>
      </w:r>
      <w:r>
        <w:rPr/>
        <w:t>高级管理人员的聘任公开、透明，符合有关法律、法规的规定，现有的考核及激励约束机制符合公司的发</w:t>
      </w:r>
      <w:r>
        <w:rPr/>
        <w:t> 展情况。</w:t>
      </w:r>
    </w:p>
    <w:p>
      <w:pPr>
        <w:spacing w:after="0" w:line="40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573" w:right="102"/>
        <w:jc w:val="left"/>
      </w:pPr>
      <w:r>
        <w:rPr/>
        <w:t>（七）独立董事履职情况 </w:t>
      </w:r>
      <w:r>
        <w:rPr>
          <w:spacing w:val="-1"/>
        </w:rPr>
        <w:t>公司独立董事按照《公司章程》和《独立董事工作制度》等规定，独立、客观、公正地履行职责，出</w:t>
      </w:r>
    </w:p>
    <w:p>
      <w:pPr>
        <w:pStyle w:val="BodyText"/>
        <w:spacing w:line="398" w:lineRule="auto"/>
        <w:ind w:left="153" w:right="211"/>
        <w:jc w:val="both"/>
      </w:pPr>
      <w:r>
        <w:rPr>
          <w:spacing w:val="-1"/>
        </w:rPr>
        <w:t>席和列席了报告期内历次董事会和股东大会，对董事会议案行认真审议，根据相关规定对公司的重大事项</w:t>
      </w:r>
      <w:r>
        <w:rPr>
          <w:spacing w:val="-81"/>
        </w:rPr>
        <w:t> </w:t>
      </w:r>
      <w:r>
        <w:rPr>
          <w:spacing w:val="-81"/>
        </w:rPr>
      </w:r>
      <w:r>
        <w:rPr>
          <w:spacing w:val="-1"/>
        </w:rPr>
        <w:t>发表独立意见。</w:t>
      </w:r>
      <w:r>
        <w:rPr>
          <w:rFonts w:ascii="Times New Roman" w:hAnsi="Times New Roman" w:cs="Times New Roman" w:eastAsia="Times New Roman" w:hint="default"/>
          <w:spacing w:val="-1"/>
        </w:rPr>
        <w:t>2017</w:t>
      </w:r>
      <w:r>
        <w:rPr>
          <w:spacing w:val="-1"/>
        </w:rPr>
        <w:t>年度，独立董事未对董事会审议的各项议案及其他相关事项提出异议。独立董事通过</w:t>
      </w:r>
      <w:r>
        <w:rPr>
          <w:spacing w:val="-84"/>
        </w:rPr>
        <w:t> </w:t>
      </w:r>
      <w:r>
        <w:rPr>
          <w:spacing w:val="-84"/>
        </w:rPr>
      </w:r>
      <w:r>
        <w:rPr/>
        <w:t>实地考察和内外调研，运用其专业知识和经验特长，为公司经营和发展提出合理化意见和建议。</w:t>
      </w:r>
    </w:p>
    <w:p>
      <w:pPr>
        <w:pStyle w:val="BodyText"/>
        <w:spacing w:line="408" w:lineRule="auto" w:before="54"/>
        <w:ind w:left="573" w:right="102"/>
        <w:jc w:val="left"/>
      </w:pPr>
      <w:r>
        <w:rPr/>
        <w:t>（八）相关利益者 </w:t>
      </w:r>
      <w:r>
        <w:rPr>
          <w:spacing w:val="-1"/>
        </w:rPr>
        <w:t>公司能够充分尊重银行及其他债权人、员工、消费者、供应商、经销商等利益相关者的合法权利，与</w:t>
      </w:r>
    </w:p>
    <w:p>
      <w:pPr>
        <w:pStyle w:val="BodyText"/>
        <w:spacing w:line="240" w:lineRule="auto"/>
        <w:ind w:left="153" w:right="102"/>
        <w:jc w:val="left"/>
      </w:pPr>
      <w:r>
        <w:rPr/>
        <w:t>利益相关者积极合作，共同推动公司持续、健康地发展。</w:t>
      </w:r>
    </w:p>
    <w:p>
      <w:pPr>
        <w:spacing w:line="240" w:lineRule="auto" w:before="10"/>
        <w:rPr>
          <w:rFonts w:ascii="宋体" w:hAnsi="宋体" w:cs="宋体" w:eastAsia="宋体" w:hint="default"/>
          <w:sz w:val="14"/>
          <w:szCs w:val="14"/>
        </w:rPr>
      </w:pPr>
    </w:p>
    <w:p>
      <w:pPr>
        <w:pStyle w:val="BodyText"/>
        <w:spacing w:line="408" w:lineRule="auto" w:before="0"/>
        <w:ind w:left="573" w:right="102"/>
        <w:jc w:val="left"/>
      </w:pPr>
      <w:r>
        <w:rPr/>
        <w:t>（九）关于信息披露与透明度 公司根据《深圳证券交易所创业板股票上市规则》、《上市公司信息披露管理办法》、《公司章程》</w:t>
      </w:r>
    </w:p>
    <w:p>
      <w:pPr>
        <w:pStyle w:val="BodyText"/>
        <w:spacing w:line="240" w:lineRule="auto"/>
        <w:ind w:left="153" w:right="102"/>
        <w:jc w:val="left"/>
      </w:pPr>
      <w:r>
        <w:rPr>
          <w:spacing w:val="-5"/>
        </w:rPr>
        <w:t>以及公司《信息披露管理制度》等相关法规制度的规定，认真履行信息披露义务。公司指定《证券时报》、</w:t>
      </w:r>
    </w:p>
    <w:p>
      <w:pPr>
        <w:spacing w:line="240" w:lineRule="auto" w:before="10"/>
        <w:rPr>
          <w:rFonts w:ascii="宋体" w:hAnsi="宋体" w:cs="宋体" w:eastAsia="宋体" w:hint="default"/>
          <w:sz w:val="14"/>
          <w:szCs w:val="14"/>
        </w:rPr>
      </w:pPr>
    </w:p>
    <w:p>
      <w:pPr>
        <w:pStyle w:val="BodyText"/>
        <w:spacing w:line="400" w:lineRule="auto" w:before="0"/>
        <w:ind w:left="153" w:right="102"/>
        <w:jc w:val="left"/>
      </w:pPr>
      <w:r>
        <w:rPr/>
        <w:t>《中国证券报》和巨潮资讯网（</w:t>
      </w:r>
      <w:hyperlink r:id="rId19">
        <w:r>
          <w:rPr>
            <w:rFonts w:ascii="Times New Roman" w:hAnsi="Times New Roman" w:cs="Times New Roman" w:eastAsia="Times New Roman" w:hint="default"/>
          </w:rPr>
          <w:t>http://www.cninfo.com.cn</w:t>
        </w:r>
      </w:hyperlink>
      <w:r>
        <w:rPr/>
        <w:t>）为公司信息披露的指定报纸和网站。公司指定 </w:t>
      </w:r>
      <w:r>
        <w:rPr>
          <w:spacing w:val="-1"/>
        </w:rPr>
        <w:t>董事会秘书负责信息披露工作，并负责投资者关系管理，接待投资者的来访和咨询，设立专门机构并配备</w:t>
      </w:r>
      <w:r>
        <w:rPr>
          <w:spacing w:val="-83"/>
        </w:rPr>
        <w:t> </w:t>
      </w:r>
      <w:r>
        <w:rPr>
          <w:spacing w:val="-83"/>
        </w:rPr>
      </w:r>
      <w:r>
        <w:rPr>
          <w:spacing w:val="-1"/>
        </w:rPr>
        <w:t>了相应人员，真实、准确、及时、公平、完整地披露有关信息，确保公司所有股东能够以平等的机会获得</w:t>
      </w:r>
      <w:r>
        <w:rPr>
          <w:spacing w:val="-83"/>
        </w:rPr>
        <w:t> </w:t>
      </w:r>
      <w:r>
        <w:rPr>
          <w:spacing w:val="-83"/>
        </w:rPr>
      </w:r>
      <w:r>
        <w:rPr/>
        <w:t>信息。</w:t>
      </w:r>
      <w:r>
        <w:rPr>
          <w:rFonts w:ascii="Times New Roman" w:hAnsi="Times New Roman" w:cs="Times New Roman" w:eastAsia="Times New Roman" w:hint="default"/>
        </w:rPr>
        <w:t>2017</w:t>
      </w:r>
      <w:r>
        <w:rPr/>
        <w:t>年度公司信息披露的内部控制得到了有效执行。</w:t>
      </w:r>
    </w:p>
    <w:p>
      <w:pPr>
        <w:pStyle w:val="BodyText"/>
        <w:spacing w:line="408" w:lineRule="auto" w:before="21"/>
        <w:ind w:left="573" w:right="102"/>
        <w:jc w:val="left"/>
      </w:pPr>
      <w:r>
        <w:rPr/>
        <w:t>（十）投资者关系管理情况 </w:t>
      </w:r>
      <w:r>
        <w:rPr>
          <w:spacing w:val="-1"/>
        </w:rPr>
        <w:t>投资者关系工作是一项长期、持续的重要工作，公司不断学习先进投资者关系管理经验，以更好的方</w:t>
      </w:r>
    </w:p>
    <w:p>
      <w:pPr>
        <w:pStyle w:val="BodyText"/>
        <w:spacing w:line="408" w:lineRule="auto"/>
        <w:ind w:left="153" w:right="102"/>
        <w:jc w:val="left"/>
      </w:pPr>
      <w:r>
        <w:rPr/>
        <w:t>式和途径使广大投资者能够平等地获取公司经营管理、未来发展等信息，构建与投资者的良好互动关系，</w:t>
      </w:r>
      <w:r>
        <w:rPr>
          <w:spacing w:val="-36"/>
        </w:rPr>
        <w:t> </w:t>
      </w:r>
      <w:r>
        <w:rPr>
          <w:spacing w:val="-36"/>
        </w:rPr>
      </w:r>
      <w:r>
        <w:rPr/>
        <w:t>树立公司在资本市场的规范形象。报告期内，公司严格执行《投资者关系管理制度》，认真做好投资者关</w:t>
      </w:r>
      <w:r>
        <w:rPr/>
        <w:t> 系管理工作：</w:t>
      </w:r>
    </w:p>
    <w:p>
      <w:pPr>
        <w:pStyle w:val="BodyText"/>
        <w:spacing w:line="240" w:lineRule="auto"/>
        <w:ind w:left="573" w:right="102"/>
        <w:jc w:val="left"/>
      </w:pPr>
      <w:r>
        <w:rPr>
          <w:rFonts w:ascii="Times New Roman" w:hAnsi="Times New Roman" w:cs="Times New Roman" w:eastAsia="Times New Roman" w:hint="default"/>
        </w:rPr>
        <w:t>1</w:t>
      </w:r>
      <w:r>
        <w:rPr/>
        <w:t>、日常工作</w:t>
      </w:r>
    </w:p>
    <w:p>
      <w:pPr>
        <w:pStyle w:val="BodyText"/>
        <w:spacing w:line="398" w:lineRule="auto" w:before="177"/>
        <w:ind w:right="102" w:firstLine="420"/>
        <w:jc w:val="left"/>
      </w:pPr>
      <w:r>
        <w:rPr/>
        <w:t>（</w:t>
      </w:r>
      <w:r>
        <w:rPr>
          <w:rFonts w:ascii="Times New Roman" w:hAnsi="Times New Roman" w:cs="Times New Roman" w:eastAsia="Times New Roman" w:hint="default"/>
        </w:rPr>
        <w:t>1</w:t>
      </w:r>
      <w:r>
        <w:rPr/>
        <w:t>）指定董事会秘书作为投资者关系管理负责人，安排专人负责投资者来访接待工作，积极做好投 </w:t>
      </w:r>
      <w:r>
        <w:rPr>
          <w:spacing w:val="-1"/>
        </w:rPr>
        <w:t>资者关系管理工作档案的建立和保管，合理、妥善地安排个人投资者、机构投资者、行业分析师等相关人</w:t>
      </w:r>
      <w:r>
        <w:rPr>
          <w:spacing w:val="-82"/>
        </w:rPr>
        <w:t> </w:t>
      </w:r>
      <w:r>
        <w:rPr>
          <w:spacing w:val="-82"/>
        </w:rPr>
      </w:r>
      <w:r>
        <w:rPr/>
        <w:t>员到公司进行调研，并切实做好相关信息的保密工作。</w:t>
      </w:r>
    </w:p>
    <w:p>
      <w:pPr>
        <w:pStyle w:val="BodyText"/>
        <w:spacing w:line="386" w:lineRule="auto" w:before="54"/>
        <w:ind w:right="275" w:firstLine="420"/>
        <w:jc w:val="left"/>
      </w:pPr>
      <w:r>
        <w:rPr/>
        <w:t>（</w:t>
      </w:r>
      <w:r>
        <w:rPr>
          <w:rFonts w:ascii="Times New Roman" w:hAnsi="Times New Roman" w:cs="Times New Roman" w:eastAsia="Times New Roman" w:hint="default"/>
        </w:rPr>
        <w:t>2</w:t>
      </w:r>
      <w:r>
        <w:rPr/>
        <w:t>）通过公司网站、投资者关系管理电话、电子信箱、互动平台等多种渠道与投资者加强沟通，尽 可能解答投资者的疑问。</w:t>
      </w:r>
    </w:p>
    <w:p>
      <w:pPr>
        <w:pStyle w:val="BodyText"/>
        <w:spacing w:line="240" w:lineRule="auto" w:before="65"/>
        <w:ind w:left="574" w:right="102"/>
        <w:jc w:val="left"/>
      </w:pPr>
      <w:r>
        <w:rPr>
          <w:rFonts w:ascii="Times New Roman" w:hAnsi="Times New Roman" w:cs="Times New Roman" w:eastAsia="Times New Roman" w:hint="default"/>
        </w:rPr>
        <w:t>2</w:t>
      </w:r>
      <w:r>
        <w:rPr/>
        <w:t>、互动交流</w:t>
      </w:r>
    </w:p>
    <w:p>
      <w:pPr>
        <w:pStyle w:val="BodyText"/>
        <w:spacing w:line="386" w:lineRule="auto" w:before="177"/>
        <w:ind w:right="209" w:firstLine="419"/>
        <w:jc w:val="both"/>
      </w:pPr>
      <w:r>
        <w:rPr>
          <w:spacing w:val="-1"/>
        </w:rPr>
        <w:t>（</w:t>
      </w:r>
      <w:r>
        <w:rPr>
          <w:rFonts w:ascii="Times New Roman" w:hAnsi="Times New Roman" w:cs="Times New Roman" w:eastAsia="Times New Roman" w:hint="default"/>
          <w:spacing w:val="-1"/>
        </w:rPr>
        <w:t>1</w:t>
      </w:r>
      <w:r>
        <w:rPr>
          <w:spacing w:val="-1"/>
        </w:rPr>
        <w:t>）报告期内，公司召开了</w:t>
      </w:r>
      <w:r>
        <w:rPr>
          <w:rFonts w:ascii="Times New Roman" w:hAnsi="Times New Roman" w:cs="Times New Roman" w:eastAsia="Times New Roman" w:hint="default"/>
          <w:spacing w:val="-1"/>
        </w:rPr>
        <w:t>4</w:t>
      </w:r>
      <w:r>
        <w:rPr>
          <w:spacing w:val="-1"/>
        </w:rPr>
        <w:t>次股东大会，举行了</w:t>
      </w:r>
      <w:r>
        <w:rPr>
          <w:rFonts w:ascii="Times New Roman" w:hAnsi="Times New Roman" w:cs="Times New Roman" w:eastAsia="Times New Roman" w:hint="default"/>
          <w:spacing w:val="-1"/>
        </w:rPr>
        <w:t>2016</w:t>
      </w:r>
      <w:r>
        <w:rPr>
          <w:spacing w:val="-1"/>
        </w:rPr>
        <w:t>年度网上业绩说明会并积极参与了河南上市公</w:t>
      </w:r>
      <w:r>
        <w:rPr/>
        <w:t> </w:t>
      </w:r>
      <w:r>
        <w:rPr>
          <w:spacing w:val="-1"/>
        </w:rPr>
        <w:t>司</w:t>
      </w:r>
      <w:r>
        <w:rPr>
          <w:rFonts w:ascii="Times New Roman" w:hAnsi="Times New Roman" w:cs="Times New Roman" w:eastAsia="Times New Roman" w:hint="default"/>
          <w:spacing w:val="-1"/>
        </w:rPr>
        <w:t>2016</w:t>
      </w:r>
      <w:r>
        <w:rPr>
          <w:spacing w:val="-1"/>
        </w:rPr>
        <w:t>年度业绩说明会。在会上，公司认真听取了投资者的建议和意见，并就公司经营以及未来发展等问</w:t>
      </w:r>
      <w:r>
        <w:rPr>
          <w:spacing w:val="-84"/>
        </w:rPr>
        <w:t> </w:t>
      </w:r>
      <w:r>
        <w:rPr>
          <w:spacing w:val="-84"/>
        </w:rPr>
      </w:r>
      <w:r>
        <w:rPr/>
        <w:t>题与投资者进行了深入的沟通和交流。</w:t>
      </w:r>
    </w:p>
    <w:p>
      <w:pPr>
        <w:spacing w:after="0" w:line="386" w:lineRule="auto"/>
        <w:jc w:val="both"/>
        <w:sectPr>
          <w:footerReference w:type="default" r:id="rId33"/>
          <w:pgSz w:w="11910" w:h="16840"/>
          <w:pgMar w:footer="982" w:header="877" w:top="1100" w:bottom="1180" w:left="980" w:right="920"/>
          <w:pgNumType w:start="120"/>
        </w:sectPr>
      </w:pPr>
    </w:p>
    <w:p>
      <w:pPr>
        <w:spacing w:line="240" w:lineRule="auto" w:before="9"/>
        <w:rPr>
          <w:rFonts w:ascii="宋体" w:hAnsi="宋体" w:cs="宋体" w:eastAsia="宋体" w:hint="default"/>
          <w:sz w:val="26"/>
          <w:szCs w:val="26"/>
        </w:rPr>
      </w:pPr>
    </w:p>
    <w:p>
      <w:pPr>
        <w:pStyle w:val="BodyText"/>
        <w:spacing w:line="396" w:lineRule="auto" w:before="35"/>
        <w:ind w:left="153" w:right="209" w:firstLine="420"/>
        <w:jc w:val="both"/>
      </w:pPr>
      <w:r>
        <w:rPr>
          <w:spacing w:val="-7"/>
          <w:w w:val="100"/>
        </w:rPr>
        <w:t>（</w:t>
      </w:r>
      <w:r>
        <w:rPr>
          <w:rFonts w:ascii="Times New Roman" w:hAnsi="Times New Roman" w:cs="Times New Roman" w:eastAsia="Times New Roman" w:hint="default"/>
          <w:spacing w:val="-7"/>
          <w:w w:val="100"/>
        </w:rPr>
        <w:t>2</w:t>
      </w:r>
      <w:r>
        <w:rPr>
          <w:spacing w:val="-7"/>
          <w:w w:val="100"/>
        </w:rPr>
        <w:t>）报告期内，公司通过</w:t>
      </w:r>
      <w:r>
        <w:rPr>
          <w:rFonts w:ascii="Times New Roman" w:hAnsi="Times New Roman" w:cs="Times New Roman" w:eastAsia="Times New Roman" w:hint="default"/>
          <w:spacing w:val="-7"/>
          <w:w w:val="100"/>
        </w:rPr>
        <w:t>“</w:t>
      </w:r>
      <w:r>
        <w:rPr>
          <w:spacing w:val="-7"/>
          <w:w w:val="100"/>
        </w:rPr>
        <w:t>投资者关系互动平台</w:t>
      </w:r>
      <w:r>
        <w:rPr>
          <w:rFonts w:ascii="Times New Roman" w:hAnsi="Times New Roman" w:cs="Times New Roman" w:eastAsia="Times New Roman" w:hint="default"/>
          <w:spacing w:val="-7"/>
          <w:w w:val="100"/>
        </w:rPr>
        <w:t>”</w:t>
      </w:r>
      <w:r>
        <w:rPr>
          <w:spacing w:val="-7"/>
          <w:w w:val="100"/>
        </w:rPr>
        <w:t>及</w:t>
      </w:r>
      <w:r>
        <w:rPr>
          <w:rFonts w:ascii="Times New Roman" w:hAnsi="Times New Roman" w:cs="Times New Roman" w:eastAsia="Times New Roman" w:hint="default"/>
          <w:spacing w:val="-7"/>
          <w:w w:val="100"/>
        </w:rPr>
        <w:t>“</w:t>
      </w:r>
      <w:r>
        <w:rPr>
          <w:spacing w:val="-7"/>
          <w:w w:val="100"/>
        </w:rPr>
        <w:t>深交所互动易</w:t>
      </w:r>
      <w:r>
        <w:rPr>
          <w:rFonts w:ascii="Times New Roman" w:hAnsi="Times New Roman" w:cs="Times New Roman" w:eastAsia="Times New Roman" w:hint="default"/>
          <w:spacing w:val="-7"/>
          <w:w w:val="100"/>
        </w:rPr>
        <w:t>”</w:t>
      </w:r>
      <w:r>
        <w:rPr>
          <w:spacing w:val="-7"/>
          <w:w w:val="100"/>
        </w:rPr>
        <w:t>，就投资者关心的问题进行了充分、</w:t>
      </w:r>
      <w:r>
        <w:rPr/>
        <w:t> </w:t>
      </w:r>
      <w:r>
        <w:rPr>
          <w:spacing w:val="-1"/>
        </w:rPr>
        <w:t>深入、详细的分析、说明和答复，建立了投资者与公司之间规范、直接、快速的交流与沟通渠道，提高了</w:t>
      </w:r>
      <w:r>
        <w:rPr>
          <w:spacing w:val="-83"/>
        </w:rPr>
        <w:t> </w:t>
      </w:r>
      <w:r>
        <w:rPr>
          <w:spacing w:val="-83"/>
        </w:rPr>
      </w:r>
      <w:r>
        <w:rPr/>
        <w:t>公司规范运作水平，更好的保护了投资者特别是中小投资者的合法权益。</w:t>
      </w:r>
    </w:p>
    <w:p>
      <w:pPr>
        <w:spacing w:line="240" w:lineRule="auto" w:before="10"/>
        <w:rPr>
          <w:rFonts w:ascii="宋体" w:hAnsi="宋体" w:cs="宋体" w:eastAsia="宋体" w:hint="default"/>
          <w:sz w:val="18"/>
          <w:szCs w:val="18"/>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6"/>
        <w:ind w:left="154" w:right="2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209" w:firstLine="420"/>
        <w:jc w:val="both"/>
      </w:pPr>
      <w:r>
        <w:rPr>
          <w:spacing w:val="-1"/>
        </w:rPr>
        <w:t>公司严格按照《公司法》、《证券法》等有关法律法规、部门规章、规范性文件和《公司章程》的要</w:t>
      </w:r>
      <w:r>
        <w:rPr/>
        <w:t> </w:t>
      </w:r>
      <w:r>
        <w:rPr>
          <w:spacing w:val="-1"/>
        </w:rPr>
        <w:t>求规范运作，与控股股东、实际控制人在业务、人员、资产、机构和财务等方面完全分开，具有独立完整</w:t>
      </w:r>
      <w:r>
        <w:rPr>
          <w:spacing w:val="-83"/>
        </w:rPr>
        <w:t> </w:t>
      </w:r>
      <w:r>
        <w:rPr>
          <w:spacing w:val="-83"/>
        </w:rPr>
      </w:r>
      <w:r>
        <w:rPr/>
        <w:t>的业务及自主经营能力。</w:t>
      </w:r>
    </w:p>
    <w:p>
      <w:pPr>
        <w:pStyle w:val="BodyText"/>
        <w:spacing w:line="386" w:lineRule="auto"/>
        <w:ind w:left="153" w:right="276" w:firstLine="420"/>
        <w:jc w:val="left"/>
      </w:pPr>
      <w:r>
        <w:rPr>
          <w:rFonts w:ascii="Times New Roman" w:hAnsi="Times New Roman" w:cs="Times New Roman" w:eastAsia="Times New Roman" w:hint="default"/>
        </w:rPr>
        <w:t>1</w:t>
      </w:r>
      <w:r>
        <w:rPr/>
        <w:t>、业务独立性：公司具有独立的业务体系，能够独立制定、执行和完成经营目标，具有独立面向市 场的经营能力，不受控股股东及其他关联方的控制和影响，不存在对股东及其他关联方的依赖。</w:t>
      </w:r>
    </w:p>
    <w:p>
      <w:pPr>
        <w:pStyle w:val="BodyText"/>
        <w:spacing w:line="400" w:lineRule="auto" w:before="65"/>
        <w:ind w:left="153" w:right="102" w:firstLine="420"/>
        <w:jc w:val="left"/>
      </w:pPr>
      <w:r>
        <w:rPr>
          <w:rFonts w:ascii="Times New Roman" w:hAnsi="Times New Roman" w:cs="Times New Roman" w:eastAsia="Times New Roman" w:hint="default"/>
        </w:rPr>
        <w:t>2</w:t>
      </w:r>
      <w:r>
        <w:rPr/>
        <w:t>、人员独立性：公司在劳动、人事、工资管理等方面完全独立。公司董事、监事及高级管理人员的 </w:t>
      </w:r>
      <w:r>
        <w:rPr>
          <w:spacing w:val="-1"/>
        </w:rPr>
        <w:t>产生严格依据法定程序执行，不存在实际控制人超越公司董事会和股东大会权限作出人事任免之情形。公</w:t>
      </w:r>
      <w:r>
        <w:rPr>
          <w:spacing w:val="-81"/>
        </w:rPr>
        <w:t> </w:t>
      </w:r>
      <w:r>
        <w:rPr>
          <w:spacing w:val="-81"/>
        </w:rPr>
      </w:r>
      <w:r>
        <w:rPr>
          <w:spacing w:val="-1"/>
        </w:rPr>
        <w:t>司高级管理人员均在本公司领取薪酬，未在实际控制人及其他股东控制的其他企业中担任职务，也没有在</w:t>
      </w:r>
      <w:r>
        <w:rPr>
          <w:spacing w:val="-81"/>
        </w:rPr>
        <w:t> </w:t>
      </w:r>
      <w:r>
        <w:rPr>
          <w:spacing w:val="-81"/>
        </w:rPr>
      </w:r>
      <w:r>
        <w:rPr/>
        <w:t>与本公司业务相同或相似、或存在其他利益冲突的企业任职或领取薪酬。</w:t>
      </w:r>
    </w:p>
    <w:p>
      <w:pPr>
        <w:pStyle w:val="BodyText"/>
        <w:spacing w:line="386" w:lineRule="auto" w:before="52"/>
        <w:ind w:left="153" w:right="276" w:firstLine="420"/>
        <w:jc w:val="left"/>
      </w:pPr>
      <w:r>
        <w:rPr>
          <w:rFonts w:ascii="Times New Roman" w:hAnsi="Times New Roman" w:cs="Times New Roman" w:eastAsia="Times New Roman" w:hint="default"/>
        </w:rPr>
        <w:t>3</w:t>
      </w:r>
      <w:r>
        <w:rPr/>
        <w:t>、资产独立性：公司现有资产产权明晰，拥有经营所需的技术、专利、商标、设备等，资产完整， 不存在股东或其关联方占用公司资产之情形。</w:t>
      </w:r>
    </w:p>
    <w:p>
      <w:pPr>
        <w:pStyle w:val="BodyText"/>
        <w:spacing w:line="400" w:lineRule="auto" w:before="65"/>
        <w:ind w:left="153" w:right="102" w:firstLine="420"/>
        <w:jc w:val="left"/>
      </w:pPr>
      <w:r>
        <w:rPr>
          <w:rFonts w:ascii="Times New Roman" w:hAnsi="Times New Roman" w:cs="Times New Roman" w:eastAsia="Times New Roman" w:hint="default"/>
        </w:rPr>
        <w:t>4</w:t>
      </w:r>
      <w:r>
        <w:rPr/>
        <w:t>、机构独立性：公司通过股东大会、董事会、监事会、独立董事及各专门委员会制度，强化权力制 衡机制，形成了有效的法人治理结构。在内部机构设置上，公司建立了适应自身发展需要的组织机构，明 确了各机构职能，定员定岗，并制定了相应的内部管理与控制制度。公司各职能部门均独立履行其职能，</w:t>
      </w:r>
      <w:r>
        <w:rPr>
          <w:spacing w:val="-36"/>
        </w:rPr>
        <w:t> </w:t>
      </w:r>
      <w:r>
        <w:rPr>
          <w:spacing w:val="-36"/>
        </w:rPr>
      </w:r>
      <w:r>
        <w:rPr/>
        <w:t>独立开展生产经营活动，不存在受实际控制人、控股股东或关联方干预之情形。</w:t>
      </w:r>
    </w:p>
    <w:p>
      <w:pPr>
        <w:pStyle w:val="BodyText"/>
        <w:spacing w:line="398" w:lineRule="auto" w:before="93"/>
        <w:ind w:left="153" w:right="207"/>
        <w:jc w:val="both"/>
      </w:pPr>
      <w:r>
        <w:rPr>
          <w:rFonts w:ascii="Times New Roman" w:hAnsi="Times New Roman" w:cs="Times New Roman" w:eastAsia="Times New Roman" w:hint="default"/>
        </w:rPr>
        <w:t>5</w:t>
      </w:r>
      <w:r>
        <w:rPr/>
        <w:t>、财务独立性：公司设有独立的财务部门，配置有独立的财务人员，并建立了独立的会计核算体系和财</w:t>
      </w:r>
      <w:r>
        <w:rPr>
          <w:spacing w:val="-34"/>
        </w:rPr>
        <w:t> </w:t>
      </w:r>
      <w:r>
        <w:rPr>
          <w:spacing w:val="-34"/>
        </w:rPr>
      </w:r>
      <w:r>
        <w:rPr>
          <w:spacing w:val="-1"/>
        </w:rPr>
        <w:t>务管理制度，独立管理公司财务档案，能够根据《公司章程》规定的程序和权限，独立作出财务决策。公</w:t>
      </w:r>
      <w:r>
        <w:rPr>
          <w:spacing w:val="-83"/>
        </w:rPr>
        <w:t> </w:t>
      </w:r>
      <w:r>
        <w:rPr>
          <w:spacing w:val="-83"/>
        </w:rPr>
      </w:r>
      <w:r>
        <w:rPr/>
        <w:t>司及子公司均为独立核算主体，独立在银行开户，资金使用亦不受控股股东、实际控制人干预。</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三、同业竞争情况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7" w:footer="982" w:top="1100" w:bottom="1180" w:left="980" w:right="920"/>
        </w:sectPr>
      </w:pPr>
    </w:p>
    <w:p>
      <w:pPr>
        <w:spacing w:line="240" w:lineRule="auto" w:before="8"/>
        <w:rPr>
          <w:rFonts w:ascii="宋体" w:hAnsi="宋体" w:cs="宋体" w:eastAsia="宋体" w:hint="default"/>
          <w:sz w:val="19"/>
          <w:szCs w:val="19"/>
        </w:rPr>
      </w:pPr>
    </w:p>
    <w:p>
      <w:pPr>
        <w:pStyle w:val="Heading2"/>
        <w:spacing w:line="240" w:lineRule="auto" w:before="26"/>
        <w:ind w:right="133"/>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9">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w w:val="100"/>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2017-015</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9">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w w:val="100"/>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2017-038</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9">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w w:val="100"/>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2017-087</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9">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w w:val="100"/>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2017-107</w:t>
            </w:r>
          </w:p>
        </w:tc>
      </w:tr>
    </w:tbl>
    <w:p>
      <w:pPr>
        <w:spacing w:line="240" w:lineRule="auto" w:before="2"/>
        <w:rPr>
          <w:rFonts w:ascii="宋体" w:hAnsi="宋体" w:cs="宋体" w:eastAsia="宋体" w:hint="default"/>
          <w:b/>
          <w:bCs/>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3"/>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刘汴生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张英瑶</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毕会静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王世卿</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right="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7"/>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102" w:firstLine="0"/>
        <w:jc w:val="left"/>
        <w:rPr>
          <w:rFonts w:ascii="宋体" w:hAnsi="宋体" w:cs="宋体" w:eastAsia="宋体" w:hint="default"/>
          <w:sz w:val="18"/>
          <w:szCs w:val="18"/>
        </w:rPr>
      </w:pPr>
      <w:r>
        <w:rPr>
          <w:rFonts w:ascii="宋体" w:hAnsi="宋体" w:cs="宋体" w:eastAsia="宋体" w:hint="default"/>
          <w:sz w:val="18"/>
          <w:szCs w:val="18"/>
        </w:rPr>
        <w:t>报告期内独立董事对公司有关事项未提出异议。</w:t>
      </w:r>
    </w:p>
    <w:p>
      <w:pPr>
        <w:spacing w:line="240" w:lineRule="auto" w:before="10"/>
        <w:rPr>
          <w:rFonts w:ascii="宋体" w:hAnsi="宋体" w:cs="宋体" w:eastAsia="宋体" w:hint="default"/>
          <w:sz w:val="26"/>
          <w:szCs w:val="26"/>
        </w:rPr>
      </w:pPr>
    </w:p>
    <w:p>
      <w:pPr>
        <w:pStyle w:val="Heading4"/>
        <w:spacing w:line="240" w:lineRule="auto"/>
        <w:ind w:right="10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102"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4" w:right="5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386" w:lineRule="auto" w:before="92"/>
        <w:ind w:right="102" w:firstLine="423"/>
        <w:jc w:val="left"/>
      </w:pPr>
      <w:r>
        <w:rPr>
          <w:spacing w:val="-1"/>
        </w:rPr>
        <w:t>（</w:t>
      </w:r>
      <w:r>
        <w:rPr>
          <w:rFonts w:ascii="Times New Roman" w:hAnsi="Times New Roman" w:cs="Times New Roman" w:eastAsia="Times New Roman" w:hint="default"/>
          <w:spacing w:val="-1"/>
        </w:rPr>
        <w:t>1</w:t>
      </w:r>
      <w:r>
        <w:rPr>
          <w:spacing w:val="-1"/>
        </w:rPr>
        <w:t>）在</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22</w:t>
      </w:r>
      <w:r>
        <w:rPr>
          <w:spacing w:val="-1"/>
        </w:rPr>
        <w:t>日召开的第三届董事会第三十五次会议上，就公司董事会换届选举并提名非独立</w:t>
      </w:r>
      <w:r>
        <w:rPr/>
        <w:t> 董事候选人、独立董事候选人发表了独立意见并被采纳；</w:t>
      </w:r>
    </w:p>
    <w:p>
      <w:pPr>
        <w:pStyle w:val="BodyText"/>
        <w:spacing w:line="386" w:lineRule="auto" w:before="65"/>
        <w:ind w:right="102" w:firstLine="423"/>
        <w:jc w:val="left"/>
      </w:pPr>
      <w:r>
        <w:rPr>
          <w:spacing w:val="-1"/>
        </w:rPr>
        <w:t>（</w:t>
      </w:r>
      <w:r>
        <w:rPr>
          <w:rFonts w:ascii="Times New Roman" w:hAnsi="Times New Roman" w:cs="Times New Roman" w:eastAsia="Times New Roman" w:hint="default"/>
          <w:spacing w:val="-1"/>
        </w:rPr>
        <w:t>2</w:t>
      </w:r>
      <w:r>
        <w:rPr>
          <w:spacing w:val="-1"/>
        </w:rPr>
        <w:t>）在</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13</w:t>
      </w:r>
      <w:r>
        <w:rPr>
          <w:spacing w:val="-1"/>
        </w:rPr>
        <w:t>日召开的第四届董事会第一次会议上，就公司高级管理人员换届选举并提名高级</w:t>
      </w:r>
      <w:r>
        <w:rPr/>
        <w:t> 管理人员候选人发表了独立意见并被采纳；</w:t>
      </w:r>
    </w:p>
    <w:p>
      <w:pPr>
        <w:pStyle w:val="BodyText"/>
        <w:spacing w:line="391" w:lineRule="auto" w:before="65"/>
        <w:ind w:right="102" w:firstLine="423"/>
        <w:jc w:val="left"/>
      </w:pPr>
      <w:r>
        <w:rPr>
          <w:spacing w:val="-3"/>
        </w:rPr>
        <w:t>（</w:t>
      </w:r>
      <w:r>
        <w:rPr>
          <w:rFonts w:ascii="Times New Roman" w:hAnsi="Times New Roman" w:cs="Times New Roman" w:eastAsia="Times New Roman" w:hint="default"/>
          <w:spacing w:val="-3"/>
        </w:rPr>
        <w:t>3</w:t>
      </w:r>
      <w:r>
        <w:rPr>
          <w:spacing w:val="-3"/>
        </w:rPr>
        <w:t>）在</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w:t>
      </w:r>
      <w:r>
        <w:rPr>
          <w:spacing w:val="-3"/>
        </w:rPr>
        <w:t>日召开的第四届董事会第二次会议上，就关于</w:t>
      </w:r>
      <w:r>
        <w:rPr>
          <w:rFonts w:ascii="Times New Roman" w:hAnsi="Times New Roman" w:cs="Times New Roman" w:eastAsia="Times New Roman" w:hint="default"/>
          <w:spacing w:val="-3"/>
        </w:rPr>
        <w:t>2016</w:t>
      </w:r>
      <w:r>
        <w:rPr>
          <w:spacing w:val="-3"/>
        </w:rPr>
        <w:t>年度募集资金存放与实际使用、</w:t>
      </w:r>
      <w:r>
        <w:rPr/>
        <w:t> 关于公司</w:t>
      </w:r>
      <w:r>
        <w:rPr>
          <w:rFonts w:ascii="Times New Roman" w:hAnsi="Times New Roman" w:cs="Times New Roman" w:eastAsia="Times New Roman" w:hint="default"/>
        </w:rPr>
        <w:t>2016</w:t>
      </w:r>
      <w:r>
        <w:rPr/>
        <w:t>年度内部控制自我评价报告、关于公司</w:t>
      </w:r>
      <w:r>
        <w:rPr>
          <w:rFonts w:ascii="Times New Roman" w:hAnsi="Times New Roman" w:cs="Times New Roman" w:eastAsia="Times New Roman" w:hint="default"/>
        </w:rPr>
        <w:t>2016</w:t>
      </w:r>
      <w:r>
        <w:rPr/>
        <w:t>年度利润分配预案、关于公司</w:t>
      </w:r>
      <w:r>
        <w:rPr>
          <w:rFonts w:ascii="Times New Roman" w:hAnsi="Times New Roman" w:cs="Times New Roman" w:eastAsia="Times New Roman" w:hint="default"/>
        </w:rPr>
        <w:t>2017</w:t>
      </w:r>
      <w:r>
        <w:rPr/>
        <w:t>年董事及高级 管理人员薪酬政策、关于公司聘任</w:t>
      </w:r>
      <w:r>
        <w:rPr>
          <w:rFonts w:ascii="Times New Roman" w:hAnsi="Times New Roman" w:cs="Times New Roman" w:eastAsia="Times New Roman" w:hint="default"/>
        </w:rPr>
        <w:t>2017</w:t>
      </w:r>
      <w:r>
        <w:rPr/>
        <w:t>年度审计机构、关于向控股子公司提供财务资助、关于计提资产减 值准备、关于公司会计政策变更、关于公司使用暂时闲置募集资金进行现金管理、关于公司使用部分闲置 自有资金进行现金管理、关于公司回购注销部分限制性股票分别发表了独立意见并被采纳；</w:t>
      </w:r>
    </w:p>
    <w:p>
      <w:pPr>
        <w:pStyle w:val="BodyText"/>
        <w:spacing w:line="398" w:lineRule="auto" w:before="61"/>
        <w:ind w:right="209" w:firstLine="423"/>
        <w:jc w:val="both"/>
      </w:pPr>
      <w:r>
        <w:rPr>
          <w:spacing w:val="-1"/>
        </w:rPr>
        <w:t>（</w:t>
      </w:r>
      <w:r>
        <w:rPr>
          <w:rFonts w:ascii="Times New Roman" w:hAnsi="Times New Roman" w:cs="Times New Roman" w:eastAsia="Times New Roman" w:hint="default"/>
          <w:spacing w:val="-1"/>
        </w:rPr>
        <w:t>4</w:t>
      </w:r>
      <w:r>
        <w:rPr>
          <w:spacing w:val="-1"/>
        </w:rPr>
        <w:t>）在</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14</w:t>
      </w:r>
      <w:r>
        <w:rPr>
          <w:spacing w:val="-1"/>
        </w:rPr>
        <w:t>日召开的第四届董事会第三次会议上，就关于公司限制性股票激励计划首次授予</w:t>
      </w:r>
      <w:r>
        <w:rPr/>
        <w:t> </w:t>
      </w:r>
      <w:r>
        <w:rPr>
          <w:spacing w:val="-1"/>
        </w:rPr>
        <w:t>第一个解锁期解锁条件成就、关于取消授予预留限制性股票、关于公司全资子公司使用自有资金进行委托</w:t>
      </w:r>
      <w:r>
        <w:rPr>
          <w:spacing w:val="-81"/>
        </w:rPr>
        <w:t> </w:t>
      </w:r>
      <w:r>
        <w:rPr>
          <w:spacing w:val="-81"/>
        </w:rPr>
      </w:r>
      <w:r>
        <w:rPr/>
        <w:t>理财发表了独立意见并被采纳；</w:t>
      </w:r>
    </w:p>
    <w:p>
      <w:pPr>
        <w:pStyle w:val="BodyText"/>
        <w:spacing w:line="386" w:lineRule="auto" w:before="54"/>
        <w:ind w:right="102" w:firstLine="423"/>
        <w:jc w:val="left"/>
      </w:pPr>
      <w:r>
        <w:rPr>
          <w:spacing w:val="-1"/>
        </w:rPr>
        <w:t>（</w:t>
      </w:r>
      <w:r>
        <w:rPr>
          <w:rFonts w:ascii="Times New Roman" w:hAnsi="Times New Roman" w:cs="Times New Roman" w:eastAsia="Times New Roman" w:hint="default"/>
          <w:spacing w:val="-1"/>
        </w:rPr>
        <w:t>5</w:t>
      </w:r>
      <w:r>
        <w:rPr>
          <w:spacing w:val="-1"/>
        </w:rPr>
        <w:t>）在</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21</w:t>
      </w:r>
      <w:r>
        <w:rPr>
          <w:spacing w:val="-1"/>
        </w:rPr>
        <w:t>日召开的第四届董事会第四次会议上，就关于公司购买专利权发表了独立意见并</w:t>
      </w:r>
      <w:r>
        <w:rPr/>
        <w:t> 被采纳；</w:t>
      </w:r>
    </w:p>
    <w:p>
      <w:pPr>
        <w:pStyle w:val="BodyText"/>
        <w:spacing w:line="386" w:lineRule="auto" w:before="65"/>
        <w:ind w:right="209" w:firstLine="423"/>
        <w:jc w:val="both"/>
      </w:pPr>
      <w:r>
        <w:rPr>
          <w:spacing w:val="-1"/>
        </w:rPr>
        <w:t>（</w:t>
      </w:r>
      <w:r>
        <w:rPr>
          <w:rFonts w:ascii="Times New Roman" w:hAnsi="Times New Roman" w:cs="Times New Roman" w:eastAsia="Times New Roman" w:hint="default"/>
          <w:spacing w:val="-1"/>
        </w:rPr>
        <w:t>6</w:t>
      </w:r>
      <w:r>
        <w:rPr>
          <w:spacing w:val="-1"/>
        </w:rPr>
        <w:t>）在</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18</w:t>
      </w:r>
      <w:r>
        <w:rPr>
          <w:spacing w:val="-1"/>
        </w:rPr>
        <w:t>日召开的第四届董事会第五次会议上，就关于</w:t>
      </w:r>
      <w:r>
        <w:rPr>
          <w:rFonts w:ascii="Times New Roman" w:hAnsi="Times New Roman" w:cs="Times New Roman" w:eastAsia="Times New Roman" w:hint="default"/>
          <w:spacing w:val="-1"/>
        </w:rPr>
        <w:t>2017</w:t>
      </w:r>
      <w:r>
        <w:rPr>
          <w:spacing w:val="-1"/>
        </w:rPr>
        <w:t>年半年度公司控股股东及其他</w:t>
      </w:r>
      <w:r>
        <w:rPr/>
        <w:t> </w:t>
      </w:r>
      <w:r>
        <w:rPr>
          <w:spacing w:val="-1"/>
        </w:rPr>
        <w:t>关联方占用公司资金及公司对外担保情况、关于</w:t>
      </w:r>
      <w:r>
        <w:rPr>
          <w:rFonts w:ascii="Times New Roman" w:hAnsi="Times New Roman" w:cs="Times New Roman" w:eastAsia="Times New Roman" w:hint="default"/>
          <w:spacing w:val="-1"/>
        </w:rPr>
        <w:t>2017</w:t>
      </w:r>
      <w:r>
        <w:rPr>
          <w:spacing w:val="-1"/>
        </w:rPr>
        <w:t>年半年度募集资金存放与实际使用情况、关于公司会</w:t>
      </w:r>
      <w:r>
        <w:rPr>
          <w:spacing w:val="-82"/>
        </w:rPr>
        <w:t> </w:t>
      </w:r>
      <w:r>
        <w:rPr>
          <w:spacing w:val="-82"/>
        </w:rPr>
      </w:r>
      <w:r>
        <w:rPr/>
        <w:t>计政策变更发表了独立意见并被采纳；</w:t>
      </w:r>
    </w:p>
    <w:p>
      <w:pPr>
        <w:pStyle w:val="BodyText"/>
        <w:spacing w:line="398" w:lineRule="auto" w:before="65"/>
        <w:ind w:right="101" w:firstLine="423"/>
        <w:jc w:val="left"/>
      </w:pPr>
      <w:r>
        <w:rPr/>
        <w:t>（</w:t>
      </w:r>
      <w:r>
        <w:rPr>
          <w:rFonts w:ascii="Times New Roman" w:hAnsi="Times New Roman" w:cs="Times New Roman" w:eastAsia="Times New Roman" w:hint="default"/>
        </w:rPr>
        <w:t>7</w:t>
      </w:r>
      <w:r>
        <w:rPr/>
        <w:t>）在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日召开的第四届董事会第六次会议前，对参股子公司增资暨关联交易事项发表 </w:t>
      </w:r>
      <w:r>
        <w:rPr>
          <w:spacing w:val="-3"/>
        </w:rPr>
        <w:t>了事前认可意见，并在会上就关于公司对参股子公司增资暨关联交易事项、关于对外投资成立全资子公司、</w:t>
      </w:r>
      <w:r>
        <w:rPr>
          <w:spacing w:val="-92"/>
        </w:rPr>
        <w:t> </w:t>
      </w:r>
      <w:r>
        <w:rPr>
          <w:spacing w:val="-92"/>
        </w:rPr>
      </w:r>
      <w:r>
        <w:rPr/>
        <w:t>关于公司回购注销部分限制性股票发表了独立意见并被采纳。</w:t>
      </w:r>
    </w:p>
    <w:p>
      <w:pPr>
        <w:spacing w:line="240" w:lineRule="auto" w:before="6"/>
        <w:rPr>
          <w:rFonts w:ascii="宋体" w:hAnsi="宋体" w:cs="宋体" w:eastAsia="宋体" w:hint="default"/>
          <w:sz w:val="19"/>
          <w:szCs w:val="19"/>
        </w:rPr>
      </w:pPr>
    </w:p>
    <w:p>
      <w:pPr>
        <w:pStyle w:val="Heading2"/>
        <w:spacing w:line="240" w:lineRule="auto"/>
        <w:ind w:right="102"/>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5" w:right="274" w:hanging="2"/>
        <w:jc w:val="left"/>
      </w:pPr>
      <w:r>
        <w:rPr/>
        <w:t>（一）审计委员会履职情况 报告期内，审计委员会积极履行职责，共召开了</w:t>
      </w:r>
      <w:r>
        <w:rPr>
          <w:rFonts w:ascii="Times New Roman" w:hAnsi="Times New Roman" w:cs="Times New Roman" w:eastAsia="Times New Roman" w:hint="default"/>
        </w:rPr>
        <w:t>4</w:t>
      </w:r>
      <w:r>
        <w:rPr/>
        <w:t>次会议，对年度审计计划、各季度内审工作报告、</w:t>
      </w:r>
    </w:p>
    <w:p>
      <w:pPr>
        <w:pStyle w:val="BodyText"/>
        <w:spacing w:line="240" w:lineRule="auto" w:before="14"/>
        <w:ind w:left="153" w:right="102"/>
        <w:jc w:val="left"/>
      </w:pPr>
      <w:r>
        <w:rPr/>
        <w:t>募集资金使用、定期报告、续聘年度审计机构、年度利润分配等事项进行了专项审议。</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575" w:right="133" w:hanging="2"/>
        <w:jc w:val="left"/>
      </w:pPr>
      <w:r>
        <w:rPr/>
        <w:t>（二）薪酬与考核委员会履职情况 </w:t>
      </w:r>
      <w:r>
        <w:rPr>
          <w:spacing w:val="-1"/>
        </w:rPr>
        <w:t>报告期内，薪酬与考核委员会对公司董事、监事和高级管理人员的薪酬情况进行了审核，认为其薪酬</w:t>
      </w:r>
    </w:p>
    <w:p>
      <w:pPr>
        <w:pStyle w:val="BodyText"/>
        <w:spacing w:line="403" w:lineRule="auto"/>
        <w:ind w:left="153" w:right="133"/>
        <w:jc w:val="left"/>
      </w:pPr>
      <w:r>
        <w:rPr>
          <w:spacing w:val="-1"/>
        </w:rPr>
        <w:t>标准和年度薪酬总额的确定符合公司相关薪酬管理制度的规定。同时，薪酬与考核委员会不断探讨绩效考</w:t>
      </w:r>
      <w:r>
        <w:rPr>
          <w:spacing w:val="-81"/>
        </w:rPr>
        <w:t> </w:t>
      </w:r>
      <w:r>
        <w:rPr>
          <w:spacing w:val="-81"/>
        </w:rPr>
      </w:r>
      <w:r>
        <w:rPr>
          <w:spacing w:val="-1"/>
        </w:rPr>
        <w:t>核体系的进一步完善，为充分调动公司董事、监事、高级管理人员和核心员工的积极性，增强公司管理团</w:t>
      </w:r>
      <w:r>
        <w:rPr>
          <w:spacing w:val="-82"/>
        </w:rPr>
        <w:t> </w:t>
      </w:r>
      <w:r>
        <w:rPr>
          <w:spacing w:val="-82"/>
        </w:rPr>
      </w:r>
      <w:r>
        <w:rPr>
          <w:spacing w:val="-1"/>
        </w:rPr>
        <w:t>队和核心员工对实现公司健康、持续发展的责任感、使命感，有效地将股东利益、公司利益和公司员工利</w:t>
      </w:r>
      <w:r>
        <w:rPr>
          <w:spacing w:val="-82"/>
        </w:rPr>
        <w:t> </w:t>
      </w:r>
      <w:r>
        <w:rPr>
          <w:spacing w:val="-82"/>
        </w:rPr>
      </w:r>
      <w:r>
        <w:rPr>
          <w:spacing w:val="-1"/>
        </w:rPr>
        <w:t>益结合在一起，使各方共同关注公司的长远发展，减少管理者的短期行为。报告期内，薪酬与考核委员会</w:t>
      </w:r>
      <w:r>
        <w:rPr>
          <w:spacing w:val="-82"/>
        </w:rPr>
        <w:t> </w:t>
      </w:r>
      <w:r>
        <w:rPr>
          <w:spacing w:val="-82"/>
        </w:rPr>
      </w:r>
      <w:r>
        <w:rPr>
          <w:spacing w:val="-1"/>
        </w:rPr>
        <w:t>认为，公司董事、监事和高级管理人员根据各自的分工，认真履行了相应的职责，较好的完成了其工作目</w:t>
      </w:r>
      <w:r>
        <w:rPr>
          <w:spacing w:val="-82"/>
        </w:rPr>
        <w:t> </w:t>
      </w:r>
      <w:r>
        <w:rPr>
          <w:spacing w:val="-82"/>
        </w:rPr>
      </w:r>
      <w:r>
        <w:rPr/>
        <w:t>标。报告期内，薪酬与考核委员会召开了</w:t>
      </w:r>
      <w:r>
        <w:rPr>
          <w:rFonts w:ascii="Times New Roman" w:hAnsi="Times New Roman" w:cs="Times New Roman" w:eastAsia="Times New Roman" w:hint="default"/>
        </w:rPr>
        <w:t>2</w:t>
      </w:r>
      <w:r>
        <w:rPr/>
        <w:t>次会议，对公司</w:t>
      </w:r>
      <w:r>
        <w:rPr>
          <w:rFonts w:ascii="Times New Roman" w:hAnsi="Times New Roman" w:cs="Times New Roman" w:eastAsia="Times New Roman" w:hint="default"/>
        </w:rPr>
        <w:t>2017</w:t>
      </w:r>
      <w:r>
        <w:rPr/>
        <w:t>年董事监事和高级管理人员的薪酬事项与 </w:t>
      </w:r>
      <w:r>
        <w:rPr>
          <w:spacing w:val="-1"/>
        </w:rPr>
        <w:t>回购注销部分股权激励对象所持已获授但尚未解锁的限制性股票事项进行了审核，并听取了公司高级管理</w:t>
      </w:r>
      <w:r>
        <w:rPr>
          <w:spacing w:val="-81"/>
        </w:rPr>
        <w:t> </w:t>
      </w:r>
      <w:r>
        <w:rPr>
          <w:spacing w:val="-81"/>
        </w:rPr>
      </w:r>
      <w:r>
        <w:rPr>
          <w:spacing w:val="-1"/>
        </w:rPr>
        <w:t>人员</w:t>
      </w:r>
      <w:r>
        <w:rPr>
          <w:rFonts w:ascii="Times New Roman" w:hAnsi="Times New Roman" w:cs="Times New Roman" w:eastAsia="Times New Roman" w:hint="default"/>
          <w:spacing w:val="-1"/>
        </w:rPr>
        <w:t>2016</w:t>
      </w:r>
      <w:r>
        <w:rPr>
          <w:spacing w:val="-1"/>
        </w:rPr>
        <w:t>年度工作总结报告，对公司限制性股票激励计划首次授予限制性股票第一个解锁期解锁条件成就</w:t>
      </w:r>
      <w:r>
        <w:rPr>
          <w:spacing w:val="-82"/>
        </w:rPr>
        <w:t> </w:t>
      </w:r>
      <w:r>
        <w:rPr>
          <w:spacing w:val="-82"/>
        </w:rPr>
      </w:r>
      <w:r>
        <w:rPr/>
        <w:t>与取消授予预留限制性股票事项进行了审核。</w:t>
      </w:r>
    </w:p>
    <w:p>
      <w:pPr>
        <w:pStyle w:val="BodyText"/>
        <w:spacing w:line="408" w:lineRule="auto" w:before="50"/>
        <w:ind w:left="575" w:right="133" w:hanging="2"/>
        <w:jc w:val="left"/>
      </w:pPr>
      <w:r>
        <w:rPr/>
        <w:t>（三）提名委员会履职情况 </w:t>
      </w:r>
      <w:r>
        <w:rPr>
          <w:spacing w:val="-1"/>
        </w:rPr>
        <w:t>报告期内，提名委员会按照《董事会专门委员会工作细则》履行职责，提名委员会认为公司董事会人</w:t>
      </w:r>
    </w:p>
    <w:p>
      <w:pPr>
        <w:pStyle w:val="BodyText"/>
        <w:spacing w:line="398" w:lineRule="auto"/>
        <w:ind w:right="133"/>
        <w:jc w:val="left"/>
      </w:pPr>
      <w:r>
        <w:rPr>
          <w:spacing w:val="-1"/>
        </w:rPr>
        <w:t>员结构合理，高管团队具有丰富的行业经验和管理经验，完全胜任各自的工作。报告期内，提名委员会召</w:t>
      </w:r>
      <w:r>
        <w:rPr>
          <w:spacing w:val="-82"/>
        </w:rPr>
        <w:t> </w:t>
      </w:r>
      <w:r>
        <w:rPr>
          <w:spacing w:val="-82"/>
        </w:rPr>
      </w:r>
      <w:r>
        <w:rPr/>
        <w:t>开了</w:t>
      </w:r>
      <w:r>
        <w:rPr>
          <w:rFonts w:ascii="Times New Roman" w:hAnsi="Times New Roman" w:cs="Times New Roman" w:eastAsia="Times New Roman" w:hint="default"/>
        </w:rPr>
        <w:t>3</w:t>
      </w:r>
      <w:r>
        <w:rPr/>
        <w:t>次会议，审查了董事、高级管理人员</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年上半年度任职资格以及对公司聘任外部董事 司志刚先生、独立董事刘汴生先生的任职资格进行了认真审查，并提交给董事会审议。</w:t>
      </w:r>
    </w:p>
    <w:p>
      <w:pPr>
        <w:pStyle w:val="BodyText"/>
        <w:spacing w:line="444" w:lineRule="auto" w:before="54"/>
        <w:ind w:left="575" w:right="133" w:hanging="2"/>
        <w:jc w:val="left"/>
      </w:pPr>
      <w:r>
        <w:rPr/>
        <w:t>（四）战略发展委员会履职情况 </w:t>
      </w:r>
      <w:r>
        <w:rPr>
          <w:spacing w:val="-1"/>
        </w:rPr>
        <w:t>报告期内，公司战略发展委员会认真研究国家宏观经济政策、结构调整对公司的影响，跟踪国内外同</w:t>
      </w:r>
    </w:p>
    <w:p>
      <w:pPr>
        <w:pStyle w:val="BodyText"/>
        <w:spacing w:line="410" w:lineRule="auto" w:before="13"/>
        <w:ind w:right="149"/>
        <w:jc w:val="both"/>
      </w:pPr>
      <w:r>
        <w:rPr>
          <w:spacing w:val="-1"/>
        </w:rPr>
        <w:t>行业发展动向，结合公司战略发展要求，向公司董事会提出有关结构调整、资本运作、长远发展等事项的</w:t>
      </w:r>
      <w:r>
        <w:rPr>
          <w:spacing w:val="-82"/>
        </w:rPr>
        <w:t> </w:t>
      </w:r>
      <w:r>
        <w:rPr>
          <w:spacing w:val="-82"/>
        </w:rPr>
      </w:r>
      <w:r>
        <w:rPr>
          <w:spacing w:val="-1"/>
        </w:rPr>
        <w:t>建议，对促进公司转方式、调结构，规避市场风险，起到积极良好的作用。报告期内，战略委员会召开了</w:t>
      </w:r>
      <w:r>
        <w:rPr>
          <w:spacing w:val="-83"/>
        </w:rPr>
        <w:t> </w:t>
      </w:r>
      <w:r>
        <w:rPr>
          <w:spacing w:val="-83"/>
        </w:rPr>
      </w:r>
      <w:r>
        <w:rPr>
          <w:rFonts w:ascii="Times New Roman" w:hAnsi="Times New Roman" w:cs="Times New Roman" w:eastAsia="Times New Roman" w:hint="default"/>
        </w:rPr>
        <w:t>3</w:t>
      </w:r>
      <w:r>
        <w:rPr/>
        <w:t>次会议，会议均审议了《关于修改新开普电子股份有限公司经营范围的议案》的相关议案。</w:t>
      </w:r>
    </w:p>
    <w:p>
      <w:pPr>
        <w:spacing w:line="240" w:lineRule="auto" w:before="2"/>
        <w:rPr>
          <w:rFonts w:ascii="宋体" w:hAnsi="宋体" w:cs="宋体" w:eastAsia="宋体" w:hint="default"/>
          <w:sz w:val="16"/>
          <w:szCs w:val="16"/>
        </w:rPr>
      </w:pPr>
    </w:p>
    <w:p>
      <w:pPr>
        <w:pStyle w:val="Heading2"/>
        <w:spacing w:line="240" w:lineRule="auto"/>
        <w:ind w:right="133"/>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5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33"/>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33" w:firstLine="423"/>
        <w:jc w:val="left"/>
      </w:pPr>
      <w:r>
        <w:rPr>
          <w:spacing w:val="-1"/>
        </w:rPr>
        <w:t>公司按照《高级管理人员薪酬制度》，坚持按劳分配与责、权、利相结合，实行收入水平与公司效益</w:t>
      </w:r>
      <w:r>
        <w:rPr/>
        <w:t> </w:t>
      </w:r>
      <w:r>
        <w:rPr>
          <w:spacing w:val="-1"/>
        </w:rPr>
        <w:t>及工作目标挂钩的原则，年度薪酬标准公开、公正、透明等三项基本原则，建立了高级管理人员的薪酬与</w:t>
      </w:r>
    </w:p>
    <w:p>
      <w:pPr>
        <w:spacing w:after="0" w:line="408"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153" w:right="148"/>
        <w:jc w:val="both"/>
      </w:pPr>
      <w:r>
        <w:rPr>
          <w:spacing w:val="-1"/>
        </w:rPr>
        <w:t>公司业绩挂钩的绩效考核与激励约束机制。公司董事会薪酬与考核委员会具体负责对高管人员进行考核以</w:t>
      </w:r>
      <w:r>
        <w:rPr>
          <w:spacing w:val="-81"/>
        </w:rPr>
        <w:t> </w:t>
      </w:r>
      <w:r>
        <w:rPr>
          <w:spacing w:val="-81"/>
        </w:rPr>
      </w:r>
      <w:r>
        <w:rPr>
          <w:spacing w:val="-5"/>
        </w:rPr>
        <w:t>及建议、确定年度薪酬分配。公司高管人员年度薪酬由基本薪酬、绩效收入两部分组成。根据职位重要性、</w:t>
      </w:r>
      <w:r>
        <w:rPr>
          <w:spacing w:val="-102"/>
        </w:rPr>
        <w:t> </w:t>
      </w:r>
      <w:r>
        <w:rPr>
          <w:spacing w:val="-102"/>
        </w:rPr>
      </w:r>
      <w:r>
        <w:rPr>
          <w:spacing w:val="-1"/>
        </w:rPr>
        <w:t>所承担的责任、具体工作量、工作完成情况及市场薪资行情等因素确定，基本薪酬按月度发放，绩效收入</w:t>
      </w:r>
      <w:r>
        <w:rPr>
          <w:spacing w:val="-82"/>
        </w:rPr>
        <w:t> </w:t>
      </w:r>
      <w:r>
        <w:rPr>
          <w:spacing w:val="-82"/>
        </w:rPr>
      </w:r>
      <w:r>
        <w:rPr/>
        <w:t>按年度发放。</w:t>
      </w:r>
    </w:p>
    <w:p>
      <w:pPr>
        <w:pStyle w:val="BodyText"/>
        <w:spacing w:line="408" w:lineRule="auto" w:before="87"/>
        <w:ind w:left="153" w:right="133" w:firstLine="423"/>
        <w:jc w:val="left"/>
      </w:pPr>
      <w:r>
        <w:rPr>
          <w:spacing w:val="-1"/>
        </w:rPr>
        <w:t>公司的各项考核制度较为合理地把高级管理人员的工作业绩与其薪酬进行挂钩，提高了高级管理人员</w:t>
      </w:r>
      <w:r>
        <w:rPr/>
        <w:t> 的积极性，同时高管薪酬的确定符合公司薪酬管理和业绩考评激励等制度的有关规定。</w:t>
      </w:r>
    </w:p>
    <w:p>
      <w:pPr>
        <w:spacing w:line="240" w:lineRule="auto" w:before="10"/>
        <w:rPr>
          <w:rFonts w:ascii="宋体" w:hAnsi="宋体" w:cs="宋体" w:eastAsia="宋体" w:hint="default"/>
          <w:sz w:val="18"/>
          <w:szCs w:val="18"/>
        </w:rPr>
      </w:pPr>
    </w:p>
    <w:p>
      <w:pPr>
        <w:pStyle w:val="Heading2"/>
        <w:spacing w:line="240" w:lineRule="auto"/>
        <w:ind w:right="0"/>
        <w:jc w:val="both"/>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spacing w:before="44"/>
        <w:ind w:left="0" w:right="158" w:firstLine="0"/>
        <w:jc w:val="right"/>
        <w:rPr>
          <w:rFonts w:ascii="宋体" w:hAnsi="宋体" w:cs="宋体" w:eastAsia="宋体" w:hint="default"/>
          <w:sz w:val="18"/>
          <w:szCs w:val="18"/>
        </w:rPr>
      </w:pPr>
      <w:r>
        <w:rPr/>
        <w:pict>
          <v:shape style="position:absolute;margin-left:376.679688pt;margin-top:-15.907867pt;width:158.2pt;height:238pt;mso-position-horizontal-relative:page;mso-position-vertical-relative:paragraph;z-index:-12217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168.187851pt;width:479.8pt;height:410.9pt;mso-position-horizontal-relative:page;mso-position-vertical-relative:paragraph;z-index:3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329"/>
                    <w:gridCol w:w="305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0"/>
                            <w:sz w:val="18"/>
                            <w:szCs w:val="18"/>
                          </w:rPr>
                          <w:t> </w:t>
                        </w:r>
                        <w:hyperlink r:id="rId19">
                          <w:r>
                            <w:rPr>
                              <w:rFonts w:ascii="Times New Roman" w:hAnsi="Times New Roman" w:cs="Times New Roman" w:eastAsia="Times New Roman" w:hint="default"/>
                              <w:sz w:val="18"/>
                              <w:szCs w:val="18"/>
                            </w:rPr>
                            <w:t>www.cninfo.com.cn</w:t>
                          </w:r>
                        </w:hyperlink>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4" w:space="0" w:color="000000"/>
                          <w:right w:val="single" w:sz="9" w:space="0" w:color="FFFFFF"/>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具有以下特征的缺陷，认定为重大缺陷：</w:t>
                        </w:r>
                      </w:p>
                      <w:p>
                        <w:pPr>
                          <w:pStyle w:val="TableParagraph"/>
                          <w:spacing w:line="309" w:lineRule="auto" w:before="75"/>
                          <w:ind w:left="28" w:right="15"/>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）对已经公告的财务报告出现的重大差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错进行错报更正；（</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）当期财务报告存在</w:t>
                        </w:r>
                        <w:r>
                          <w:rPr>
                            <w:rFonts w:ascii="宋体" w:hAnsi="宋体" w:cs="宋体" w:eastAsia="宋体" w:hint="default"/>
                            <w:spacing w:val="-85"/>
                            <w:sz w:val="18"/>
                            <w:szCs w:val="18"/>
                          </w:rPr>
                          <w:t> </w:t>
                        </w:r>
                        <w:r>
                          <w:rPr>
                            <w:rFonts w:ascii="宋体" w:hAnsi="宋体" w:cs="宋体" w:eastAsia="宋体" w:hint="default"/>
                            <w:sz w:val="18"/>
                            <w:szCs w:val="18"/>
                          </w:rPr>
                          <w:t>重大错报，而内部控制在运行过程中未能 </w:t>
                        </w:r>
                        <w:r>
                          <w:rPr>
                            <w:rFonts w:ascii="宋体" w:hAnsi="宋体" w:cs="宋体" w:eastAsia="宋体" w:hint="default"/>
                            <w:spacing w:val="-5"/>
                            <w:sz w:val="18"/>
                            <w:szCs w:val="18"/>
                          </w:rPr>
                          <w:t>发现该错报；（</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）审计委员会以及内部审</w:t>
                        </w:r>
                        <w:r>
                          <w:rPr>
                            <w:rFonts w:ascii="宋体" w:hAnsi="宋体" w:cs="宋体" w:eastAsia="宋体" w:hint="default"/>
                            <w:spacing w:val="-85"/>
                            <w:sz w:val="18"/>
                            <w:szCs w:val="18"/>
                          </w:rPr>
                          <w:t> </w:t>
                        </w:r>
                        <w:r>
                          <w:rPr>
                            <w:rFonts w:ascii="宋体" w:hAnsi="宋体" w:cs="宋体" w:eastAsia="宋体" w:hint="default"/>
                            <w:sz w:val="18"/>
                            <w:szCs w:val="18"/>
                          </w:rPr>
                          <w:t>计部门对财务报告内部控制监督无效。具 </w:t>
                        </w:r>
                        <w:r>
                          <w:rPr>
                            <w:rFonts w:ascii="宋体" w:hAnsi="宋体" w:cs="宋体" w:eastAsia="宋体" w:hint="default"/>
                            <w:spacing w:val="-9"/>
                            <w:sz w:val="18"/>
                            <w:szCs w:val="18"/>
                          </w:rPr>
                          <w:t>有以下特征的缺陷，认定为重要缺陷：（</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未依照公认会计准则选择和应用会计政 </w:t>
                        </w:r>
                        <w:r>
                          <w:rPr>
                            <w:rFonts w:ascii="宋体" w:hAnsi="宋体" w:cs="宋体" w:eastAsia="宋体" w:hint="default"/>
                            <w:spacing w:val="-5"/>
                            <w:sz w:val="18"/>
                            <w:szCs w:val="18"/>
                          </w:rPr>
                          <w:t>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）对于非常规或特殊交易的账务处</w:t>
                        </w:r>
                        <w:r>
                          <w:rPr>
                            <w:rFonts w:ascii="宋体" w:hAnsi="宋体" w:cs="宋体" w:eastAsia="宋体" w:hint="default"/>
                            <w:spacing w:val="-85"/>
                            <w:sz w:val="18"/>
                            <w:szCs w:val="18"/>
                          </w:rPr>
                          <w:t> </w:t>
                        </w:r>
                        <w:r>
                          <w:rPr>
                            <w:rFonts w:ascii="宋体" w:hAnsi="宋体" w:cs="宋体" w:eastAsia="宋体" w:hint="default"/>
                            <w:sz w:val="18"/>
                            <w:szCs w:val="18"/>
                          </w:rPr>
                          <w:t>理没有建立相应的控制机制或没有实施且 </w:t>
                        </w:r>
                        <w:r>
                          <w:rPr>
                            <w:rFonts w:ascii="宋体" w:hAnsi="宋体" w:cs="宋体" w:eastAsia="宋体" w:hint="default"/>
                            <w:spacing w:val="-5"/>
                            <w:sz w:val="18"/>
                            <w:szCs w:val="18"/>
                          </w:rPr>
                          <w:t>没有相应的补偿性控制；（</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）对于期末财</w:t>
                        </w:r>
                        <w:r>
                          <w:rPr>
                            <w:rFonts w:ascii="宋体" w:hAnsi="宋体" w:cs="宋体" w:eastAsia="宋体" w:hint="default"/>
                            <w:spacing w:val="-85"/>
                            <w:sz w:val="18"/>
                            <w:szCs w:val="18"/>
                          </w:rPr>
                          <w:t> </w:t>
                        </w:r>
                        <w:r>
                          <w:rPr>
                            <w:rFonts w:ascii="宋体" w:hAnsi="宋体" w:cs="宋体" w:eastAsia="宋体" w:hint="default"/>
                            <w:sz w:val="18"/>
                            <w:szCs w:val="18"/>
                          </w:rPr>
                          <w:t>务报告过程的控制存在一项或多项缺陷且 不能合理保证编制的财务报表达到真实、 准确的目标。一般缺陷是指除上述重大缺 陷、重要缺陷之外的其他控制缺陷。</w:t>
                        </w:r>
                      </w:p>
                    </w:tc>
                    <w:tc>
                      <w:tcPr>
                        <w:tcW w:w="3050" w:type="dxa"/>
                        <w:vMerge w:val="restart"/>
                        <w:tcBorders>
                          <w:top w:val="single" w:sz="4" w:space="0" w:color="000000"/>
                          <w:left w:val="single" w:sz="9" w:space="0" w:color="FFFFFF"/>
                          <w:right w:val="single" w:sz="9" w:space="0" w:color="FFFFFF"/>
                        </w:tcBorders>
                      </w:tcPr>
                      <w:p>
                        <w:pPr>
                          <w:pStyle w:val="TableParagraph"/>
                          <w:spacing w:line="304" w:lineRule="auto" w:before="51"/>
                          <w:ind w:left="16" w:right="14"/>
                          <w:jc w:val="left"/>
                          <w:rPr>
                            <w:rFonts w:ascii="宋体" w:hAnsi="宋体" w:cs="宋体" w:eastAsia="宋体" w:hint="default"/>
                            <w:sz w:val="18"/>
                            <w:szCs w:val="18"/>
                          </w:rPr>
                        </w:pPr>
                        <w:r>
                          <w:rPr>
                            <w:rFonts w:ascii="宋体" w:hAnsi="宋体" w:cs="宋体" w:eastAsia="宋体" w:hint="default"/>
                            <w:sz w:val="18"/>
                            <w:szCs w:val="18"/>
                          </w:rPr>
                          <w:t>具有以下特征的缺陷，认定为重大缺 </w:t>
                        </w:r>
                        <w:r>
                          <w:rPr>
                            <w:rFonts w:ascii="宋体" w:hAnsi="宋体" w:cs="宋体" w:eastAsia="宋体" w:hint="default"/>
                            <w:spacing w:val="-9"/>
                            <w:sz w:val="18"/>
                            <w:szCs w:val="18"/>
                          </w:rPr>
                          <w:t>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）公司缺乏民主决策程序；（</w:t>
                        </w:r>
                        <w:r>
                          <w:rPr>
                            <w:rFonts w:ascii="Times New Roman" w:hAnsi="Times New Roman" w:cs="Times New Roman" w:eastAsia="Times New Roman" w:hint="default"/>
                            <w:spacing w:val="-9"/>
                            <w:sz w:val="18"/>
                            <w:szCs w:val="18"/>
                          </w:rPr>
                          <w:t>2</w:t>
                        </w:r>
                        <w:r>
                          <w:rPr>
                            <w:rFonts w:ascii="Times New Roman" w:hAnsi="Times New Roman" w:cs="Times New Roman" w:eastAsia="Times New Roman" w:hint="default"/>
                            <w:spacing w:val="-40"/>
                            <w:sz w:val="18"/>
                            <w:szCs w:val="18"/>
                          </w:rPr>
                          <w:t> </w:t>
                        </w:r>
                        <w:r>
                          <w:rPr>
                            <w:rFonts w:ascii="宋体" w:hAnsi="宋体" w:cs="宋体" w:eastAsia="宋体" w:hint="default"/>
                            <w:spacing w:val="-9"/>
                            <w:sz w:val="18"/>
                            <w:szCs w:val="18"/>
                          </w:rPr>
                          <w:t>公司决策程序导致重大失误；（</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重要业务缺乏制度控制或制度体系失 </w:t>
                        </w:r>
                        <w:r>
                          <w:rPr>
                            <w:rFonts w:ascii="宋体" w:hAnsi="宋体" w:cs="宋体" w:eastAsia="宋体" w:hint="default"/>
                            <w:spacing w:val="-9"/>
                            <w:sz w:val="18"/>
                            <w:szCs w:val="18"/>
                          </w:rPr>
                          <w:t>效；（</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）公司内部控制重大或重要缺陷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未得到整改。具有以下特征的缺陷，认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定为重要缺陷：（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）公司民主决策程序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存在但不够完善；（</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）公司决策程序导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致出现一般失误；（</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）公司违反企业内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部规章，形成损失；（</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）公司内部控制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重要或一般缺陷未得到整改。具有以下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特征的缺陷，认定为一般缺陷：（</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）公</w:t>
                        </w:r>
                        <w:r>
                          <w:rPr>
                            <w:rFonts w:ascii="宋体" w:hAnsi="宋体" w:cs="宋体" w:eastAsia="宋体" w:hint="default"/>
                            <w:spacing w:val="-88"/>
                            <w:sz w:val="18"/>
                            <w:szCs w:val="18"/>
                          </w:rPr>
                          <w:t> </w:t>
                        </w:r>
                        <w:r>
                          <w:rPr>
                            <w:rFonts w:ascii="宋体" w:hAnsi="宋体" w:cs="宋体" w:eastAsia="宋体" w:hint="default"/>
                            <w:spacing w:val="-9"/>
                            <w:sz w:val="18"/>
                            <w:szCs w:val="18"/>
                          </w:rPr>
                          <w:t>司决策程序效率不高；（</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）公司一般岗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位业务人员流失严重；（</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）媒体出现负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面新闻，但影响不大。</w:t>
                        </w:r>
                      </w:p>
                    </w:tc>
                  </w:tr>
                  <w:tr>
                    <w:trPr>
                      <w:trHeight w:val="391"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4" w:space="0" w:color="000000"/>
                          <w:right w:val="single" w:sz="9" w:space="0" w:color="FFFFFF"/>
                        </w:tcBorders>
                      </w:tcPr>
                      <w:p>
                        <w:pPr/>
                      </w:p>
                    </w:tc>
                    <w:tc>
                      <w:tcPr>
                        <w:tcW w:w="3050" w:type="dxa"/>
                        <w:vMerge/>
                        <w:tcBorders>
                          <w:left w:val="single" w:sz="9" w:space="0" w:color="FFFFFF"/>
                          <w:right w:val="single" w:sz="9" w:space="0" w:color="FFFFFF"/>
                        </w:tcBorders>
                      </w:tcPr>
                      <w:p>
                        <w:pPr/>
                      </w:p>
                    </w:tc>
                  </w:tr>
                  <w:tr>
                    <w:trPr>
                      <w:trHeight w:val="2189"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4" w:space="0" w:color="000000"/>
                          <w:bottom w:val="single" w:sz="4" w:space="0" w:color="000000"/>
                          <w:right w:val="single" w:sz="9" w:space="0" w:color="FFFFFF"/>
                        </w:tcBorders>
                      </w:tcPr>
                      <w:p>
                        <w:pPr/>
                      </w:p>
                    </w:tc>
                    <w:tc>
                      <w:tcPr>
                        <w:tcW w:w="3050" w:type="dxa"/>
                        <w:vMerge/>
                        <w:tcBorders>
                          <w:left w:val="single" w:sz="9" w:space="0" w:color="FFFFFF"/>
                          <w:bottom w:val="single" w:sz="4" w:space="0" w:color="000000"/>
                          <w:right w:val="single" w:sz="9" w:space="0" w:color="FFFFFF"/>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
                          <w:jc w:val="center"/>
                          <w:rPr>
                            <w:rFonts w:ascii="宋体" w:hAnsi="宋体" w:cs="宋体" w:eastAsia="宋体" w:hint="default"/>
                            <w:sz w:val="18"/>
                            <w:szCs w:val="18"/>
                          </w:rPr>
                        </w:pPr>
                        <w:r>
                          <w:rPr>
                            <w:rFonts w:ascii="宋体" w:hAnsi="宋体" w:cs="宋体" w:eastAsia="宋体" w:hint="default"/>
                            <w:sz w:val="18"/>
                            <w:szCs w:val="18"/>
                          </w:rPr>
                          <w:t>定量标准以营业收入、资产总额作为衡量</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323"/>
        <w:gridCol w:w="3050"/>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指标。内部控制缺陷可能导致或导致的损</w:t>
            </w:r>
          </w:p>
        </w:tc>
        <w:tc>
          <w:tcPr>
            <w:tcW w:w="3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评价的定量标准参照财务报告内部控</w:t>
            </w: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失与利润表相关的，以营业收</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制缺陷评价定量认定标准。</w:t>
            </w:r>
          </w:p>
        </w:tc>
      </w:tr>
      <w:tr>
        <w:trPr>
          <w:trHeight w:val="311"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如果该缺陷单独或连同其他缺陷可能导致</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的财务报告错报金额小于营业收入的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则认定为一般缺陷；如果超过营业收入的</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则为重要缺陷；如果超过营</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业收入的</w:t>
            </w:r>
            <w:r>
              <w:rPr>
                <w:rFonts w:ascii="宋体" w:hAnsi="宋体" w:cs="宋体" w:eastAsia="宋体" w:hint="default"/>
                <w:spacing w:val="-34"/>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，则认定为重大缺陷。内部控</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制缺陷可能导致或导致的损失与资产管理</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相关的，以资产总额指标衡量。如果该缺</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陷单独或连同其他缺陷可能导致的财务报</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78"/>
                <w:sz w:val="18"/>
                <w:szCs w:val="18"/>
              </w:rPr>
              <w:t>，</w:t>
            </w:r>
            <w:r>
              <w:rPr>
                <w:rFonts w:ascii="宋体" w:hAnsi="宋体" w:cs="宋体" w:eastAsia="宋体" w:hint="default"/>
                <w:sz w:val="18"/>
                <w:szCs w:val="18"/>
              </w:rPr>
              <w:t>则认定为</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一般缺陷</w:t>
            </w:r>
            <w:r>
              <w:rPr>
                <w:rFonts w:ascii="宋体" w:hAnsi="宋体" w:cs="宋体" w:eastAsia="宋体" w:hint="default"/>
                <w:spacing w:val="-78"/>
                <w:sz w:val="18"/>
                <w:szCs w:val="18"/>
              </w:rPr>
              <w:t>；</w:t>
            </w:r>
            <w:r>
              <w:rPr>
                <w:rFonts w:ascii="宋体" w:hAnsi="宋体" w:cs="宋体" w:eastAsia="宋体" w:hint="default"/>
                <w:sz w:val="18"/>
                <w:szCs w:val="18"/>
              </w:rPr>
              <w:t>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认定为重要缺陷；如果超过资产总额</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p>
        </w:tc>
        <w:tc>
          <w:tcPr>
            <w:tcW w:w="305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133"/>
        <w:jc w:val="left"/>
        <w:rPr>
          <w:b w:val="0"/>
          <w:bCs w:val="0"/>
        </w:rPr>
      </w:pPr>
      <w:r>
        <w:rPr/>
        <w:pict>
          <v:shape style="position:absolute;margin-left:331.619415pt;margin-top:-313.184082pt;width:203.25pt;height:220.45pt;mso-position-horizontal-relative:page;mso-position-vertical-relative:paragraph;z-index:-1221688" type="#_x0000_t202" filled="false" stroked="false">
            <v:textbox inset="0,0,0,0">
              <w:txbxContent>
                <w:p>
                  <w:pPr>
                    <w:spacing w:line="240" w:lineRule="auto" w:before="8"/>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入指标衡量。</w:t>
                  </w:r>
                </w:p>
              </w:txbxContent>
            </v:textbox>
            <w10:wrap type="none"/>
          </v:shape>
        </w:pict>
      </w:r>
      <w:r>
        <w:rPr/>
        <w:pict>
          <v:group style="position:absolute;margin-left:382.799988pt;margin-top:-279.944092pt;width:152.050pt;height:187.2pt;mso-position-horizontal-relative:page;mso-position-vertical-relative:paragraph;z-index:-1221664" coordorigin="7656,-5599" coordsize="3041,3744">
            <v:shape style="position:absolute;left:7656;top:-5599;width:3041;height:3744" coordorigin="7656,-5599" coordsize="3041,3744" path="m7656,-1855l10697,-1855,10697,-5599,7656,-5599,7656,-1855xe" filled="true" fillcolor="#ffffff" stroked="false">
              <v:path arrowok="t"/>
              <v:fill type="solid"/>
            </v:shape>
            <w10:wrap type="none"/>
          </v:group>
        </w:pict>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133"/>
        <w:jc w:val="left"/>
        <w:rPr>
          <w:b w:val="0"/>
          <w:bCs w:val="0"/>
        </w:rPr>
      </w:pPr>
      <w:bookmarkStart w:name="_TOC_250002" w:id="10"/>
      <w:r>
        <w:rPr/>
        <w:t>第十节</w:t>
      </w:r>
      <w:r>
        <w:rPr>
          <w:spacing w:val="-9"/>
        </w:rPr>
        <w:t> </w:t>
      </w:r>
      <w:r>
        <w:rPr/>
        <w:t>公司债券相关情况</w:t>
      </w:r>
      <w:bookmarkEnd w:id="10"/>
      <w:r>
        <w:rPr>
          <w:b w:val="0"/>
          <w:bCs w:val="0"/>
        </w:rPr>
      </w:r>
    </w:p>
    <w:p>
      <w:pPr>
        <w:spacing w:line="240" w:lineRule="auto" w:before="8"/>
        <w:rPr>
          <w:rFonts w:ascii="宋体" w:hAnsi="宋体" w:cs="宋体" w:eastAsia="宋体" w:hint="default"/>
          <w:b/>
          <w:bCs/>
          <w:sz w:val="42"/>
          <w:szCs w:val="42"/>
        </w:rPr>
      </w:pPr>
    </w:p>
    <w:p>
      <w:pPr>
        <w:spacing w:line="357" w:lineRule="auto" w:before="0"/>
        <w:ind w:left="153" w:right="1131"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450"/>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ZG10191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陈勇波、张文雪</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b/>
          <w:bCs/>
          <w:sz w:val="32"/>
          <w:szCs w:val="32"/>
        </w:rPr>
      </w:pPr>
    </w:p>
    <w:p>
      <w:pPr>
        <w:pStyle w:val="Heading2"/>
        <w:spacing w:line="357" w:lineRule="auto"/>
        <w:ind w:left="577" w:right="0" w:hanging="424"/>
        <w:jc w:val="left"/>
        <w:rPr>
          <w:b w:val="0"/>
          <w:bCs w:val="0"/>
        </w:rPr>
      </w:pPr>
      <w:r>
        <w:rPr>
          <w:w w:val="95"/>
        </w:rPr>
        <w:t>新开普电子股份有限公司全体股东：</w:t>
      </w:r>
      <w:r>
        <w:rPr>
          <w:spacing w:val="62"/>
          <w:w w:val="95"/>
        </w:rPr>
        <w:t> </w:t>
      </w:r>
      <w:r>
        <w:rPr/>
        <w:t>一.审计意见 </w:t>
      </w:r>
      <w:r>
        <w:rPr>
          <w:b w:val="0"/>
          <w:bCs w:val="0"/>
        </w:rPr>
      </w:r>
    </w:p>
    <w:p>
      <w:pPr>
        <w:spacing w:before="51"/>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010" w:space="269"/>
            <w:col w:w="5671"/>
          </w:cols>
        </w:sectPr>
      </w:pPr>
    </w:p>
    <w:p>
      <w:pPr>
        <w:pStyle w:val="Heading3"/>
        <w:spacing w:line="338" w:lineRule="auto" w:before="36"/>
        <w:ind w:right="151" w:firstLine="422"/>
        <w:jc w:val="both"/>
      </w:pPr>
      <w:r>
        <w:rPr>
          <w:spacing w:val="-3"/>
        </w:rPr>
        <w:t>我们审计了新开普电子股份有限公司（以下简称</w:t>
      </w:r>
      <w:r>
        <w:rPr>
          <w:rFonts w:ascii="Times New Roman" w:hAnsi="Times New Roman" w:cs="Times New Roman" w:eastAsia="Times New Roman" w:hint="default"/>
          <w:spacing w:val="-3"/>
        </w:rPr>
        <w:t>“</w:t>
      </w:r>
      <w:r>
        <w:rPr>
          <w:spacing w:val="-3"/>
        </w:rPr>
        <w:t>新开普</w:t>
      </w:r>
      <w:r>
        <w:rPr>
          <w:rFonts w:ascii="Times New Roman" w:hAnsi="Times New Roman" w:cs="Times New Roman" w:eastAsia="Times New Roman" w:hint="default"/>
          <w:spacing w:val="-3"/>
        </w:rPr>
        <w:t>”</w:t>
      </w:r>
      <w:r>
        <w:rPr>
          <w:spacing w:val="-3"/>
        </w:rPr>
        <w:t>）财务报表，包括</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rFonts w:ascii="Times New Roman" w:hAnsi="Times New Roman" w:cs="Times New Roman" w:eastAsia="Times New Roman" w:hint="default"/>
        </w:rPr>
        <w:t> </w:t>
      </w:r>
      <w:r>
        <w:rPr>
          <w:spacing w:val="-5"/>
        </w:rPr>
        <w:t>日的合并及母公司资产负债表，</w:t>
      </w:r>
      <w:r>
        <w:rPr>
          <w:rFonts w:ascii="Times New Roman" w:hAnsi="Times New Roman" w:cs="Times New Roman" w:eastAsia="Times New Roman" w:hint="default"/>
          <w:spacing w:val="-5"/>
        </w:rPr>
        <w:t>2017</w:t>
      </w:r>
      <w:r>
        <w:rPr>
          <w:spacing w:val="-5"/>
        </w:rPr>
        <w:t>年度的合并及母公司利润表、合并及母公司现金流量表、</w:t>
      </w:r>
      <w:r>
        <w:rPr>
          <w:spacing w:val="-107"/>
        </w:rPr>
        <w:t> </w:t>
      </w:r>
      <w:r>
        <w:rPr>
          <w:spacing w:val="-107"/>
        </w:rPr>
      </w:r>
      <w:r>
        <w:rPr/>
        <w:t>合并及母公司股东权益变动表以及相关财务报表附注。</w:t>
      </w:r>
    </w:p>
    <w:p>
      <w:pPr>
        <w:pStyle w:val="Heading3"/>
        <w:spacing w:line="348" w:lineRule="auto" w:before="55"/>
        <w:ind w:right="146" w:firstLine="422"/>
        <w:jc w:val="both"/>
      </w:pPr>
      <w:r>
        <w:rPr>
          <w:spacing w:val="2"/>
        </w:rPr>
        <w:t>我们认为，后附的财务报表在所有重大方面按照企业会计准则的规定编制，公允反映了 </w:t>
      </w:r>
      <w:r>
        <w:rPr/>
        <w:t>新开普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年度的合并及母公司经营成果和现</w:t>
      </w:r>
      <w:r>
        <w:rPr>
          <w:spacing w:val="-98"/>
        </w:rPr>
        <w:t> </w:t>
      </w:r>
      <w:r>
        <w:rPr/>
        <w:t>金流量。</w:t>
      </w:r>
    </w:p>
    <w:p>
      <w:pPr>
        <w:spacing w:line="357" w:lineRule="auto" w:before="46"/>
        <w:ind w:left="579" w:right="133" w:firstLine="0"/>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1"/>
          <w:sz w:val="24"/>
          <w:szCs w:val="24"/>
        </w:rPr>
        <w:t>我们按照中国注册会计师审计准则的规定执行了审计工作。审计报告的</w:t>
      </w:r>
      <w:r>
        <w:rPr>
          <w:rFonts w:ascii="Times New Roman" w:hAnsi="Times New Roman" w:cs="Times New Roman" w:eastAsia="Times New Roman" w:hint="default"/>
          <w:spacing w:val="-1"/>
          <w:sz w:val="24"/>
          <w:szCs w:val="24"/>
        </w:rPr>
        <w:t>“</w:t>
      </w:r>
      <w:r>
        <w:rPr>
          <w:rFonts w:ascii="宋体" w:hAnsi="宋体" w:cs="宋体" w:eastAsia="宋体" w:hint="default"/>
          <w:spacing w:val="-1"/>
          <w:sz w:val="24"/>
          <w:szCs w:val="24"/>
        </w:rPr>
        <w:t>注册会计师对财</w:t>
      </w:r>
    </w:p>
    <w:p>
      <w:pPr>
        <w:pStyle w:val="Heading3"/>
        <w:spacing w:line="348" w:lineRule="auto" w:before="5"/>
        <w:ind w:left="154" w:right="146"/>
        <w:jc w:val="both"/>
      </w:pPr>
      <w:r>
        <w:rPr/>
        <w:t>务报表审计的责任</w:t>
      </w:r>
      <w:r>
        <w:rPr>
          <w:rFonts w:ascii="Times New Roman" w:hAnsi="Times New Roman" w:cs="Times New Roman" w:eastAsia="Times New Roman" w:hint="default"/>
        </w:rPr>
        <w:t>”</w:t>
      </w:r>
      <w:r>
        <w:rPr/>
        <w:t>部分进一步 阐述了我们在这些准则下的责任。按照中国注册会计师职业</w:t>
      </w:r>
      <w:r>
        <w:rPr>
          <w:spacing w:val="-83"/>
        </w:rPr>
        <w:t> </w:t>
      </w:r>
      <w:r>
        <w:rPr>
          <w:spacing w:val="-83"/>
        </w:rPr>
      </w:r>
      <w:r>
        <w:rPr/>
        <w:t>道德守则，我们独立于新开普，并履行了职业道德方面的其他责任。我们相信，我们获取的</w:t>
      </w:r>
      <w:r>
        <w:rPr>
          <w:spacing w:val="-83"/>
        </w:rPr>
        <w:t> </w:t>
      </w:r>
      <w:r>
        <w:rPr>
          <w:spacing w:val="-83"/>
        </w:rPr>
      </w:r>
      <w:r>
        <w:rPr/>
        <w:t>审计证据是充分、适当的，为发表审计意见提供了基础。</w:t>
      </w:r>
    </w:p>
    <w:p>
      <w:pPr>
        <w:pStyle w:val="Heading3"/>
        <w:spacing w:line="357" w:lineRule="auto" w:before="46"/>
        <w:ind w:left="578" w:right="133" w:firstLine="1"/>
        <w:jc w:val="left"/>
      </w:pPr>
      <w:r>
        <w:rPr>
          <w:rFonts w:ascii="宋体" w:hAnsi="宋体" w:cs="宋体" w:eastAsia="宋体" w:hint="default"/>
          <w:b/>
          <w:bCs/>
        </w:rPr>
        <w:t>三.关键审计事项</w:t>
      </w:r>
      <w:r>
        <w:rPr>
          <w:rFonts w:ascii="宋体" w:hAnsi="宋体" w:cs="宋体" w:eastAsia="宋体" w:hint="default"/>
          <w:b/>
          <w:bCs/>
          <w:spacing w:val="1"/>
          <w:w w:val="99"/>
        </w:rPr>
        <w:t> </w:t>
      </w:r>
      <w:r>
        <w:rPr/>
        <w:t>关键审计事项是我们根据职业判断，认为对本期财务报表审计最为重要的事项。这些事</w:t>
      </w:r>
    </w:p>
    <w:p>
      <w:pPr>
        <w:pStyle w:val="Heading3"/>
        <w:spacing w:line="357" w:lineRule="auto" w:before="36"/>
        <w:ind w:right="148"/>
        <w:jc w:val="both"/>
      </w:pPr>
      <w:r>
        <w:rPr/>
        <w:t>项的应对以对财务报表整体进行审计并形成审计意见为背景，我们不对这些事项单独发表意</w:t>
      </w:r>
      <w:r>
        <w:rPr>
          <w:spacing w:val="-83"/>
        </w:rPr>
        <w:t> </w:t>
      </w:r>
      <w:r>
        <w:rPr>
          <w:spacing w:val="-83"/>
        </w:rPr>
      </w:r>
      <w:r>
        <w:rPr/>
        <w:t>见。我们确定下列事项是需要在审计报告中沟通的关键审计事项。</w:t>
      </w:r>
    </w:p>
    <w:p>
      <w:pPr>
        <w:spacing w:line="240" w:lineRule="auto" w:before="8"/>
        <w:rPr>
          <w:rFonts w:ascii="宋体" w:hAnsi="宋体" w:cs="宋体" w:eastAsia="宋体" w:hint="default"/>
          <w:sz w:val="11"/>
          <w:szCs w:val="11"/>
        </w:rPr>
      </w:pPr>
    </w:p>
    <w:tbl>
      <w:tblPr>
        <w:tblW w:w="0" w:type="auto"/>
        <w:jc w:val="left"/>
        <w:tblInd w:w="755" w:type="dxa"/>
        <w:tblLayout w:type="fixed"/>
        <w:tblCellMar>
          <w:top w:w="0" w:type="dxa"/>
          <w:left w:w="0" w:type="dxa"/>
          <w:bottom w:w="0" w:type="dxa"/>
          <w:right w:w="0" w:type="dxa"/>
        </w:tblCellMar>
        <w:tblLook w:val="01E0"/>
      </w:tblPr>
      <w:tblGrid>
        <w:gridCol w:w="4156"/>
        <w:gridCol w:w="4265"/>
      </w:tblGrid>
      <w:tr>
        <w:trPr>
          <w:trHeight w:val="503" w:hRule="exact"/>
        </w:trPr>
        <w:tc>
          <w:tcPr>
            <w:tcW w:w="4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审计应对</w:t>
            </w:r>
          </w:p>
        </w:tc>
      </w:tr>
      <w:tr>
        <w:trPr>
          <w:trHeight w:val="504" w:hRule="exact"/>
        </w:trPr>
        <w:tc>
          <w:tcPr>
            <w:tcW w:w="84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）收入确认</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44"/>
        <w:ind w:left="0" w:right="680" w:firstLine="0"/>
        <w:jc w:val="right"/>
        <w:rPr>
          <w:rFonts w:ascii="宋体" w:hAnsi="宋体" w:cs="宋体" w:eastAsia="宋体" w:hint="default"/>
          <w:sz w:val="18"/>
          <w:szCs w:val="18"/>
        </w:rPr>
      </w:pPr>
      <w:r>
        <w:rPr/>
        <w:pict>
          <v:shape style="position:absolute;margin-left:86.760002pt;margin-top:-50.288189pt;width:422.1pt;height:567.6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56"/>
                    <w:gridCol w:w="4265"/>
                  </w:tblGrid>
                  <w:tr>
                    <w:trPr>
                      <w:trHeight w:val="491" w:hRule="exact"/>
                    </w:trPr>
                    <w:tc>
                      <w:tcPr>
                        <w:tcW w:w="41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如新开普公司合并财务报表附注七（34）</w:t>
                        </w:r>
                        <w:r>
                          <w:rPr>
                            <w:rFonts w:ascii="宋体" w:hAnsi="宋体" w:cs="宋体" w:eastAsia="宋体" w:hint="default"/>
                            <w:spacing w:val="-66"/>
                            <w:sz w:val="18"/>
                            <w:szCs w:val="18"/>
                          </w:rPr>
                          <w:t> </w:t>
                        </w:r>
                        <w:r>
                          <w:rPr>
                            <w:rFonts w:ascii="宋体" w:hAnsi="宋体" w:cs="宋体" w:eastAsia="宋体" w:hint="default"/>
                            <w:spacing w:val="-6"/>
                            <w:sz w:val="18"/>
                            <w:szCs w:val="18"/>
                          </w:rPr>
                          <w:t>所述，新开</w:t>
                        </w:r>
                      </w:p>
                    </w:tc>
                    <w:tc>
                      <w:tcPr>
                        <w:tcW w:w="426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9"/>
                          <w:ind w:right="17"/>
                          <w:jc w:val="right"/>
                          <w:rPr>
                            <w:rFonts w:ascii="宋体" w:hAnsi="宋体" w:cs="宋体" w:eastAsia="宋体" w:hint="default"/>
                            <w:sz w:val="18"/>
                            <w:szCs w:val="18"/>
                          </w:rPr>
                        </w:pPr>
                        <w:r>
                          <w:rPr>
                            <w:rFonts w:ascii="宋体" w:hAnsi="宋体" w:cs="宋体" w:eastAsia="宋体" w:hint="default"/>
                            <w:sz w:val="18"/>
                            <w:szCs w:val="18"/>
                          </w:rPr>
                          <w:t>我们针对收入确认和计量问题执行的审计程序：（</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68" w:hRule="exact"/>
                    </w:trPr>
                    <w:tc>
                      <w:tcPr>
                        <w:tcW w:w="4156"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普公司的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年度产品营业收入金额为</w:t>
                        </w:r>
                        <w:r>
                          <w:rPr>
                            <w:rFonts w:ascii="Times New Roman" w:hAnsi="Times New Roman" w:cs="Times New Roman" w:eastAsia="Times New Roman" w:hint="default"/>
                            <w:sz w:val="18"/>
                            <w:szCs w:val="18"/>
                          </w:rPr>
                          <w:t>7.65</w:t>
                        </w:r>
                        <w:r>
                          <w:rPr>
                            <w:rFonts w:ascii="宋体" w:hAnsi="宋体" w:cs="宋体" w:eastAsia="宋体" w:hint="default"/>
                            <w:sz w:val="18"/>
                            <w:szCs w:val="18"/>
                          </w:rPr>
                          <w:t>亿元，因</w:t>
                        </w: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hAnsi="宋体" w:cs="宋体" w:eastAsia="宋体" w:hint="default"/>
                            <w:sz w:val="18"/>
                            <w:szCs w:val="18"/>
                          </w:rPr>
                          <w:t>我们了解并测试了与收入相关的内部控制</w:t>
                        </w:r>
                        <w:r>
                          <w:rPr>
                            <w:rFonts w:ascii="宋体" w:hAnsi="宋体" w:cs="宋体" w:eastAsia="宋体" w:hint="default"/>
                            <w:spacing w:val="-76"/>
                            <w:sz w:val="18"/>
                            <w:szCs w:val="18"/>
                          </w:rPr>
                          <w:t>，</w:t>
                        </w:r>
                        <w:r>
                          <w:rPr>
                            <w:rFonts w:ascii="宋体" w:hAnsi="宋体" w:cs="宋体" w:eastAsia="宋体" w:hint="default"/>
                            <w:sz w:val="18"/>
                            <w:szCs w:val="18"/>
                          </w:rPr>
                          <w:t>确定其可依</w:t>
                        </w:r>
                      </w:p>
                    </w:tc>
                  </w:tr>
                  <w:tr>
                    <w:trPr>
                      <w:trHeight w:val="468" w:hRule="exact"/>
                    </w:trPr>
                    <w:tc>
                      <w:tcPr>
                        <w:tcW w:w="4156"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为收入是新开普公司的关键绩效指标之一，可能涉及</w:t>
                        </w: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pacing w:val="-4"/>
                            <w:sz w:val="18"/>
                            <w:szCs w:val="18"/>
                          </w:rPr>
                          <w:t>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）我们通过审阅销售合同并与管理层进行访谈</w:t>
                        </w:r>
                      </w:p>
                    </w:tc>
                  </w:tr>
                  <w:tr>
                    <w:trPr>
                      <w:trHeight w:val="463" w:hRule="exact"/>
                    </w:trPr>
                    <w:tc>
                      <w:tcPr>
                        <w:tcW w:w="4156"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因收入计入错误的会计期间或遭到操控而产生固有</w:t>
                        </w: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了解和评估了新开普公司的收入确认政策和内部控制</w:t>
                        </w:r>
                      </w:p>
                    </w:tc>
                  </w:tr>
                  <w:tr>
                    <w:trPr>
                      <w:trHeight w:val="473" w:hRule="exact"/>
                    </w:trPr>
                    <w:tc>
                      <w:tcPr>
                        <w:tcW w:w="4156"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风险，故此，我们把收入是否计入恰当的会计期间及</w:t>
                        </w: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hAnsi="宋体" w:cs="宋体" w:eastAsia="宋体" w:hint="default"/>
                            <w:sz w:val="18"/>
                            <w:szCs w:val="18"/>
                          </w:rPr>
                          <w:t>流程。（</w:t>
                        </w:r>
                        <w:r>
                          <w:rPr>
                            <w:rFonts w:ascii="Times New Roman" w:hAnsi="Times New Roman" w:cs="Times New Roman" w:eastAsia="Times New Roman" w:hint="default"/>
                            <w:sz w:val="18"/>
                            <w:szCs w:val="18"/>
                          </w:rPr>
                          <w:t>3</w:t>
                        </w:r>
                        <w:r>
                          <w:rPr>
                            <w:rFonts w:ascii="宋体" w:hAnsi="宋体" w:cs="宋体" w:eastAsia="宋体" w:hint="default"/>
                            <w:sz w:val="18"/>
                            <w:szCs w:val="18"/>
                          </w:rPr>
                          <w:t>）我们向管理层、治理层进行询问，评价管</w:t>
                        </w:r>
                      </w:p>
                    </w:tc>
                  </w:tr>
                  <w:tr>
                    <w:trPr>
                      <w:trHeight w:val="468" w:hRule="exact"/>
                    </w:trPr>
                    <w:tc>
                      <w:tcPr>
                        <w:tcW w:w="4156"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是否有重大错报列为关键审计事项。</w:t>
                        </w: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right="17"/>
                          <w:jc w:val="right"/>
                          <w:rPr>
                            <w:rFonts w:ascii="宋体" w:hAnsi="宋体" w:cs="宋体" w:eastAsia="宋体" w:hint="default"/>
                            <w:sz w:val="18"/>
                            <w:szCs w:val="18"/>
                          </w:rPr>
                        </w:pPr>
                        <w:r>
                          <w:rPr>
                            <w:rFonts w:ascii="宋体" w:hAnsi="宋体" w:cs="宋体" w:eastAsia="宋体" w:hint="default"/>
                            <w:sz w:val="18"/>
                            <w:szCs w:val="18"/>
                          </w:rPr>
                          <w:t>理层对收入确认是否有重大偏颇和错报的迹象。（</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463" w:hRule="exact"/>
                    </w:trPr>
                    <w:tc>
                      <w:tcPr>
                        <w:tcW w:w="4156" w:type="dxa"/>
                        <w:tcBorders>
                          <w:top w:val="nil" w:sz="6" w:space="0" w:color="auto"/>
                          <w:left w:val="single" w:sz="6" w:space="0" w:color="000000"/>
                          <w:bottom w:val="nil" w:sz="6" w:space="0" w:color="auto"/>
                          <w:right w:val="single" w:sz="6" w:space="0" w:color="000000"/>
                        </w:tcBorders>
                      </w:tcPr>
                      <w:p>
                        <w:pP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对收入和成本执行分析程序，包括：本期各月度收入</w:t>
                        </w:r>
                      </w:p>
                    </w:tc>
                  </w:tr>
                  <w:tr>
                    <w:trPr>
                      <w:trHeight w:val="468" w:hRule="exact"/>
                    </w:trPr>
                    <w:tc>
                      <w:tcPr>
                        <w:tcW w:w="4156" w:type="dxa"/>
                        <w:tcBorders>
                          <w:top w:val="nil" w:sz="6" w:space="0" w:color="auto"/>
                          <w:left w:val="single" w:sz="6" w:space="0" w:color="000000"/>
                          <w:bottom w:val="nil" w:sz="6" w:space="0" w:color="auto"/>
                          <w:right w:val="single" w:sz="6" w:space="0" w:color="000000"/>
                        </w:tcBorders>
                      </w:tcPr>
                      <w:p>
                        <w:pP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right="2"/>
                          <w:jc w:val="right"/>
                          <w:rPr>
                            <w:rFonts w:ascii="宋体" w:hAnsi="宋体" w:cs="宋体" w:eastAsia="宋体" w:hint="default"/>
                            <w:sz w:val="18"/>
                            <w:szCs w:val="18"/>
                          </w:rPr>
                        </w:pPr>
                        <w:r>
                          <w:rPr>
                            <w:rFonts w:ascii="宋体" w:hAnsi="宋体" w:cs="宋体" w:eastAsia="宋体" w:hint="default"/>
                            <w:spacing w:val="-4"/>
                            <w:sz w:val="18"/>
                            <w:szCs w:val="18"/>
                          </w:rPr>
                          <w:t>成本、毛利波动分析，主要产品本期收入、成本、毛利</w:t>
                        </w:r>
                      </w:p>
                    </w:tc>
                  </w:tr>
                  <w:tr>
                    <w:trPr>
                      <w:trHeight w:val="473" w:hRule="exact"/>
                    </w:trPr>
                    <w:tc>
                      <w:tcPr>
                        <w:tcW w:w="4156" w:type="dxa"/>
                        <w:tcBorders>
                          <w:top w:val="nil" w:sz="6" w:space="0" w:color="auto"/>
                          <w:left w:val="single" w:sz="6" w:space="0" w:color="000000"/>
                          <w:bottom w:val="nil" w:sz="6" w:space="0" w:color="auto"/>
                          <w:right w:val="single" w:sz="6" w:space="0" w:color="000000"/>
                        </w:tcBorders>
                      </w:tcPr>
                      <w:p>
                        <w:pP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hAnsi="宋体" w:cs="宋体" w:eastAsia="宋体" w:hint="default"/>
                            <w:sz w:val="18"/>
                            <w:szCs w:val="18"/>
                          </w:rPr>
                          <w:t>率与上期比较分析等分析程序。（</w:t>
                        </w:r>
                        <w:r>
                          <w:rPr>
                            <w:rFonts w:ascii="Times New Roman" w:hAnsi="Times New Roman" w:cs="Times New Roman" w:eastAsia="Times New Roman" w:hint="default"/>
                            <w:sz w:val="18"/>
                            <w:szCs w:val="18"/>
                          </w:rPr>
                          <w:t>5</w:t>
                        </w:r>
                        <w:r>
                          <w:rPr>
                            <w:rFonts w:ascii="宋体" w:hAnsi="宋体" w:cs="宋体" w:eastAsia="宋体" w:hint="default"/>
                            <w:sz w:val="18"/>
                            <w:szCs w:val="18"/>
                          </w:rPr>
                          <w:t>）结合应收账款和</w:t>
                        </w:r>
                      </w:p>
                    </w:tc>
                  </w:tr>
                  <w:tr>
                    <w:trPr>
                      <w:trHeight w:val="463" w:hRule="exact"/>
                    </w:trPr>
                    <w:tc>
                      <w:tcPr>
                        <w:tcW w:w="4156" w:type="dxa"/>
                        <w:tcBorders>
                          <w:top w:val="nil" w:sz="6" w:space="0" w:color="auto"/>
                          <w:left w:val="single" w:sz="6" w:space="0" w:color="000000"/>
                          <w:bottom w:val="nil" w:sz="6" w:space="0" w:color="auto"/>
                          <w:right w:val="single" w:sz="6" w:space="0" w:color="000000"/>
                        </w:tcBorders>
                      </w:tcPr>
                      <w:p>
                        <w:pP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发出商品函证程序，并抽查收入确认的相关外部单据</w:t>
                        </w:r>
                      </w:p>
                    </w:tc>
                  </w:tr>
                  <w:tr>
                    <w:trPr>
                      <w:trHeight w:val="473" w:hRule="exact"/>
                    </w:trPr>
                    <w:tc>
                      <w:tcPr>
                        <w:tcW w:w="4156" w:type="dxa"/>
                        <w:tcBorders>
                          <w:top w:val="nil" w:sz="6" w:space="0" w:color="auto"/>
                          <w:left w:val="single" w:sz="6" w:space="0" w:color="000000"/>
                          <w:bottom w:val="nil" w:sz="6" w:space="0" w:color="auto"/>
                          <w:right w:val="single" w:sz="6" w:space="0" w:color="000000"/>
                        </w:tcBorders>
                      </w:tcPr>
                      <w:p>
                        <w:pP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hAnsi="宋体" w:cs="宋体" w:eastAsia="宋体" w:hint="default"/>
                            <w:sz w:val="18"/>
                            <w:szCs w:val="18"/>
                          </w:rPr>
                          <w:t>检查已确认的收入的存在性。（</w:t>
                        </w:r>
                        <w:r>
                          <w:rPr>
                            <w:rFonts w:ascii="Times New Roman" w:hAnsi="Times New Roman" w:cs="Times New Roman" w:eastAsia="Times New Roman" w:hint="default"/>
                            <w:sz w:val="18"/>
                            <w:szCs w:val="18"/>
                          </w:rPr>
                          <w:t>6</w:t>
                        </w:r>
                        <w:r>
                          <w:rPr>
                            <w:rFonts w:ascii="宋体" w:hAnsi="宋体" w:cs="宋体" w:eastAsia="宋体" w:hint="default"/>
                            <w:sz w:val="18"/>
                            <w:szCs w:val="18"/>
                          </w:rPr>
                          <w:t>）针对资产负债表日</w:t>
                        </w:r>
                      </w:p>
                    </w:tc>
                  </w:tr>
                  <w:tr>
                    <w:trPr>
                      <w:trHeight w:val="463" w:hRule="exact"/>
                    </w:trPr>
                    <w:tc>
                      <w:tcPr>
                        <w:tcW w:w="4156" w:type="dxa"/>
                        <w:tcBorders>
                          <w:top w:val="nil" w:sz="6" w:space="0" w:color="auto"/>
                          <w:left w:val="single" w:sz="6" w:space="0" w:color="000000"/>
                          <w:bottom w:val="nil" w:sz="6" w:space="0" w:color="auto"/>
                          <w:right w:val="single" w:sz="6" w:space="0" w:color="000000"/>
                        </w:tcBorders>
                      </w:tcPr>
                      <w:p>
                        <w:pP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hAnsi="宋体" w:cs="宋体" w:eastAsia="宋体" w:hint="default"/>
                            <w:sz w:val="18"/>
                            <w:szCs w:val="18"/>
                          </w:rPr>
                          <w:t>前后确认的销售收入执行截止性测试程序</w:t>
                        </w:r>
                        <w:r>
                          <w:rPr>
                            <w:rFonts w:ascii="宋体" w:hAnsi="宋体" w:cs="宋体" w:eastAsia="宋体" w:hint="default"/>
                            <w:spacing w:val="-76"/>
                            <w:sz w:val="18"/>
                            <w:szCs w:val="18"/>
                          </w:rPr>
                          <w:t>，</w:t>
                        </w:r>
                        <w:r>
                          <w:rPr>
                            <w:rFonts w:ascii="宋体" w:hAnsi="宋体" w:cs="宋体" w:eastAsia="宋体" w:hint="default"/>
                            <w:sz w:val="18"/>
                            <w:szCs w:val="18"/>
                          </w:rPr>
                          <w:t>核对产成品</w:t>
                        </w:r>
                      </w:p>
                    </w:tc>
                  </w:tr>
                  <w:tr>
                    <w:trPr>
                      <w:trHeight w:val="468" w:hRule="exact"/>
                    </w:trPr>
                    <w:tc>
                      <w:tcPr>
                        <w:tcW w:w="4156" w:type="dxa"/>
                        <w:tcBorders>
                          <w:top w:val="nil" w:sz="6" w:space="0" w:color="auto"/>
                          <w:left w:val="single" w:sz="6" w:space="0" w:color="000000"/>
                          <w:bottom w:val="nil" w:sz="6" w:space="0" w:color="auto"/>
                          <w:right w:val="single" w:sz="6" w:space="0" w:color="000000"/>
                        </w:tcBorders>
                      </w:tcPr>
                      <w:p>
                        <w:pP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hAnsi="宋体" w:cs="宋体" w:eastAsia="宋体" w:hint="default"/>
                            <w:sz w:val="18"/>
                            <w:szCs w:val="18"/>
                          </w:rPr>
                          <w:t>的发出到客户验收的单证相关时间节点</w:t>
                        </w:r>
                        <w:r>
                          <w:rPr>
                            <w:rFonts w:ascii="宋体" w:hAnsi="宋体" w:cs="宋体" w:eastAsia="宋体" w:hint="default"/>
                            <w:spacing w:val="-75"/>
                            <w:sz w:val="18"/>
                            <w:szCs w:val="18"/>
                          </w:rPr>
                          <w:t>，</w:t>
                        </w:r>
                        <w:r>
                          <w:rPr>
                            <w:rFonts w:ascii="宋体" w:hAnsi="宋体" w:cs="宋体" w:eastAsia="宋体" w:hint="default"/>
                            <w:spacing w:val="-2"/>
                            <w:sz w:val="18"/>
                            <w:szCs w:val="18"/>
                          </w:rPr>
                          <w:t>以</w:t>
                        </w:r>
                        <w:r>
                          <w:rPr>
                            <w:rFonts w:ascii="宋体" w:hAnsi="宋体" w:cs="宋体" w:eastAsia="宋体" w:hint="default"/>
                            <w:sz w:val="18"/>
                            <w:szCs w:val="18"/>
                          </w:rPr>
                          <w:t>评估销售收</w:t>
                        </w:r>
                      </w:p>
                    </w:tc>
                  </w:tr>
                  <w:tr>
                    <w:trPr>
                      <w:trHeight w:val="485" w:hRule="exact"/>
                    </w:trPr>
                    <w:tc>
                      <w:tcPr>
                        <w:tcW w:w="4156" w:type="dxa"/>
                        <w:tcBorders>
                          <w:top w:val="nil" w:sz="6" w:space="0" w:color="auto"/>
                          <w:left w:val="single" w:sz="6" w:space="0" w:color="000000"/>
                          <w:bottom w:val="single" w:sz="6" w:space="0" w:color="000000"/>
                          <w:right w:val="single" w:sz="6" w:space="0" w:color="000000"/>
                        </w:tcBorders>
                      </w:tcPr>
                      <w:p>
                        <w:pPr/>
                      </w:p>
                    </w:tc>
                    <w:tc>
                      <w:tcPr>
                        <w:tcW w:w="426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入是否在恰当的期间，</w:t>
                        </w:r>
                        <w:r>
                          <w:rPr>
                            <w:rFonts w:ascii="宋体" w:hAnsi="宋体" w:cs="宋体" w:eastAsia="宋体" w:hint="default"/>
                            <w:spacing w:val="-19"/>
                            <w:sz w:val="18"/>
                            <w:szCs w:val="18"/>
                          </w:rPr>
                          <w:t> </w:t>
                        </w:r>
                        <w:r>
                          <w:rPr>
                            <w:rFonts w:ascii="宋体" w:hAnsi="宋体" w:cs="宋体" w:eastAsia="宋体" w:hint="default"/>
                            <w:sz w:val="18"/>
                            <w:szCs w:val="18"/>
                          </w:rPr>
                          <w:t>确认是否存在跨期问题。</w:t>
                        </w:r>
                      </w:p>
                    </w:tc>
                  </w:tr>
                  <w:tr>
                    <w:trPr>
                      <w:trHeight w:val="503" w:hRule="exact"/>
                    </w:trPr>
                    <w:tc>
                      <w:tcPr>
                        <w:tcW w:w="84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）商誉</w:t>
                        </w:r>
                      </w:p>
                    </w:tc>
                  </w:tr>
                  <w:tr>
                    <w:trPr>
                      <w:trHeight w:val="491" w:hRule="exact"/>
                    </w:trPr>
                    <w:tc>
                      <w:tcPr>
                        <w:tcW w:w="41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日，如新开普公司合并财务报</w:t>
                        </w:r>
                      </w:p>
                    </w:tc>
                    <w:tc>
                      <w:tcPr>
                        <w:tcW w:w="426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9"/>
                          <w:ind w:right="16"/>
                          <w:jc w:val="right"/>
                          <w:rPr>
                            <w:rFonts w:ascii="宋体" w:hAnsi="宋体" w:cs="宋体" w:eastAsia="宋体" w:hint="default"/>
                            <w:sz w:val="18"/>
                            <w:szCs w:val="18"/>
                          </w:rPr>
                        </w:pPr>
                        <w:r>
                          <w:rPr>
                            <w:rFonts w:ascii="宋体" w:hAnsi="宋体" w:cs="宋体" w:eastAsia="宋体" w:hint="default"/>
                            <w:sz w:val="18"/>
                            <w:szCs w:val="18"/>
                          </w:rPr>
                          <w:t>我们执行的主要审计程序如下：（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）测试与商誉减值</w:t>
                        </w:r>
                      </w:p>
                    </w:tc>
                  </w:tr>
                  <w:tr>
                    <w:trPr>
                      <w:trHeight w:val="468" w:hRule="exact"/>
                    </w:trPr>
                    <w:tc>
                      <w:tcPr>
                        <w:tcW w:w="4156"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表</w:t>
                        </w:r>
                        <w:r>
                          <w:rPr>
                            <w:rFonts w:ascii="宋体" w:hAnsi="宋体" w:cs="宋体" w:eastAsia="宋体" w:hint="default"/>
                            <w:spacing w:val="-51"/>
                            <w:sz w:val="18"/>
                            <w:szCs w:val="18"/>
                          </w:rPr>
                          <w:t> </w:t>
                        </w:r>
                        <w:r>
                          <w:rPr>
                            <w:rFonts w:ascii="宋体" w:hAnsi="宋体" w:cs="宋体" w:eastAsia="宋体" w:hint="default"/>
                            <w:sz w:val="18"/>
                            <w:szCs w:val="18"/>
                          </w:rPr>
                          <w:t>附注七（15）所述，新开普公司商誉净值为</w:t>
                        </w:r>
                        <w:r>
                          <w:rPr>
                            <w:rFonts w:ascii="Times New Roman" w:hAnsi="Times New Roman" w:cs="Times New Roman" w:eastAsia="Times New Roman" w:hint="default"/>
                            <w:sz w:val="18"/>
                            <w:szCs w:val="18"/>
                          </w:rPr>
                          <w:t>4.70</w:t>
                        </w:r>
                        <w:r>
                          <w:rPr>
                            <w:rFonts w:ascii="宋体" w:hAnsi="宋体" w:cs="宋体" w:eastAsia="宋体" w:hint="default"/>
                            <w:sz w:val="18"/>
                            <w:szCs w:val="18"/>
                          </w:rPr>
                          <w:t>亿</w:t>
                        </w: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right="16"/>
                          <w:jc w:val="right"/>
                          <w:rPr>
                            <w:rFonts w:ascii="宋体" w:hAnsi="宋体" w:cs="宋体" w:eastAsia="宋体" w:hint="default"/>
                            <w:sz w:val="18"/>
                            <w:szCs w:val="18"/>
                          </w:rPr>
                        </w:pPr>
                        <w:r>
                          <w:rPr>
                            <w:rFonts w:ascii="宋体" w:hAnsi="宋体" w:cs="宋体" w:eastAsia="宋体" w:hint="default"/>
                            <w:sz w:val="18"/>
                            <w:szCs w:val="18"/>
                          </w:rPr>
                          <w:t>相关的主要内部控制；（</w:t>
                        </w:r>
                        <w:r>
                          <w:rPr>
                            <w:rFonts w:ascii="Times New Roman" w:hAnsi="Times New Roman" w:cs="Times New Roman" w:eastAsia="Times New Roman" w:hint="default"/>
                            <w:sz w:val="18"/>
                            <w:szCs w:val="18"/>
                          </w:rPr>
                          <w:t>2</w:t>
                        </w:r>
                        <w:r>
                          <w:rPr>
                            <w:rFonts w:ascii="宋体" w:hAnsi="宋体" w:cs="宋体" w:eastAsia="宋体" w:hint="default"/>
                            <w:sz w:val="18"/>
                            <w:szCs w:val="18"/>
                          </w:rPr>
                          <w:t>）我们与管理层讨论商誉减</w:t>
                        </w:r>
                      </w:p>
                    </w:tc>
                  </w:tr>
                  <w:tr>
                    <w:trPr>
                      <w:trHeight w:val="463" w:hRule="exact"/>
                    </w:trPr>
                    <w:tc>
                      <w:tcPr>
                        <w:tcW w:w="4156"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元，为新开普公司收购子公司形成，管理层须每年对</w:t>
                        </w: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right="0"/>
                          <w:jc w:val="right"/>
                          <w:rPr>
                            <w:rFonts w:ascii="宋体" w:hAnsi="宋体" w:cs="宋体" w:eastAsia="宋体" w:hint="default"/>
                            <w:sz w:val="18"/>
                            <w:szCs w:val="18"/>
                          </w:rPr>
                        </w:pPr>
                        <w:r>
                          <w:rPr>
                            <w:rFonts w:ascii="宋体" w:hAnsi="宋体" w:cs="宋体" w:eastAsia="宋体" w:hint="default"/>
                            <w:spacing w:val="-4"/>
                            <w:sz w:val="18"/>
                            <w:szCs w:val="18"/>
                          </w:rPr>
                          <w:t>值评估的方法，包括每个组成部分的预测未来收入、现</w:t>
                        </w:r>
                      </w:p>
                    </w:tc>
                  </w:tr>
                  <w:tr>
                    <w:trPr>
                      <w:trHeight w:val="468" w:hRule="exact"/>
                    </w:trPr>
                    <w:tc>
                      <w:tcPr>
                        <w:tcW w:w="4156"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商誉进行减值测试。商誉减值测试的结果很大程度上</w:t>
                        </w: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金流折现率等假设的合理性及每个组成部分盈利状况</w:t>
                        </w:r>
                      </w:p>
                    </w:tc>
                  </w:tr>
                  <w:tr>
                    <w:trPr>
                      <w:trHeight w:val="473" w:hRule="exact"/>
                    </w:trPr>
                    <w:tc>
                      <w:tcPr>
                        <w:tcW w:w="4156"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依赖于管理层所做的估计和采用的假设例如对资产</w:t>
                        </w: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right="16"/>
                          <w:jc w:val="right"/>
                          <w:rPr>
                            <w:rFonts w:ascii="宋体" w:hAnsi="宋体" w:cs="宋体" w:eastAsia="宋体" w:hint="default"/>
                            <w:sz w:val="18"/>
                            <w:szCs w:val="18"/>
                          </w:rPr>
                        </w:pPr>
                        <w:r>
                          <w:rPr>
                            <w:rFonts w:ascii="宋体" w:hAnsi="宋体" w:cs="宋体" w:eastAsia="宋体" w:hint="default"/>
                            <w:sz w:val="18"/>
                            <w:szCs w:val="18"/>
                          </w:rPr>
                          <w:t>的判断和评估。（</w:t>
                        </w:r>
                        <w:r>
                          <w:rPr>
                            <w:rFonts w:ascii="Times New Roman" w:hAnsi="Times New Roman" w:cs="Times New Roman" w:eastAsia="Times New Roman" w:hint="default"/>
                            <w:sz w:val="18"/>
                            <w:szCs w:val="18"/>
                          </w:rPr>
                          <w:t>3</w:t>
                        </w:r>
                        <w:r>
                          <w:rPr>
                            <w:rFonts w:ascii="宋体" w:hAnsi="宋体" w:cs="宋体" w:eastAsia="宋体" w:hint="default"/>
                            <w:sz w:val="18"/>
                            <w:szCs w:val="18"/>
                          </w:rPr>
                          <w:t>）评估管理层关键假设及数据的合</w:t>
                        </w:r>
                      </w:p>
                    </w:tc>
                  </w:tr>
                  <w:tr>
                    <w:trPr>
                      <w:trHeight w:val="468" w:hRule="exact"/>
                    </w:trPr>
                    <w:tc>
                      <w:tcPr>
                        <w:tcW w:w="4156"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组预计未来可产生现金流量和折现率的估计。由于商</w:t>
                        </w: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right="16"/>
                          <w:jc w:val="right"/>
                          <w:rPr>
                            <w:rFonts w:ascii="宋体" w:hAnsi="宋体" w:cs="宋体" w:eastAsia="宋体" w:hint="default"/>
                            <w:sz w:val="18"/>
                            <w:szCs w:val="18"/>
                          </w:rPr>
                        </w:pPr>
                        <w:r>
                          <w:rPr>
                            <w:rFonts w:ascii="宋体" w:hAnsi="宋体" w:cs="宋体" w:eastAsia="宋体" w:hint="default"/>
                            <w:sz w:val="18"/>
                            <w:szCs w:val="18"/>
                          </w:rPr>
                          <w:t>理性。（</w:t>
                        </w:r>
                        <w:r>
                          <w:rPr>
                            <w:rFonts w:ascii="Times New Roman" w:hAnsi="Times New Roman" w:cs="Times New Roman" w:eastAsia="Times New Roman" w:hint="default"/>
                            <w:sz w:val="18"/>
                            <w:szCs w:val="18"/>
                          </w:rPr>
                          <w:t>4</w:t>
                        </w:r>
                        <w:r>
                          <w:rPr>
                            <w:rFonts w:ascii="宋体" w:hAnsi="宋体" w:cs="宋体" w:eastAsia="宋体" w:hint="default"/>
                            <w:sz w:val="18"/>
                            <w:szCs w:val="18"/>
                          </w:rPr>
                          <w:t>）根据管理层提供的数据和支持凭证以及各</w:t>
                        </w:r>
                      </w:p>
                    </w:tc>
                  </w:tr>
                  <w:tr>
                    <w:trPr>
                      <w:trHeight w:val="463" w:hRule="exact"/>
                    </w:trPr>
                    <w:tc>
                      <w:tcPr>
                        <w:tcW w:w="4156"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誉减值过程涉及重大判断，该事项对于我们而言是重</w:t>
                        </w:r>
                      </w:p>
                    </w:tc>
                    <w:tc>
                      <w:tcPr>
                        <w:tcW w:w="4265" w:type="dxa"/>
                        <w:tcBorders>
                          <w:top w:val="nil" w:sz="6" w:space="0" w:color="auto"/>
                          <w:left w:val="single" w:sz="6" w:space="0" w:color="000000"/>
                          <w:bottom w:val="nil" w:sz="6" w:space="0" w:color="auto"/>
                          <w:right w:val="single" w:sz="6" w:space="0" w:color="000000"/>
                        </w:tcBorders>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组成部分的预测，评估管理层对该预测的合理性。</w:t>
                        </w:r>
                      </w:p>
                    </w:tc>
                  </w:tr>
                  <w:tr>
                    <w:trPr>
                      <w:trHeight w:val="468" w:hRule="exact"/>
                    </w:trPr>
                    <w:tc>
                      <w:tcPr>
                        <w:tcW w:w="4156"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要的。</w:t>
                        </w:r>
                      </w:p>
                    </w:tc>
                    <w:tc>
                      <w:tcPr>
                        <w:tcW w:w="4265" w:type="dxa"/>
                        <w:tcBorders>
                          <w:top w:val="nil" w:sz="6" w:space="0" w:color="auto"/>
                          <w:left w:val="single" w:sz="6" w:space="0" w:color="000000"/>
                          <w:bottom w:val="nil" w:sz="6" w:space="0" w:color="auto"/>
                          <w:right w:val="single" w:sz="6" w:space="0" w:color="000000"/>
                        </w:tcBorders>
                      </w:tcPr>
                      <w:p>
                        <w:pPr/>
                      </w:p>
                    </w:tc>
                  </w:tr>
                  <w:tr>
                    <w:trPr>
                      <w:trHeight w:val="486" w:hRule="exact"/>
                    </w:trPr>
                    <w:tc>
                      <w:tcPr>
                        <w:tcW w:w="415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pacing w:val="-4"/>
                            <w:sz w:val="18"/>
                            <w:szCs w:val="18"/>
                          </w:rPr>
                          <w:t>关于商誉减值的披露请参见财务报表附注七、（15）</w:t>
                        </w:r>
                        <w:r>
                          <w:rPr>
                            <w:rFonts w:ascii="宋体" w:hAnsi="宋体" w:cs="宋体" w:eastAsia="宋体" w:hint="default"/>
                            <w:sz w:val="18"/>
                            <w:szCs w:val="18"/>
                          </w:rPr>
                        </w:r>
                      </w:p>
                    </w:tc>
                    <w:tc>
                      <w:tcPr>
                        <w:tcW w:w="426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88"/>
                          <w:ind w:left="-107" w:right="0"/>
                          <w:jc w:val="left"/>
                          <w:rPr>
                            <w:rFonts w:ascii="宋体" w:hAnsi="宋体" w:cs="宋体" w:eastAsia="宋体" w:hint="default"/>
                            <w:sz w:val="18"/>
                            <w:szCs w:val="18"/>
                          </w:rPr>
                        </w:pP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44"/>
        <w:ind w:left="0" w:right="69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44"/>
        <w:ind w:left="0" w:right="69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7" w:lineRule="auto" w:before="182"/>
        <w:ind w:left="721" w:right="3683" w:hanging="2"/>
        <w:jc w:val="left"/>
        <w:rPr>
          <w:rFonts w:ascii="宋体" w:hAnsi="宋体" w:cs="宋体" w:eastAsia="宋体" w:hint="default"/>
          <w:sz w:val="24"/>
          <w:szCs w:val="24"/>
        </w:rPr>
      </w:pPr>
      <w:r>
        <w:rPr>
          <w:rFonts w:ascii="宋体" w:hAnsi="宋体" w:cs="宋体" w:eastAsia="宋体" w:hint="default"/>
          <w:b/>
          <w:bCs/>
          <w:sz w:val="24"/>
          <w:szCs w:val="24"/>
        </w:rPr>
        <w:t>四.其他信息</w:t>
      </w:r>
      <w:r>
        <w:rPr>
          <w:rFonts w:ascii="宋体" w:hAnsi="宋体" w:cs="宋体" w:eastAsia="宋体" w:hint="default"/>
          <w:b/>
          <w:bCs/>
          <w:w w:val="99"/>
          <w:sz w:val="24"/>
          <w:szCs w:val="24"/>
        </w:rPr>
        <w:t> </w:t>
      </w:r>
      <w:r>
        <w:rPr>
          <w:rFonts w:ascii="宋体" w:hAnsi="宋体" w:cs="宋体" w:eastAsia="宋体" w:hint="default"/>
          <w:sz w:val="24"/>
          <w:szCs w:val="24"/>
        </w:rPr>
        <w:t>新开普管理层（以下简称管理层）对其他信息负责。</w:t>
      </w:r>
    </w:p>
    <w:p>
      <w:pPr>
        <w:pStyle w:val="Heading3"/>
        <w:spacing w:line="338" w:lineRule="auto" w:before="36"/>
        <w:ind w:left="721" w:right="133"/>
        <w:jc w:val="left"/>
      </w:pPr>
      <w:r>
        <w:rPr/>
        <w:t>其他信息包括</w:t>
      </w:r>
      <w:r>
        <w:rPr>
          <w:rFonts w:ascii="Times New Roman" w:hAnsi="Times New Roman" w:cs="Times New Roman" w:eastAsia="Times New Roman" w:hint="default"/>
        </w:rPr>
        <w:t>2017</w:t>
      </w:r>
      <w:r>
        <w:rPr/>
        <w:t>年度报告中涵盖的信息，但不包括财务报表和我们的审计报告。 </w:t>
      </w:r>
      <w:r>
        <w:rPr>
          <w:spacing w:val="-2"/>
        </w:rPr>
        <w:t>我们对财务报表发表的审计意见不涵盖其他信息，我们也不对其他信息发表任何形式的</w:t>
      </w:r>
    </w:p>
    <w:p>
      <w:pPr>
        <w:pStyle w:val="Heading3"/>
        <w:spacing w:line="240" w:lineRule="auto" w:before="55"/>
        <w:ind w:right="133"/>
        <w:jc w:val="left"/>
      </w:pPr>
      <w:r>
        <w:rPr/>
        <w:t>鉴证结论。</w:t>
      </w:r>
    </w:p>
    <w:p>
      <w:pPr>
        <w:spacing w:after="0" w:line="240" w:lineRule="auto"/>
        <w:jc w:val="left"/>
        <w:sectPr>
          <w:pgSz w:w="11910" w:h="16840"/>
          <w:pgMar w:header="877" w:footer="982" w:top="1100" w:bottom="1180" w:left="980" w:right="980"/>
        </w:sectPr>
      </w:pPr>
    </w:p>
    <w:p>
      <w:pPr>
        <w:spacing w:line="240" w:lineRule="auto" w:before="7"/>
        <w:rPr>
          <w:rFonts w:ascii="宋体" w:hAnsi="宋体" w:cs="宋体" w:eastAsia="宋体" w:hint="default"/>
          <w:sz w:val="25"/>
          <w:szCs w:val="25"/>
        </w:rPr>
      </w:pPr>
    </w:p>
    <w:p>
      <w:pPr>
        <w:pStyle w:val="Heading3"/>
        <w:spacing w:line="357" w:lineRule="auto" w:before="26"/>
        <w:ind w:right="0" w:firstLine="567"/>
        <w:jc w:val="left"/>
      </w:pPr>
      <w:r>
        <w:rPr>
          <w:spacing w:val="-2"/>
        </w:rPr>
        <w:t>结合我们对财务报表的审计，我们的责任是阅读其他信息，在此过程中，考虑其他信息</w:t>
      </w:r>
      <w:r>
        <w:rPr/>
        <w:t> 是否与财务报表或我们在审计过程中了解到的情况存在重大不一致或者似乎存在重大错报。</w:t>
      </w:r>
    </w:p>
    <w:p>
      <w:pPr>
        <w:pStyle w:val="Heading3"/>
        <w:spacing w:line="357" w:lineRule="auto" w:before="36"/>
        <w:ind w:right="0" w:firstLine="567"/>
        <w:jc w:val="left"/>
      </w:pPr>
      <w:r>
        <w:rPr/>
        <w:t>基于我们已执行的工作，如果我们确定其他信息存在重大错报，我们应当报告该事实。</w:t>
      </w:r>
      <w:r>
        <w:rPr>
          <w:spacing w:val="2"/>
        </w:rPr>
        <w:t> </w:t>
      </w:r>
      <w:r>
        <w:rPr/>
        <w:t>在这方面，我们无任何事项需要报告。</w:t>
      </w:r>
    </w:p>
    <w:p>
      <w:pPr>
        <w:spacing w:line="338" w:lineRule="auto" w:before="36"/>
        <w:ind w:left="721" w:right="0" w:hanging="2"/>
        <w:jc w:val="left"/>
        <w:rPr>
          <w:rFonts w:ascii="宋体" w:hAnsi="宋体" w:cs="宋体" w:eastAsia="宋体" w:hint="default"/>
          <w:sz w:val="24"/>
          <w:szCs w:val="24"/>
        </w:rPr>
      </w:pPr>
      <w:r>
        <w:rPr>
          <w:rFonts w:ascii="宋体" w:hAnsi="宋体" w:cs="宋体" w:eastAsia="宋体" w:hint="default"/>
          <w:b/>
          <w:bCs/>
          <w:sz w:val="24"/>
          <w:szCs w:val="24"/>
        </w:rPr>
        <w:t>五</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管理层和治理层对财务报表的责任</w:t>
      </w:r>
      <w:r>
        <w:rPr>
          <w:rFonts w:ascii="宋体" w:hAnsi="宋体" w:cs="宋体" w:eastAsia="宋体" w:hint="default"/>
          <w:b/>
          <w:bCs/>
          <w:w w:val="99"/>
          <w:sz w:val="24"/>
          <w:szCs w:val="24"/>
        </w:rPr>
        <w:t> </w:t>
      </w:r>
      <w:r>
        <w:rPr>
          <w:rFonts w:ascii="宋体" w:hAnsi="宋体" w:cs="宋体" w:eastAsia="宋体" w:hint="default"/>
          <w:spacing w:val="-2"/>
          <w:sz w:val="24"/>
          <w:szCs w:val="24"/>
        </w:rPr>
        <w:t>管理层负责按照企业会计准则的规定编制财务报表，使其实现公允反映，并设计、执行</w:t>
      </w:r>
    </w:p>
    <w:p>
      <w:pPr>
        <w:pStyle w:val="Heading3"/>
        <w:spacing w:line="357" w:lineRule="auto" w:before="55"/>
        <w:ind w:left="721" w:right="0" w:hanging="568"/>
        <w:jc w:val="left"/>
      </w:pPr>
      <w:r>
        <w:rPr/>
        <w:t>和维护必要的内部控制，以使财务报表不存在由于舞弊或错误导致的重大错报。 </w:t>
      </w:r>
      <w:r>
        <w:rPr>
          <w:spacing w:val="-2"/>
        </w:rPr>
        <w:t>在编制财务报表时，管理层负责评估新开普的持续经营能力，披露与持续经营相关的事</w:t>
      </w:r>
    </w:p>
    <w:p>
      <w:pPr>
        <w:pStyle w:val="Heading3"/>
        <w:spacing w:line="357" w:lineRule="auto" w:before="36"/>
        <w:ind w:left="721" w:right="336" w:hanging="568"/>
        <w:jc w:val="left"/>
      </w:pPr>
      <w:r>
        <w:rPr>
          <w:spacing w:val="-5"/>
        </w:rPr>
        <w:t>项（如适用），并运用持续经营假设，除非计划进行清算、终止运营或别无其他现实的选择。</w:t>
      </w:r>
      <w:r>
        <w:rPr/>
        <w:t> 治理层负责监督新开普的财务报告过程。</w:t>
      </w:r>
    </w:p>
    <w:p>
      <w:pPr>
        <w:spacing w:line="338" w:lineRule="auto" w:before="36"/>
        <w:ind w:left="721" w:right="338" w:firstLine="0"/>
        <w:jc w:val="left"/>
        <w:rPr>
          <w:rFonts w:ascii="宋体" w:hAnsi="宋体" w:cs="宋体" w:eastAsia="宋体" w:hint="default"/>
          <w:sz w:val="24"/>
          <w:szCs w:val="24"/>
        </w:rPr>
      </w:pPr>
      <w:r>
        <w:rPr>
          <w:rFonts w:ascii="宋体" w:hAnsi="宋体" w:cs="宋体" w:eastAsia="宋体" w:hint="default"/>
          <w:b/>
          <w:bCs/>
          <w:sz w:val="24"/>
          <w:szCs w:val="24"/>
        </w:rPr>
        <w:t>六</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注册会计师对财务报表审计的责任</w:t>
      </w:r>
      <w:r>
        <w:rPr>
          <w:rFonts w:ascii="宋体" w:hAnsi="宋体" w:cs="宋体" w:eastAsia="宋体" w:hint="default"/>
          <w:b/>
          <w:bCs/>
          <w:w w:val="99"/>
          <w:sz w:val="24"/>
          <w:szCs w:val="24"/>
        </w:rPr>
        <w:t> </w:t>
      </w:r>
      <w:r>
        <w:rPr>
          <w:rFonts w:ascii="宋体" w:hAnsi="宋体" w:cs="宋体" w:eastAsia="宋体" w:hint="default"/>
          <w:spacing w:val="5"/>
          <w:sz w:val="24"/>
          <w:szCs w:val="24"/>
        </w:rPr>
        <w:t>我们的目标是对财务报表整体是否不存在由于舞弊或错误导致的重大错报获取合理保</w:t>
      </w:r>
      <w:r>
        <w:rPr>
          <w:rFonts w:ascii="宋体" w:hAnsi="宋体" w:cs="宋体" w:eastAsia="宋体" w:hint="default"/>
          <w:sz w:val="24"/>
          <w:szCs w:val="24"/>
        </w:rPr>
      </w:r>
    </w:p>
    <w:p>
      <w:pPr>
        <w:pStyle w:val="Heading3"/>
        <w:spacing w:line="357" w:lineRule="auto" w:before="55"/>
        <w:ind w:right="348"/>
        <w:jc w:val="both"/>
      </w:pPr>
      <w:r>
        <w:rPr/>
        <w:t>证，并出具包含审计意见的审计报告。合理保证是高水平的保证，但并不能保证按照审计准</w:t>
      </w:r>
      <w:r>
        <w:rPr>
          <w:spacing w:val="-83"/>
        </w:rPr>
        <w:t> </w:t>
      </w:r>
      <w:r>
        <w:rPr>
          <w:spacing w:val="-83"/>
        </w:rPr>
      </w:r>
      <w:r>
        <w:rPr/>
        <w:t>则执行的审计在某一重大错报存在时总能发现。错报可能由于舞弊或错误导致，如果合理预</w:t>
      </w:r>
      <w:r>
        <w:rPr>
          <w:spacing w:val="-83"/>
        </w:rPr>
        <w:t> </w:t>
      </w:r>
      <w:r>
        <w:rPr>
          <w:spacing w:val="-83"/>
        </w:rPr>
      </w:r>
      <w:r>
        <w:rPr/>
        <w:t>期错报单独或汇总起来可能影响财务报表使用者依据财务报表作出的经济决策，则通常认为</w:t>
      </w:r>
      <w:r>
        <w:rPr>
          <w:spacing w:val="-83"/>
        </w:rPr>
        <w:t> </w:t>
      </w:r>
      <w:r>
        <w:rPr>
          <w:spacing w:val="-83"/>
        </w:rPr>
      </w:r>
      <w:r>
        <w:rPr/>
        <w:t>错报是重大的。</w:t>
      </w:r>
    </w:p>
    <w:p>
      <w:pPr>
        <w:pStyle w:val="Heading3"/>
        <w:spacing w:line="357" w:lineRule="auto" w:before="36"/>
        <w:ind w:right="0" w:firstLine="567"/>
        <w:jc w:val="left"/>
      </w:pPr>
      <w:r>
        <w:rPr/>
        <w:t>在按照审计准则执行审计工作的过程中，我们运用职业判断，并保持职业怀疑。同时，</w:t>
      </w:r>
      <w:r>
        <w:rPr>
          <w:spacing w:val="2"/>
        </w:rPr>
        <w:t> </w:t>
      </w:r>
      <w:r>
        <w:rPr/>
        <w:t>我们也执行以下工作：</w:t>
      </w:r>
    </w:p>
    <w:p>
      <w:pPr>
        <w:pStyle w:val="Heading3"/>
        <w:spacing w:line="350" w:lineRule="auto" w:before="36"/>
        <w:ind w:right="346" w:firstLine="567"/>
        <w:jc w:val="both"/>
      </w:pPr>
      <w:r>
        <w:rPr/>
        <w:t>（</w:t>
      </w:r>
      <w:r>
        <w:rPr>
          <w:rFonts w:ascii="Times New Roman" w:hAnsi="Times New Roman" w:cs="Times New Roman" w:eastAsia="Times New Roman" w:hint="default"/>
        </w:rPr>
        <w:t>1</w:t>
      </w:r>
      <w:r>
        <w:rPr/>
        <w:t>）识别和评估由于舞弊或错误导致的财务报表重大错报风险，设计和实施审计程序</w:t>
      </w:r>
      <w:r>
        <w:rPr>
          <w:spacing w:val="2"/>
        </w:rPr>
        <w:t> </w:t>
      </w:r>
      <w:r>
        <w:rPr/>
        <w:t>以应对这些风险，并获取充分、适当的审计证据，作为发表审计意见的基础。由于舞弊可能</w:t>
      </w:r>
      <w:r>
        <w:rPr>
          <w:spacing w:val="-83"/>
        </w:rPr>
        <w:t> </w:t>
      </w:r>
      <w:r>
        <w:rPr>
          <w:spacing w:val="-83"/>
        </w:rPr>
      </w:r>
      <w:r>
        <w:rPr/>
        <w:t>涉及串通、伪造、故意遗漏、虚假陈述或凌驾于内部控制之上，未能发现由于舞弊导致的重</w:t>
      </w:r>
      <w:r>
        <w:rPr>
          <w:spacing w:val="-83"/>
        </w:rPr>
        <w:t> </w:t>
      </w:r>
      <w:r>
        <w:rPr>
          <w:spacing w:val="-83"/>
        </w:rPr>
      </w:r>
      <w:r>
        <w:rPr/>
        <w:t>大错报的风险高于未能发现由于错误导致的重大错报的风险。</w:t>
      </w:r>
    </w:p>
    <w:p>
      <w:pPr>
        <w:pStyle w:val="Heading3"/>
        <w:spacing w:line="338" w:lineRule="auto" w:before="43"/>
        <w:ind w:right="0" w:firstLine="567"/>
        <w:jc w:val="left"/>
      </w:pPr>
      <w:r>
        <w:rPr/>
        <w:t>（</w:t>
      </w:r>
      <w:r>
        <w:rPr>
          <w:rFonts w:ascii="Times New Roman" w:hAnsi="Times New Roman" w:cs="Times New Roman" w:eastAsia="Times New Roman" w:hint="default"/>
        </w:rPr>
        <w:t>2</w:t>
      </w:r>
      <w:r>
        <w:rPr/>
        <w:t>）了解与审计相关的内部控制，以设计恰当的审计程序，但目的并非对内部控制的</w:t>
      </w:r>
      <w:r>
        <w:rPr>
          <w:spacing w:val="2"/>
        </w:rPr>
        <w:t> </w:t>
      </w:r>
      <w:r>
        <w:rPr/>
        <w:t>有效性发表意见。</w:t>
      </w:r>
    </w:p>
    <w:p>
      <w:pPr>
        <w:pStyle w:val="Heading3"/>
        <w:spacing w:line="240" w:lineRule="auto" w:before="55"/>
        <w:ind w:left="721"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Heading3"/>
        <w:spacing w:line="350" w:lineRule="auto" w:before="135"/>
        <w:ind w:left="154" w:right="0" w:firstLine="567"/>
        <w:jc w:val="left"/>
      </w:pPr>
      <w:r>
        <w:rPr/>
        <w:t>（</w:t>
      </w:r>
      <w:r>
        <w:rPr>
          <w:rFonts w:ascii="Times New Roman" w:hAnsi="Times New Roman" w:cs="Times New Roman" w:eastAsia="Times New Roman" w:hint="default"/>
        </w:rPr>
        <w:t>4</w:t>
      </w:r>
      <w:r>
        <w:rPr/>
        <w:t>）对管理层使用持续经营假设的恰当性得出结论。同时，根据获取的审计证据，就</w:t>
      </w:r>
      <w:r>
        <w:rPr>
          <w:spacing w:val="2"/>
        </w:rPr>
        <w:t> </w:t>
      </w:r>
      <w:r>
        <w:rPr/>
        <w:t>可能导致对新开普持续经营能力产生重大疑虑的事项或情况是否存在重大不确定性得出结论。</w:t>
      </w:r>
      <w:r>
        <w:rPr>
          <w:spacing w:val="-98"/>
        </w:rPr>
        <w:t> </w:t>
      </w:r>
      <w:r>
        <w:rPr>
          <w:spacing w:val="-98"/>
        </w:rPr>
      </w:r>
      <w:r>
        <w:rPr/>
        <w:t>如果我们得出结论认为存在重大不确定性，审计准则要求我们在审计报告中提请报表使用者</w:t>
      </w:r>
      <w:r>
        <w:rPr>
          <w:spacing w:val="-83"/>
        </w:rPr>
        <w:t> </w:t>
      </w:r>
      <w:r>
        <w:rPr>
          <w:spacing w:val="-83"/>
        </w:rPr>
      </w:r>
      <w:r>
        <w:rPr/>
        <w:t>注意财务报表中的相关披露；如果披露不充分，我们应当发表非无保留意见。我们的结论基</w:t>
      </w:r>
    </w:p>
    <w:p>
      <w:pPr>
        <w:spacing w:after="0" w:line="350" w:lineRule="auto"/>
        <w:jc w:val="left"/>
        <w:sectPr>
          <w:pgSz w:w="11910" w:h="16840"/>
          <w:pgMar w:header="877" w:footer="982" w:top="1100" w:bottom="1180" w:left="980" w:right="780"/>
        </w:sectPr>
      </w:pPr>
    </w:p>
    <w:p>
      <w:pPr>
        <w:spacing w:line="240" w:lineRule="auto" w:before="7"/>
        <w:rPr>
          <w:rFonts w:ascii="宋体" w:hAnsi="宋体" w:cs="宋体" w:eastAsia="宋体" w:hint="default"/>
          <w:sz w:val="25"/>
          <w:szCs w:val="25"/>
        </w:rPr>
      </w:pPr>
    </w:p>
    <w:p>
      <w:pPr>
        <w:pStyle w:val="Heading3"/>
        <w:spacing w:line="240" w:lineRule="auto" w:before="26"/>
        <w:ind w:left="154" w:right="133"/>
        <w:jc w:val="left"/>
      </w:pPr>
      <w:r>
        <w:rPr/>
        <w:t>于截至审计报告日可获得的信息。然而，未来的事项或情况可能导致新开普不能持续经营。</w:t>
      </w:r>
    </w:p>
    <w:p>
      <w:pPr>
        <w:pStyle w:val="Heading3"/>
        <w:spacing w:line="338" w:lineRule="auto" w:before="154"/>
        <w:ind w:left="154" w:right="146" w:firstLine="567"/>
        <w:jc w:val="both"/>
      </w:pPr>
      <w:r>
        <w:rPr/>
        <w:t>（</w:t>
      </w:r>
      <w:r>
        <w:rPr>
          <w:rFonts w:ascii="Times New Roman" w:hAnsi="Times New Roman" w:cs="Times New Roman" w:eastAsia="Times New Roman" w:hint="default"/>
        </w:rPr>
        <w:t>5</w:t>
      </w:r>
      <w:r>
        <w:rPr/>
        <w:t>）评价财务报表的总体列报、结构和内容（包括披露），并评价财务报表是否公允</w:t>
      </w:r>
      <w:r>
        <w:rPr>
          <w:spacing w:val="2"/>
        </w:rPr>
        <w:t> </w:t>
      </w:r>
      <w:r>
        <w:rPr/>
        <w:t>反映相关交易和事项。</w:t>
      </w:r>
    </w:p>
    <w:p>
      <w:pPr>
        <w:pStyle w:val="Heading3"/>
        <w:spacing w:line="338" w:lineRule="auto" w:before="55"/>
        <w:ind w:left="154" w:right="146" w:firstLine="567"/>
        <w:jc w:val="both"/>
      </w:pPr>
      <w:r>
        <w:rPr/>
        <w:t>（</w:t>
      </w:r>
      <w:r>
        <w:rPr>
          <w:rFonts w:ascii="Times New Roman" w:hAnsi="Times New Roman" w:cs="Times New Roman" w:eastAsia="Times New Roman" w:hint="default"/>
        </w:rPr>
        <w:t>6</w:t>
      </w:r>
      <w:r>
        <w:rPr/>
        <w:t>）就新开普中实体或业务活动的财务信息获取充分、适当的审计证据，以对财务报</w:t>
      </w:r>
      <w:r>
        <w:rPr>
          <w:spacing w:val="2"/>
        </w:rPr>
        <w:t> </w:t>
      </w:r>
      <w:r>
        <w:rPr/>
        <w:t>表发表审计意见。我们负责指导、监督和执行集团审计，并对审计意见承担全部责任。</w:t>
      </w:r>
    </w:p>
    <w:p>
      <w:pPr>
        <w:pStyle w:val="Heading3"/>
        <w:spacing w:line="357" w:lineRule="auto" w:before="55"/>
        <w:ind w:left="154" w:right="148" w:firstLine="567"/>
        <w:jc w:val="both"/>
      </w:pPr>
      <w:r>
        <w:rPr>
          <w:spacing w:val="-2"/>
        </w:rPr>
        <w:t>我们与治理层就计划的审计范围、时间安排和重大审计发现等事项进行沟通，包括沟通</w:t>
      </w:r>
      <w:r>
        <w:rPr/>
        <w:t> 我们在审计中识别出的值得关注的内部控制缺陷。</w:t>
      </w:r>
    </w:p>
    <w:p>
      <w:pPr>
        <w:pStyle w:val="Heading3"/>
        <w:spacing w:line="357" w:lineRule="auto" w:before="36"/>
        <w:ind w:left="154" w:right="151" w:firstLine="567"/>
        <w:jc w:val="both"/>
      </w:pPr>
      <w:r>
        <w:rPr>
          <w:spacing w:val="-2"/>
        </w:rPr>
        <w:t>我们还就已遵守与独立性相关的职业道德要求向治理层提供声明，并与治理层沟通可能</w:t>
      </w:r>
      <w:r>
        <w:rPr/>
        <w:t> 被合理认为影响我们独立性的所有关系和其他事项，以及相关的防范措施（如适用）。</w:t>
      </w:r>
    </w:p>
    <w:p>
      <w:pPr>
        <w:pStyle w:val="Heading3"/>
        <w:spacing w:line="357" w:lineRule="auto" w:before="36"/>
        <w:ind w:left="154" w:right="148" w:firstLine="567"/>
        <w:jc w:val="both"/>
      </w:pPr>
      <w:r>
        <w:rPr>
          <w:spacing w:val="-2"/>
        </w:rPr>
        <w:t>从与治理层沟通过的事项中，我们确定哪些事项对本期财务报表审计最为重要，因而构</w:t>
      </w:r>
      <w:r>
        <w:rPr/>
        <w:t> 成关键审计事项。我们在审计报告中描述这些事项，除非法律法规禁止公开披露这些事项，</w:t>
      </w:r>
      <w:r>
        <w:rPr>
          <w:spacing w:val="-83"/>
        </w:rPr>
        <w:t> </w:t>
      </w:r>
      <w:r>
        <w:rPr>
          <w:spacing w:val="-83"/>
        </w:rPr>
      </w:r>
      <w:r>
        <w:rPr/>
        <w:t>或在极少数情形下，如果合理预期在审计报告中沟通某事项造成的负面后果超过在公众利益</w:t>
      </w:r>
      <w:r>
        <w:rPr>
          <w:spacing w:val="-83"/>
        </w:rPr>
        <w:t> </w:t>
      </w:r>
      <w:r>
        <w:rPr>
          <w:spacing w:val="-83"/>
        </w:rPr>
      </w:r>
      <w:r>
        <w:rPr/>
        <w:t>方面产生的益处，我们确定不应在审计报告中沟通该事项。</w:t>
      </w:r>
    </w:p>
    <w:p>
      <w:pPr>
        <w:spacing w:line="240" w:lineRule="auto" w:before="7"/>
        <w:rPr>
          <w:rFonts w:ascii="宋体" w:hAnsi="宋体" w:cs="宋体" w:eastAsia="宋体" w:hint="default"/>
          <w:sz w:val="20"/>
          <w:szCs w:val="20"/>
        </w:rPr>
      </w:pPr>
    </w:p>
    <w:p>
      <w:pPr>
        <w:pStyle w:val="Heading2"/>
        <w:tabs>
          <w:tab w:pos="4199" w:val="left" w:leader="none"/>
        </w:tabs>
        <w:spacing w:line="313" w:lineRule="exact"/>
        <w:ind w:left="428" w:right="133"/>
        <w:jc w:val="left"/>
        <w:rPr>
          <w:b w:val="0"/>
          <w:bCs w:val="0"/>
        </w:rPr>
      </w:pPr>
      <w:r>
        <w:rPr>
          <w:w w:val="95"/>
        </w:rPr>
        <w:t>立信会计师事务所</w:t>
        <w:tab/>
      </w:r>
      <w:r>
        <w:rPr/>
        <w:t>中国注册会计师：陈勇波</w:t>
      </w:r>
      <w:r>
        <w:rPr>
          <w:b w:val="0"/>
          <w:bCs w:val="0"/>
        </w:rPr>
      </w:r>
    </w:p>
    <w:p>
      <w:pPr>
        <w:pStyle w:val="Heading2"/>
        <w:spacing w:line="313" w:lineRule="exact"/>
        <w:ind w:left="428" w:right="133"/>
        <w:jc w:val="left"/>
        <w:rPr>
          <w:b w:val="0"/>
          <w:bCs w:val="0"/>
        </w:rPr>
      </w:pPr>
      <w:r>
        <w:rPr/>
        <w:t>（特殊普通合伙）</w:t>
      </w:r>
      <w:r>
        <w:rPr>
          <w:b w:val="0"/>
          <w:bCs w:val="0"/>
        </w:rPr>
      </w:r>
    </w:p>
    <w:p>
      <w:pPr>
        <w:spacing w:line="240" w:lineRule="auto" w:before="9"/>
        <w:rPr>
          <w:rFonts w:ascii="宋体" w:hAnsi="宋体" w:cs="宋体" w:eastAsia="宋体" w:hint="default"/>
          <w:b/>
          <w:bCs/>
          <w:sz w:val="23"/>
          <w:szCs w:val="23"/>
        </w:rPr>
      </w:pPr>
    </w:p>
    <w:p>
      <w:pPr>
        <w:pStyle w:val="Heading2"/>
        <w:spacing w:line="240" w:lineRule="auto"/>
        <w:ind w:left="4272" w:right="133"/>
        <w:jc w:val="left"/>
        <w:rPr>
          <w:b w:val="0"/>
          <w:bCs w:val="0"/>
        </w:rPr>
      </w:pPr>
      <w:r>
        <w:rPr/>
        <w:t>中国注册会计师：张文雪</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2"/>
        <w:tabs>
          <w:tab w:pos="4640" w:val="left" w:leader="none"/>
        </w:tabs>
        <w:spacing w:line="240" w:lineRule="auto"/>
        <w:ind w:left="1358" w:right="133"/>
        <w:jc w:val="left"/>
        <w:rPr>
          <w:b w:val="0"/>
          <w:bCs w:val="0"/>
        </w:rPr>
      </w:pPr>
      <w:r>
        <w:rPr>
          <w:w w:val="95"/>
        </w:rPr>
        <w:t>中国</w:t>
      </w:r>
      <w:r>
        <w:rPr>
          <w:rFonts w:ascii="Times New Roman" w:hAnsi="Times New Roman" w:cs="Times New Roman" w:eastAsia="Times New Roman" w:hint="default"/>
          <w:w w:val="95"/>
        </w:rPr>
        <w:t>•</w:t>
      </w:r>
      <w:r>
        <w:rPr>
          <w:w w:val="95"/>
        </w:rPr>
        <w:t>上海</w:t>
        <w:tab/>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w:t>
      </w:r>
      <w:r>
        <w:rPr>
          <w:b w:val="0"/>
          <w:bCs w:val="0"/>
        </w:rPr>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pStyle w:val="Heading2"/>
        <w:spacing w:line="240" w:lineRule="auto" w:before="26"/>
        <w:ind w:right="133"/>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编制单位：新开普电子股份有限公司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3035" w:space="1042"/>
            <w:col w:w="1639" w:space="3203"/>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594,278,568.35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587,878,098.19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结算备付金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拆出资金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期损益的金融资产</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应收票据</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615,610.00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4,316,651.50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316,223,819.76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230,053,489.01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20,641,971.52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15,329,127.04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应收保费</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应收分保账款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应收分保合同准备金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57,605,184.03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42,198,274.22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买入返售金融资产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199,798,094.17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175,397,002.62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持有待售的资产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60,085,841.15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20,272,938.24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1,249,249,088.98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1,075,445,580.82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发放贷款及垫款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可供出售金融资产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18,543,795.60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60,752,766.40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30,332,364.67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16,492,066.84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17,223,810.60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147,322,185.56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148,629,634.47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1,783,603.93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554,979.63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55,214,461.24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40,458,633.75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469,584,839.57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469,584,839.57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3,774,552.65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1,472,300.81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15,858,974.52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12,067,855.68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788,843,450.71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738,868,214.78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2,038,092,539.69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1,814,313,795.60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174,962,218.66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113,871,032.87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68,225,497.47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87,048,134.42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12,055,978.80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12,503,928.97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41,934,169.18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37,937,960.36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317,324.70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80,990,373.87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194,913,242.30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46,053,400.01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35,936,666.66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804,582.90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569,538,962.69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483,015,548.48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69,149,900.00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96,411,666.68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18,928,075.00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17,620,995.00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88,077,975.00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114,032,661.68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657,616,937.69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597,048,210.16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324,475,501.00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324,587,301.00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702,083,069.98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689,027,663.38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69,528,553.80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117,420,988.00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39,527,567.18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30,018,196.80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365,046,574.10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272,739,063.88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1,361,604,158.46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1,198,951,237.06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18,871,443.54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18,314,348.38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1,380,475,602.00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1,217,265,585.44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2,038,092,539.69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1,814,313,795.60</w:t>
            </w:r>
          </w:p>
        </w:tc>
      </w:tr>
    </w:tbl>
    <w:p>
      <w:pPr>
        <w:spacing w:line="240" w:lineRule="auto" w:before="3"/>
        <w:rPr>
          <w:rFonts w:ascii="Times New Roman" w:hAnsi="Times New Roman" w:cs="Times New Roman" w:eastAsia="Times New Roman" w:hint="default"/>
          <w:sz w:val="23"/>
          <w:szCs w:val="23"/>
        </w:rPr>
      </w:pPr>
    </w:p>
    <w:p>
      <w:pPr>
        <w:tabs>
          <w:tab w:pos="3509" w:val="left" w:leader="none"/>
          <w:tab w:pos="7739" w:val="left" w:leader="none"/>
        </w:tabs>
        <w:spacing w:before="44"/>
        <w:ind w:left="0" w:right="248" w:firstLine="0"/>
        <w:jc w:val="right"/>
        <w:rPr>
          <w:rFonts w:ascii="宋体" w:hAnsi="宋体" w:cs="宋体" w:eastAsia="宋体" w:hint="default"/>
          <w:sz w:val="18"/>
          <w:szCs w:val="18"/>
        </w:rPr>
      </w:pPr>
      <w:r>
        <w:rPr>
          <w:rFonts w:ascii="宋体" w:hAnsi="宋体" w:cs="宋体" w:eastAsia="宋体" w:hint="default"/>
          <w:sz w:val="18"/>
          <w:szCs w:val="18"/>
        </w:rPr>
        <w:t>法定代表人：杨维国</w:t>
        <w:tab/>
        <w:t>主管会计工作负责人：李玉玲</w:t>
        <w:tab/>
        <w:t>会计机构负责人：张翀</w:t>
      </w:r>
    </w:p>
    <w:p>
      <w:pPr>
        <w:spacing w:line="240" w:lineRule="auto" w:before="11"/>
        <w:rPr>
          <w:rFonts w:ascii="宋体" w:hAnsi="宋体" w:cs="宋体" w:eastAsia="宋体" w:hint="default"/>
          <w:sz w:val="26"/>
          <w:szCs w:val="26"/>
        </w:rPr>
      </w:pPr>
    </w:p>
    <w:p>
      <w:pPr>
        <w:pStyle w:val="Heading4"/>
        <w:spacing w:line="240" w:lineRule="auto"/>
        <w:ind w:right="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528,656,517.20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536,320,548.74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575,610.00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1,048,565.00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220,191,875.62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169,742,870.70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12,113,285.60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8,764,366.23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30,693,961.12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22,953,253.37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185,298,064.53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159,398,318.95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60,084,791.50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83,911.50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1,037,614,105.57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898,311,834.49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18,543,795.60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619,602,766.40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589,182,364.67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16,492,066.84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17,223,810.60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120,582,279.48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121,666,345.82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1,783,603.93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554,979.63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28,900,147.50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10,884,556.36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3,774,552.65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1,472,300.81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12,637,647.49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10,560,726.13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821,833,064.29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770,088,879.62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1,859,447,169.86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1,668,400,714.11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148,426,180.53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86,651,078.47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54,186,647.90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76,197,310.89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65,775.70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235,204.53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20,770,194.85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22,934,653.89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317,324.70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79,555,063.88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192,173,938.77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46,053,400.01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35,936,666.66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494,374,587.57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414,128,853.21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69,149,900.00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96,411,666.68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17,608,075.00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17,620,995.00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86,757,975.00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114,032,661.68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581,132,562.57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528,161,514.89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324,475,501.00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324,587,301.00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702,083,069.98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689,027,663.38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69,528,553.80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117,420,988.00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39,527,567.18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30,018,196.80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281,757,022.93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214,027,026.04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1,278,314,607.29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1,140,239,199.22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1,859,447,169.86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1,668,400,714.11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769,619,720.03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683,488,129.76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769,619,720.03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683,488,129.76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695,439,222.99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608,113,368.47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342,317,934.59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307,658,227.93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shape style="position:absolute;margin-left:177.841202pt;margin-top:556.979980pt;width:193.1pt;height:19.650pt;mso-position-horizontal-relative:page;mso-position-vertical-relative:page;z-index:-122161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0.960007pt;margin-top:420.779999pt;width:160pt;height:19.650pt;mso-position-horizontal-relative:page;mso-position-vertical-relative:page;z-index:-1221592" coordorigin="4219,8416" coordsize="3200,393">
            <v:group style="position:absolute;left:7396;top:8416;width:23;height:393" coordorigin="7396,8416" coordsize="23,393">
              <v:shape style="position:absolute;left:7396;top:8416;width:23;height:393" coordorigin="7396,8416" coordsize="23,393" path="m7396,8808l7418,8808,7418,8416,7396,8416,7396,8808xe" filled="true" fillcolor="#ffffff" stroked="false">
                <v:path arrowok="t"/>
                <v:fill type="solid"/>
              </v:shape>
            </v:group>
            <v:group style="position:absolute;left:4219;top:8416;width:23;height:393" coordorigin="4219,8416" coordsize="23,393">
              <v:shape style="position:absolute;left:4219;top:8416;width:23;height:393" coordorigin="4219,8416" coordsize="23,393" path="m4219,8808l4242,8808,4242,8416,4219,8416,4219,8808xe" filled="true" fillcolor="#ffffff" stroked="false">
                <v:path arrowok="t"/>
                <v:fill type="solid"/>
              </v:shape>
            </v:group>
            <v:group style="position:absolute;left:4242;top:8416;width:3154;height:393" coordorigin="4242,8416" coordsize="3154,393">
              <v:shape style="position:absolute;left:4242;top:8416;width:3154;height:393" coordorigin="4242,8416" coordsize="3154,393" path="m4242,8808l7396,8808,7396,8416,4242,8416,4242,880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80"/>
        <w:gridCol w:w="3211"/>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9,971,166.64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9,755,671.38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179,838,096.56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158,297,377.65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144,123,072.97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112,595,667.66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5,509,721.97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8,367,967.67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13,679,230.26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11,438,456.18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        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4,860,564.67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-1,584,713.27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-1,095,146.27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-3,701,896.38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-106,446.49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-67,928.84</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51,581,798.65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130,516,413.87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73,722,119.18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2,824,972.43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25,539,111.91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45,686.35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1,105,716.12</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133,295,699.95</w:t>
            </w:r>
          </w:p>
        </w:tc>
        <w:tc>
          <w:tcPr>
            <w:tcW w:w="3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98,155,514.97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13,067,387.63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12,520,610.29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120,228,312.32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85,634,904.68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120,228,312.32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85,634,904.68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119,671,217.16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84,850,220.15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557,095.16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784,684.53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  归属母公司所有者的其他综合收益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8"/>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8"/>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  归属于少数股东的其他综合收益的 税后净额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120,228,312.32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85,634,904.68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    归属于母公司所有者的综合收益 总额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119,671,217.16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84,850,220.15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557,095.16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784,684.53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r>
    </w:tbl>
    <w:p>
      <w:pPr>
        <w:tabs>
          <w:tab w:pos="3663" w:val="left" w:leader="none"/>
          <w:tab w:pos="7893" w:val="left" w:leader="none"/>
        </w:tabs>
        <w:spacing w:line="624" w:lineRule="auto" w:before="51"/>
        <w:ind w:left="153" w:right="248"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法定代表人：杨维国</w:t>
        <w:tab/>
        <w:t>主管会计工作负责人：李玉玲</w:t>
        <w:tab/>
        <w:t>会计机构负责人：张翀</w:t>
      </w:r>
    </w:p>
    <w:p>
      <w:pPr>
        <w:pStyle w:val="Heading4"/>
        <w:spacing w:line="240" w:lineRule="auto" w:before="63"/>
        <w:ind w:right="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568,826,314.01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478,636,047.18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272,945,926.73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224,919,418.69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6,987,929.79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7,388,918.41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155,737,916.25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129,570,406.15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77,123,993.14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57,165,786.89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5,442,117.32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8,202,750.53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8,744,146.73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8,416,194.58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        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14,686,913.00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-1,873,175.11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        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-106,446.49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-67,928.84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46,529,944.31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102,954,694.87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41,031,467.98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1,430,902.26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18,069,892.23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1,087,549.63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104,383,610.78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58,013,810.58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9,289,906.95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7,163,757.48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95,093,703.83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50,850,053.10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    （一）持续经营净利润（净亏损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95,093,703.83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50,850,053.10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    （二）终止经营净利润（净亏损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    （一）以后不能重分类进损益的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both"/>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    （二）以后将重分类进损益的其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95,093,703.83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50,850,053.10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758,386,364.02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742,326,437.67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客户存款和同业存放款项净增加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向其他金融机构拆入资金净增加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处置以公允价值计量且其变动计 入当期损益的金融资产净增加额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50,169,978.65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21,181,412.76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14,732,513.97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12,611,253.17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823,288,856.64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776,119,103.60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336,061,732.11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265,339,013.80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存放中央银行和同业款项净增加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支付给职工以及为职工支付的现 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205,915,759.99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169,035,958.19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87,947,992.56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81,769,480.92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127,951,886.42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119,543,073.80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757,877,371.08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635,687,526.71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65,411,485.56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140,431,576.89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10,003,000.00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5,955,710.95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1,899,768.20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127,842.32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48,880.00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288,461.84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578,883,553.27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12,240,110.04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32,075,123.38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7,568,076.55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638,515,548.00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30,120,150.00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147,700,000.00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736,290,671.38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205,388,226.55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-157,407,118.11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-193,148,116.51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435,645,988.00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170,790,000.00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606,435,988.00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34,745,033.33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139,941,666.66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25,900,830.78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22,409,586.58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2,908,033.18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2,304,066.27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63,553,897.29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164,655,319.51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99,046,102.71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441,780,668.49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7,050,470.16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389,064,128.87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586,298,137.20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197,234,008.33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593,348,607.36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586,298,137.20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535,702,117.11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565,910,661.77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45,118,124.31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14,990,342.52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11,913,290.00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10,773,500.84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592,733,531.42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591,674,505.13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234,406,852.96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199,487,212.95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支付给职工以及为职工支付的现 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133,840,221.86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106,637,577.63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62,577,858.75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55,946,254.42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107,965,391.46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91,533,423.19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538,790,325.03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453,604,468.19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53,943,206.39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138,070,036.94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10,003,000.00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15,782,059.27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1,899,768.20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10,717.32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12,005.00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543,592,776.59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11,914,773.20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24,843,126.37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6,110,466.11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613,515,548.00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30,120,150.00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152,250,000.00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704,058,674.37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188,480,616.11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-160,465,897.78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-176,565,842.91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433,195,988.00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596,845,988.00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34,495,033.33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132,801,666.66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25,888,273.64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22,315,213.67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2,908,033.18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2,304,066.27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63,291,340.15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157,420,946.60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99,058,659.85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439,425,041.40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-7,464,031.54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400,929,235.43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535,192,548.74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134,263,313.31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527,728,517.20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535,192,548.74</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324,58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7,301.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689,027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,663.38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117,420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30,018,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196.80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272,739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,063.88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18,314,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348.38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65,585.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324,58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7,301.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689,027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,663.38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117,420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30,018,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196.80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272,739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,063.88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18,314,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348.38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65,585.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pacing w:val="-3"/>
                <w:sz w:val="18"/>
              </w:rPr>
              <w:t>-111,8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13,055,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406.60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-47,892,</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434.20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9,509,3</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70.38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92,307,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510.22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557,095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163,210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,016.56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119,671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,217.16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557,095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120,228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,312.32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pacing w:val="-3"/>
                <w:sz w:val="18"/>
              </w:rPr>
              <w:t>-111,8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13,055,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406.60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-47,892,</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434.20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60,836,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040.80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pacing w:val="-3"/>
                <w:sz w:val="18"/>
              </w:rPr>
              <w:t>-111,8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-1,271,1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-1,382,9</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66.00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14,326,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572.60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-47,892,</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434.20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62,219,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006.80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9,509,3</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70.38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-27,363,</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706.94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-17,854,</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336.56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9,509,3</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70.38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-9,509,3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70.38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-17,854,</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336.56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-17,854,</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336.56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324,47</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5,501.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702,083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,069.98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69,528,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553.80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39,527,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567.18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365,046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,574.10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18,871,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443.54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75,602.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302,09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4,901.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274,048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,192.18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24,933,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191.49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208,078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,594.09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15,079,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663.84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824,234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,542.60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302,09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4,901.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274,048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,192.18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24,933,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191.49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208,078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,594.09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15,079,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663.84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824,234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,542.60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414,979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,471.20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117,420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5,085,0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05.31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64,660,</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469.79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3,234,6</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84.54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393,031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,042.84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84,850,</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220.15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3,234,6</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84.54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88,084,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904.69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414,979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,471.20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117,420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320,050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,883.20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409,292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,296.55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431,784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,696.55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5,687,1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74.65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117,420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-111,73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3,813.3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5,085,0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05.31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-20,189,</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750.36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-15,104,</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745.05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5,085,0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05.31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-5,085,0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05.31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-15,104,</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745.05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-15,104,</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745.05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324,58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7,301.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689,027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,663.38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117,420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30,018,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196.80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272,739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,063.88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18,314,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348.38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65,585.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324,587,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689,027,6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63.38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117,420,9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30,018,19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214,027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,026.04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1,140,239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,199.22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324,587,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689,027,6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63.38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117,420,9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30,018,19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214,027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,026.04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1,140,239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,199.22</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-111,800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13,055,40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-47,892,4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34.20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9,509,370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67,729,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996.89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138,075,4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08.07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95,093,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703.83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95,093,70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3.83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-111,800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13,055,40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-47,892,4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34.20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60,836,04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0.80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-111,800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-1,271,16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-1,382,96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14,326,57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-47,892,4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34.20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62,219,00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6.80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9,509,370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-27,363,</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706.94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-17,854,3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36.56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9,509,370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-9,509,3</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70.38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-17,854,</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336.56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-17,854,3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36.56</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324,475,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702,083,0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69.98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69,528,55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39,527,56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281,757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,022.93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1,278,314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,607.29</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302,094,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274,048,1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24,933,19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183,366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,723.30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784,443,0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07.97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6"/>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302,094,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274,048,1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24,933,19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183,366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,723.30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784,443,0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07.97</w:t>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22,492,4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414,979,4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left"/>
              <w:rPr>
                <w:rFonts w:ascii="Times New Roman" w:hAnsi="Times New Roman" w:cs="Times New Roman" w:eastAsia="Times New Roman" w:hint="default"/>
                <w:sz w:val="18"/>
                <w:szCs w:val="18"/>
              </w:rPr>
            </w:pPr>
            <w:r>
              <w:rPr>
                <w:rFonts w:ascii="Times New Roman"/>
                <w:sz w:val="18"/>
              </w:rPr>
              <w:t>117,420,9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5,085,005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30,660,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355,796,1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67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71.20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1" w:right="0"/>
              <w:jc w:val="left"/>
              <w:rPr>
                <w:rFonts w:ascii="Times New Roman" w:hAnsi="Times New Roman" w:cs="Times New Roman" w:eastAsia="Times New Roman" w:hint="default"/>
                <w:sz w:val="18"/>
                <w:szCs w:val="18"/>
              </w:rPr>
            </w:pPr>
            <w:r>
              <w:rPr>
                <w:rFonts w:ascii="Times New Roman"/>
                <w:sz w:val="18"/>
              </w:rPr>
              <w:t>88.00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302.74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91.25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50,850,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053.10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50,850,05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3.10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22,492,4</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414,979,4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71.20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117,420,9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320,050,8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83.20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22,492,4</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409,292,2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431,784,6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96.55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5,687,174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117,420,9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-111,733,</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813.35</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5,085,005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-20,189,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750.36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-15,104,7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45.05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5,085,005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-5,085,0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05.31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-15,104,</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745.05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-15,104,7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45.05</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324,587,</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689,027,6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117,420,9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30,018,19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214,027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,026.04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1,140,239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,199.22</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102"/>
        <w:jc w:val="left"/>
        <w:rPr>
          <w:b w:val="0"/>
          <w:bCs w:val="0"/>
        </w:rPr>
      </w:pP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396" w:lineRule="auto" w:before="0"/>
        <w:ind w:left="579" w:right="102" w:firstLine="423"/>
        <w:jc w:val="left"/>
      </w:pPr>
      <w:r>
        <w:rPr>
          <w:spacing w:val="-5"/>
        </w:rPr>
        <w:t>新开普电子股份有限公司（以下简称</w:t>
      </w:r>
      <w:r>
        <w:rPr>
          <w:rFonts w:ascii="Times New Roman" w:hAnsi="Times New Roman" w:cs="Times New Roman" w:eastAsia="Times New Roman" w:hint="default"/>
          <w:spacing w:val="-5"/>
        </w:rPr>
        <w:t>“</w:t>
      </w:r>
      <w:r>
        <w:rPr>
          <w:spacing w:val="-5"/>
        </w:rPr>
        <w:t>公司</w:t>
      </w:r>
      <w:r>
        <w:rPr>
          <w:rFonts w:ascii="Times New Roman" w:hAnsi="Times New Roman" w:cs="Times New Roman" w:eastAsia="Times New Roman" w:hint="default"/>
          <w:spacing w:val="-5"/>
        </w:rPr>
        <w:t>”</w:t>
      </w:r>
      <w:r>
        <w:rPr>
          <w:spacing w:val="-5"/>
        </w:rPr>
        <w:t>或</w:t>
      </w:r>
      <w:r>
        <w:rPr>
          <w:rFonts w:ascii="Times New Roman" w:hAnsi="Times New Roman" w:cs="Times New Roman" w:eastAsia="Times New Roman" w:hint="default"/>
          <w:spacing w:val="-5"/>
        </w:rPr>
        <w:t>“</w:t>
      </w:r>
      <w:r>
        <w:rPr>
          <w:spacing w:val="-5"/>
        </w:rPr>
        <w:t>本公司</w:t>
      </w:r>
      <w:r>
        <w:rPr>
          <w:rFonts w:ascii="Times New Roman" w:hAnsi="Times New Roman" w:cs="Times New Roman" w:eastAsia="Times New Roman" w:hint="default"/>
          <w:spacing w:val="-5"/>
        </w:rPr>
        <w:t>”</w:t>
      </w:r>
      <w:r>
        <w:rPr>
          <w:spacing w:val="-5"/>
        </w:rPr>
        <w:t>）系系由郑州新开普电子技术有限公司（以</w:t>
      </w:r>
      <w:r>
        <w:rPr/>
        <w:t> 下简称</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月整体变更设立的股份有限公司，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日更名为新开普电子股份 有限公司。公司的统一社会信用代码为</w:t>
      </w:r>
      <w:r>
        <w:rPr>
          <w:rFonts w:ascii="Times New Roman" w:hAnsi="Times New Roman" w:cs="Times New Roman" w:eastAsia="Times New Roman" w:hint="default"/>
        </w:rPr>
        <w:t>91410100721832659Y</w:t>
      </w:r>
      <w:r>
        <w:rPr>
          <w:rFonts w:ascii="Times New Roman" w:hAnsi="Times New Roman" w:cs="Times New Roman" w:eastAsia="Times New Roman" w:hint="default"/>
          <w:spacing w:val="4"/>
        </w:rPr>
        <w:t> </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月深圳证券交易所上市。所属 </w:t>
      </w:r>
      <w:r>
        <w:rPr>
          <w:spacing w:val="-3"/>
        </w:rPr>
        <w:t>行业为软件和信息技术服务业类。截至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日止，本公司累计发行股本总数</w:t>
      </w:r>
      <w:r>
        <w:rPr>
          <w:rFonts w:ascii="Times New Roman" w:hAnsi="Times New Roman" w:cs="Times New Roman" w:eastAsia="Times New Roman" w:hint="default"/>
          <w:spacing w:val="-3"/>
        </w:rPr>
        <w:t>32,447.5501</w:t>
      </w:r>
      <w:r>
        <w:rPr>
          <w:spacing w:val="-3"/>
        </w:rPr>
        <w:t>万股，</w:t>
      </w:r>
      <w:r>
        <w:rPr>
          <w:spacing w:val="-90"/>
        </w:rPr>
        <w:t> </w:t>
      </w:r>
      <w:r>
        <w:rPr>
          <w:spacing w:val="-90"/>
        </w:rPr>
      </w:r>
      <w:r>
        <w:rPr>
          <w:spacing w:val="-2"/>
        </w:rPr>
        <w:t>注册资本为</w:t>
      </w:r>
      <w:r>
        <w:rPr>
          <w:rFonts w:ascii="Times New Roman" w:hAnsi="Times New Roman" w:cs="Times New Roman" w:eastAsia="Times New Roman" w:hint="default"/>
          <w:spacing w:val="-2"/>
        </w:rPr>
        <w:t>324,475,501.00</w:t>
      </w:r>
      <w:r>
        <w:rPr>
          <w:spacing w:val="-2"/>
        </w:rPr>
        <w:t>万元，注册地：郑州高新技术产业开发区迎春街</w:t>
      </w:r>
      <w:r>
        <w:rPr>
          <w:rFonts w:ascii="Times New Roman" w:hAnsi="Times New Roman" w:cs="Times New Roman" w:eastAsia="Times New Roman" w:hint="default"/>
          <w:spacing w:val="-2"/>
        </w:rPr>
        <w:t>18</w:t>
      </w:r>
      <w:r>
        <w:rPr>
          <w:spacing w:val="-2"/>
        </w:rPr>
        <w:t>号，总部地址：郑州高新</w:t>
      </w:r>
      <w:r>
        <w:rPr>
          <w:spacing w:val="-92"/>
        </w:rPr>
        <w:t> </w:t>
      </w:r>
      <w:r>
        <w:rPr>
          <w:spacing w:val="-92"/>
        </w:rPr>
      </w:r>
      <w:r>
        <w:rPr/>
        <w:t>技术产业开发区迎春街</w:t>
      </w:r>
      <w:r>
        <w:rPr>
          <w:rFonts w:ascii="Times New Roman" w:hAnsi="Times New Roman" w:cs="Times New Roman" w:eastAsia="Times New Roman" w:hint="default"/>
        </w:rPr>
        <w:t>18</w:t>
      </w:r>
      <w:r>
        <w:rPr/>
        <w:t>号。本公司主要经营活动为：计算机系统集成、开发及运营维护，软件、智 能卡机具、智能终端、电子仪器仪表、电力电子产品、能源电子产品的设计、开发、生产、销售、维 护；金融支付系统及终端的生产与销售；互联网信息技术、计算机技术咨询、服务、培训（非学历培 训；国家法律法规禁止的不得经营；应经审批的未获批准前不得经营），从事货物和技术的进出口业 务（国家法律、法规规定应经审批方可经营或禁止进出口的货物和技术除外）；电信业务经营；货物 和技术的进出口业务（国家法律、法规规定应经审批方可经营或禁止进出口的货物和技术除外），本 公司的实际控制人为杨维国。</w:t>
      </w:r>
    </w:p>
    <w:p>
      <w:pPr>
        <w:pStyle w:val="BodyText"/>
        <w:spacing w:line="321" w:lineRule="auto" w:before="56"/>
        <w:ind w:left="1003" w:right="2891" w:hanging="1"/>
        <w:jc w:val="left"/>
      </w:pPr>
      <w:r>
        <w:rPr/>
        <w:t>本财务报表业经公司全体董事于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日批准报出。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8"/>
        <w:rPr>
          <w:rFonts w:ascii="宋体" w:hAnsi="宋体" w:cs="宋体" w:eastAsia="宋体" w:hint="default"/>
          <w:sz w:val="8"/>
          <w:szCs w:val="8"/>
        </w:rPr>
      </w:pPr>
    </w:p>
    <w:p>
      <w:pPr>
        <w:spacing w:line="376" w:lineRule="exact"/>
        <w:ind w:left="18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12.4pt;height:18.850pt;mso-position-horizontal-relative:char;mso-position-vertical-relative:line" coordorigin="0,0" coordsize="6248,377">
            <v:group style="position:absolute;left:15;top:16;width:6218;height:10" coordorigin="15,16" coordsize="6218,10">
              <v:shape style="position:absolute;left:15;top:16;width:6218;height:10" coordorigin="15,16" coordsize="6218,10" path="m15,25l6232,25,6232,16,15,16,15,25xe" filled="true" fillcolor="#d9d9d9" stroked="false">
                <v:path arrowok="t"/>
                <v:fill type="solid"/>
              </v:shape>
            </v:group>
            <v:group style="position:absolute;left:15;top:337;width:6218;height:10" coordorigin="15,337" coordsize="6218,10">
              <v:shape style="position:absolute;left:15;top:337;width:6218;height:10" coordorigin="15,337" coordsize="6218,10" path="m15,347l6232,347,6232,337,15,337,15,347xe" filled="true" fillcolor="#d9d9d9" stroked="false">
                <v:path arrowok="t"/>
                <v:fill type="solid"/>
              </v:shape>
            </v:group>
            <v:group style="position:absolute;left:25;top:25;width:6198;height:312" coordorigin="25,25" coordsize="6198,312">
              <v:shape style="position:absolute;left:25;top:25;width:6198;height:312" coordorigin="25,25" coordsize="6198,312" path="m25,337l6223,337,6223,25,25,25,25,337xe" filled="true" fillcolor="#d9d9d9" stroked="false">
                <v:path arrowok="t"/>
                <v:fill type="solid"/>
              </v:shape>
            </v:group>
            <v:group style="position:absolute;left:15;top:7;width:6218;height:2" coordorigin="15,7" coordsize="6218,2">
              <v:shape style="position:absolute;left:15;top:7;width:6218;height:2" coordorigin="15,7" coordsize="6218,0" path="m15,7l6232,7e" filled="false" stroked="true" strokeweight=".72pt" strokecolor="#000000">
                <v:path arrowok="t"/>
              </v:shape>
            </v:group>
            <v:group style="position:absolute;left:15;top:20;width:6218;height:2" coordorigin="15,20" coordsize="6218,2">
              <v:shape style="position:absolute;left:15;top:20;width:6218;height:2" coordorigin="15,20" coordsize="6218,0" path="m15,20l6232,20e" filled="false" stroked="true" strokeweight=".54001pt" strokecolor="#d9d9d9">
                <v:path arrowok="t"/>
              </v:shape>
            </v:group>
            <v:group style="position:absolute;left:15;top:342;width:6218;height:2" coordorigin="15,342" coordsize="6218,2">
              <v:shape style="position:absolute;left:15;top:342;width:6218;height:2" coordorigin="15,342" coordsize="6218,0" path="m15,342l6232,342e" filled="false" stroked="true" strokeweight=".47998pt" strokecolor="#d9d9d9">
                <v:path arrowok="t"/>
              </v:shape>
            </v:group>
            <v:group style="position:absolute;left:15;top:362;width:6218;height:2" coordorigin="15,362" coordsize="6218,2">
              <v:shape style="position:absolute;left:15;top:362;width:6218;height:2" coordorigin="15,362" coordsize="6218,0" path="m15,362l6232,362e" filled="false" stroked="true" strokeweight="1.5pt" strokecolor="#000000">
                <v:path arrowok="t"/>
              </v:shape>
              <v:shape style="position:absolute;left:15;top:13;width:6218;height:350" type="#_x0000_t202" filled="false" stroked="false">
                <v:textbox inset="0,0,0,0">
                  <w:txbxContent>
                    <w:p>
                      <w:pPr>
                        <w:spacing w:line="273"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子公司名称</w:t>
                      </w:r>
                    </w:p>
                  </w:txbxContent>
                </v:textbox>
                <w10:wrap type="none"/>
              </v:shape>
            </v:group>
          </v:group>
        </w:pict>
      </w:r>
      <w:r>
        <w:rPr>
          <w:rFonts w:ascii="宋体" w:hAnsi="宋体" w:cs="宋体" w:eastAsia="宋体" w:hint="default"/>
          <w:position w:val="-7"/>
          <w:sz w:val="20"/>
          <w:szCs w:val="20"/>
        </w:rPr>
      </w:r>
    </w:p>
    <w:p>
      <w:pPr>
        <w:spacing w:line="357" w:lineRule="auto" w:before="11"/>
        <w:ind w:left="1873" w:right="5510" w:firstLine="0"/>
        <w:jc w:val="left"/>
        <w:rPr>
          <w:rFonts w:ascii="宋体" w:hAnsi="宋体" w:cs="宋体" w:eastAsia="宋体" w:hint="default"/>
          <w:sz w:val="18"/>
          <w:szCs w:val="18"/>
        </w:rPr>
      </w:pPr>
      <w:r>
        <w:rPr/>
        <w:pict>
          <v:group style="position:absolute;margin-left:142.199997pt;margin-top:16.852009pt;width:310.9pt;height:.1pt;mso-position-horizontal-relative:page;mso-position-vertical-relative:paragraph;z-index:-1221496" coordorigin="2844,337" coordsize="6218,2">
            <v:shape style="position:absolute;left:2844;top:337;width:6218;height:2" coordorigin="2844,337" coordsize="6218,0" path="m2844,337l9061,337e" filled="false" stroked="true" strokeweight="1.5pt" strokecolor="#000000">
              <v:path arrowok="t"/>
            </v:shape>
            <w10:wrap type="none"/>
          </v:group>
        </w:pict>
      </w:r>
      <w:r>
        <w:rPr/>
        <w:pict>
          <v:group style="position:absolute;margin-left:142.199997pt;margin-top:34.492008pt;width:310.9pt;height:.1pt;mso-position-horizontal-relative:page;mso-position-vertical-relative:paragraph;z-index:-1221472" coordorigin="2844,690" coordsize="6218,2">
            <v:shape style="position:absolute;left:2844;top:690;width:6218;height:2" coordorigin="2844,690" coordsize="6218,0" path="m2844,690l9061,690e" filled="false" stroked="true" strokeweight="1.5pt" strokecolor="#000000">
              <v:path arrowok="t"/>
            </v:shape>
            <w10:wrap type="none"/>
          </v:group>
        </w:pict>
      </w:r>
      <w:r>
        <w:rPr/>
        <w:pict>
          <v:group style="position:absolute;margin-left:142.199997pt;margin-top:52.07201pt;width:310.9pt;height:.1pt;mso-position-horizontal-relative:page;mso-position-vertical-relative:paragraph;z-index:-1221448" coordorigin="2844,1041" coordsize="6218,2">
            <v:shape style="position:absolute;left:2844;top:1041;width:6218;height:2" coordorigin="2844,1041" coordsize="6218,0" path="m2844,1041l9061,1041e" filled="false" stroked="true" strokeweight="1.5pt" strokecolor="#000000">
              <v:path arrowok="t"/>
            </v:shape>
            <w10:wrap type="none"/>
          </v:group>
        </w:pict>
      </w:r>
      <w:r>
        <w:rPr>
          <w:rFonts w:ascii="宋体" w:hAnsi="宋体" w:cs="宋体" w:eastAsia="宋体" w:hint="default"/>
          <w:sz w:val="18"/>
          <w:szCs w:val="18"/>
        </w:rPr>
        <w:t>北京迪科远望科技有限公司 上海树维信息科技有限公司 福建新开普信息科技有限公司 山西新开普信息科技有限公司 </w:t>
      </w:r>
    </w:p>
    <w:p>
      <w:pPr>
        <w:spacing w:line="30" w:lineRule="exact"/>
        <w:ind w:left="1834" w:right="0" w:firstLine="0"/>
        <w:rPr>
          <w:rFonts w:ascii="宋体" w:hAnsi="宋体" w:cs="宋体" w:eastAsia="宋体" w:hint="default"/>
          <w:sz w:val="3"/>
          <w:szCs w:val="3"/>
        </w:rPr>
      </w:pPr>
      <w:r>
        <w:rPr>
          <w:rFonts w:ascii="宋体" w:hAnsi="宋体" w:cs="宋体" w:eastAsia="宋体" w:hint="default"/>
          <w:position w:val="0"/>
          <w:sz w:val="3"/>
          <w:szCs w:val="3"/>
        </w:rPr>
        <w:pict>
          <v:group style="width:313.1pt;height:1.5pt;mso-position-horizontal-relative:char;mso-position-vertical-relative:line" coordorigin="0,0" coordsize="6262,30">
            <v:group style="position:absolute;left:15;top:15;width:6232;height:2" coordorigin="15,15" coordsize="6232,2">
              <v:shape style="position:absolute;left:15;top:15;width:6232;height:2" coordorigin="15,15" coordsize="6232,0" path="m15,15l624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
        <w:rPr>
          <w:rFonts w:ascii="宋体" w:hAnsi="宋体" w:cs="宋体" w:eastAsia="宋体" w:hint="default"/>
          <w:sz w:val="14"/>
          <w:szCs w:val="14"/>
        </w:rPr>
      </w:pPr>
    </w:p>
    <w:p>
      <w:pPr>
        <w:pStyle w:val="BodyText"/>
        <w:spacing w:line="386" w:lineRule="auto" w:before="35"/>
        <w:ind w:left="437" w:right="102" w:firstLine="423"/>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44"/>
        </w:rPr>
        <w:t> </w:t>
      </w:r>
      <w:r>
        <w:rPr>
          <w:rFonts w:ascii="Times New Roman" w:hAnsi="Times New Roman" w:cs="Times New Roman" w:eastAsia="Times New Roman" w:hint="default"/>
        </w:rPr>
        <w:t>“</w:t>
      </w:r>
      <w:r>
        <w:rPr/>
        <w:t>九、在其他主 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pStyle w:val="Heading2"/>
        <w:spacing w:line="240" w:lineRule="auto"/>
        <w:ind w:right="102"/>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438" w:right="211" w:firstLine="423"/>
        <w:jc w:val="both"/>
      </w:pPr>
      <w:r>
        <w:rPr>
          <w:spacing w:val="-3"/>
        </w:rPr>
        <w:t>公司以持续经营为基础，根据实际发生的交易和事项，按照财政部颁布的《企业会计准则</w:t>
      </w:r>
      <w:r>
        <w:rPr>
          <w:rFonts w:ascii="Times New Roman" w:hAnsi="Times New Roman" w:cs="Times New Roman" w:eastAsia="Times New Roman" w:hint="default"/>
          <w:spacing w:val="-3"/>
        </w:rPr>
        <w:t>——</w:t>
      </w:r>
      <w:r>
        <w:rPr>
          <w:spacing w:val="-3"/>
        </w:rPr>
        <w:t>基本</w:t>
      </w:r>
      <w:r>
        <w:rPr/>
        <w:t> </w:t>
      </w:r>
      <w:r>
        <w:rPr>
          <w:spacing w:val="-5"/>
        </w:rPr>
        <w:t>准则》和各项具体会计准则、企业会计准则应用指南、企业会计准则解释及其他相关规定（以下合称</w:t>
      </w:r>
      <w:r>
        <w:rPr>
          <w:rFonts w:ascii="Times New Roman" w:hAnsi="Times New Roman" w:cs="Times New Roman" w:eastAsia="Times New Roman" w:hint="default"/>
          <w:spacing w:val="-5"/>
        </w:rPr>
        <w:t>“</w:t>
      </w:r>
      <w:r>
        <w:rPr>
          <w:spacing w:val="-5"/>
        </w:rPr>
        <w:t>企</w:t>
      </w:r>
      <w:r>
        <w:rPr>
          <w:spacing w:val="-66"/>
        </w:rPr>
        <w:t> </w:t>
      </w:r>
      <w:r>
        <w:rPr>
          <w:spacing w:val="-3"/>
        </w:rPr>
        <w:t>业会计准则</w:t>
      </w:r>
      <w:r>
        <w:rPr>
          <w:rFonts w:ascii="Times New Roman" w:hAnsi="Times New Roman" w:cs="Times New Roman" w:eastAsia="Times New Roman" w:hint="default"/>
          <w:spacing w:val="-3"/>
        </w:rPr>
        <w:t>”</w:t>
      </w:r>
      <w:r>
        <w:rPr>
          <w:spacing w:val="-3"/>
        </w:rPr>
        <w:t>），以及中国证券监督管理委员会《公开发行证券的公司信息披露编报规则第</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36"/>
        </w:rPr>
        <w:t> </w:t>
      </w:r>
      <w:r>
        <w:rPr/>
        <w:t>号</w:t>
      </w:r>
      <w:r>
        <w:rPr>
          <w:rFonts w:ascii="Times New Roman" w:hAnsi="Times New Roman" w:cs="Times New Roman" w:eastAsia="Times New Roman" w:hint="default"/>
        </w:rPr>
        <w:t>——</w:t>
      </w:r>
      <w:r>
        <w:rPr/>
        <w:t>财</w:t>
      </w:r>
      <w:r>
        <w:rPr>
          <w:spacing w:val="-102"/>
        </w:rPr>
        <w:t> </w:t>
      </w:r>
      <w:r>
        <w:rPr/>
        <w:t>务报告的一般规定》的披露规定编制财务报表。</w:t>
      </w:r>
    </w:p>
    <w:p>
      <w:pPr>
        <w:spacing w:after="0" w:line="386" w:lineRule="auto"/>
        <w:jc w:val="both"/>
        <w:sectPr>
          <w:pgSz w:w="11910" w:h="16840"/>
          <w:pgMar w:header="877" w:footer="982" w:top="1100" w:bottom="1180" w:left="980" w:right="920"/>
        </w:sectPr>
      </w:pPr>
    </w:p>
    <w:p>
      <w:pPr>
        <w:spacing w:line="240" w:lineRule="auto" w:before="10"/>
        <w:rPr>
          <w:rFonts w:ascii="宋体" w:hAnsi="宋体" w:cs="宋体" w:eastAsia="宋体" w:hint="default"/>
          <w:sz w:val="20"/>
          <w:szCs w:val="20"/>
        </w:rPr>
      </w:pPr>
    </w:p>
    <w:p>
      <w:pPr>
        <w:spacing w:line="506" w:lineRule="auto" w:before="35"/>
        <w:ind w:left="364" w:right="6200" w:hanging="21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spacing w:val="1"/>
          <w:w w:val="99"/>
          <w:sz w:val="21"/>
          <w:szCs w:val="21"/>
        </w:rPr>
        <w:t> </w:t>
      </w:r>
      <w:r>
        <w:rPr>
          <w:rFonts w:ascii="宋体" w:hAnsi="宋体" w:cs="宋体" w:eastAsia="宋体" w:hint="default"/>
          <w:sz w:val="21"/>
          <w:szCs w:val="21"/>
        </w:rPr>
        <w:t>本财务报表以持续经营为基础编制。</w:t>
      </w:r>
    </w:p>
    <w:p>
      <w:pPr>
        <w:pStyle w:val="Heading2"/>
        <w:spacing w:line="240" w:lineRule="auto" w:before="82"/>
        <w:ind w:right="133"/>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671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9"/>
        <w:ind w:left="153" w:right="13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0"/>
        <w:rPr>
          <w:rFonts w:ascii="宋体" w:hAnsi="宋体" w:cs="宋体" w:eastAsia="宋体" w:hint="default"/>
          <w:sz w:val="12"/>
          <w:szCs w:val="12"/>
        </w:rPr>
      </w:pPr>
    </w:p>
    <w:p>
      <w:pPr>
        <w:pStyle w:val="BodyText"/>
        <w:spacing w:line="408" w:lineRule="auto" w:before="0"/>
        <w:ind w:right="133" w:firstLine="420"/>
        <w:jc w:val="left"/>
      </w:pPr>
      <w:r>
        <w:rPr>
          <w:spacing w:val="-1"/>
        </w:rPr>
        <w:t>公司根据实际生产经营特点，依据相关企业会计准则的规定，对收入确认等交易和事项制定了若干项</w:t>
      </w:r>
      <w:r>
        <w:rPr/>
        <w:t> 具体会计政策和会计估计。详见本附注</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18"/>
          <w:szCs w:val="18"/>
        </w:rPr>
      </w:pPr>
    </w:p>
    <w:p>
      <w:pPr>
        <w:pStyle w:val="Heading4"/>
        <w:spacing w:line="240" w:lineRule="auto"/>
        <w:ind w:left="153" w:right="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33" w:firstLine="423"/>
        <w:jc w:val="left"/>
      </w:pPr>
      <w:r>
        <w:rPr>
          <w:spacing w:val="-1"/>
        </w:rPr>
        <w:t>公司所编制的财务报表符合企业会计准则的要求，真实、完整地反映了报告期公司的财务状况、经营</w:t>
      </w:r>
      <w:r>
        <w:rPr/>
        <w:t> 成果、现金流量等有关信息。</w:t>
      </w:r>
    </w:p>
    <w:p>
      <w:pPr>
        <w:spacing w:line="240" w:lineRule="auto" w:before="8"/>
        <w:rPr>
          <w:rFonts w:ascii="宋体" w:hAnsi="宋体" w:cs="宋体" w:eastAsia="宋体" w:hint="default"/>
          <w:sz w:val="20"/>
          <w:szCs w:val="20"/>
        </w:rPr>
      </w:pPr>
    </w:p>
    <w:p>
      <w:pPr>
        <w:spacing w:line="506" w:lineRule="auto" w:before="0"/>
        <w:ind w:left="466" w:right="5258" w:hanging="3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w:t>
      </w:r>
    </w:p>
    <w:p>
      <w:pPr>
        <w:spacing w:line="506" w:lineRule="auto" w:before="64"/>
        <w:ind w:left="437" w:right="6967" w:hanging="28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
          <w:w w:val="99"/>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p>
      <w:pPr>
        <w:spacing w:line="506" w:lineRule="auto" w:before="64"/>
        <w:ind w:left="437" w:right="6337" w:hanging="28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pStyle w:val="Heading4"/>
        <w:spacing w:line="240" w:lineRule="auto" w:before="105"/>
        <w:ind w:right="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438" w:right="149" w:firstLine="427"/>
        <w:jc w:val="both"/>
      </w:pPr>
      <w:r>
        <w:rPr>
          <w:spacing w:val="-8"/>
        </w:rPr>
        <w:t>同一控制下企业合并：本公司在企业合并中取得的资产和负债，按照合并日被合并方资产、负债（包</w:t>
      </w:r>
      <w:r>
        <w:rPr>
          <w:spacing w:val="-2"/>
        </w:rPr>
        <w:t> </w:t>
      </w:r>
      <w:r>
        <w:rPr>
          <w:spacing w:val="-3"/>
        </w:rPr>
        <w:t>括最终控制方收购被合并方而形成的商誉）在最终控制方合并财务报表中的账面价值计量。在合并中取</w:t>
      </w:r>
      <w:r>
        <w:rPr>
          <w:spacing w:val="-66"/>
        </w:rPr>
        <w:t> </w:t>
      </w:r>
      <w:r>
        <w:rPr>
          <w:spacing w:val="-66"/>
        </w:rPr>
      </w:r>
      <w:r>
        <w:rPr>
          <w:spacing w:val="-3"/>
        </w:rPr>
        <w:t>得的净资产账面价值与支付的合并对价账面价值（或发行股份面值总额）的差额，调整资本公积中的股</w:t>
      </w:r>
      <w:r>
        <w:rPr>
          <w:spacing w:val="-69"/>
        </w:rPr>
        <w:t> </w:t>
      </w:r>
      <w:r>
        <w:rPr>
          <w:spacing w:val="-69"/>
        </w:rPr>
      </w:r>
      <w:r>
        <w:rPr/>
        <w:t>本溢价，资本公积中的股本溢价不足冲减的，调整留存收益。</w:t>
      </w:r>
    </w:p>
    <w:p>
      <w:pPr>
        <w:pStyle w:val="BodyText"/>
        <w:spacing w:line="408" w:lineRule="auto" w:before="45"/>
        <w:ind w:left="438" w:right="149" w:firstLine="427"/>
        <w:jc w:val="both"/>
      </w:pPr>
      <w:r>
        <w:rPr>
          <w:spacing w:val="-3"/>
        </w:rPr>
        <w:t>非同一控制下企业合并：本公司在购买日对作为企业合并对价付出的资产、发生或承担的负债按照</w:t>
      </w:r>
      <w:r>
        <w:rPr/>
        <w:t> </w:t>
      </w:r>
      <w:r>
        <w:rPr>
          <w:spacing w:val="-3"/>
        </w:rPr>
        <w:t>公允价值计量，公允价值与其账面价值的差额，计入当期损益。本公司对合并成本大于合并中取得的被</w:t>
      </w:r>
      <w:r>
        <w:rPr>
          <w:spacing w:val="-69"/>
        </w:rPr>
        <w:t> </w:t>
      </w:r>
      <w:r>
        <w:rPr>
          <w:spacing w:val="-69"/>
        </w:rPr>
      </w:r>
      <w:r>
        <w:rPr>
          <w:spacing w:val="-3"/>
        </w:rPr>
        <w:t>购买方可辨认净资产公允价值份额的差额，确认为商誉；合并成本小于合并中取得的被购买方可辨认净</w:t>
      </w:r>
      <w:r>
        <w:rPr>
          <w:spacing w:val="-66"/>
        </w:rPr>
        <w:t> </w:t>
      </w:r>
      <w:r>
        <w:rPr>
          <w:spacing w:val="-66"/>
        </w:rPr>
      </w:r>
      <w:r>
        <w:rPr/>
        <w:t>资产公允价值份额的差额，经复核后，计入当期损益。</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438" w:right="211" w:firstLine="427"/>
        <w:jc w:val="both"/>
      </w:pPr>
      <w:r>
        <w:rPr>
          <w:spacing w:val="-3"/>
        </w:rPr>
        <w:t>为企业合并发生的审计、法律服务、评估咨询等中介费用以及其他直接相关费用，于发生时计入当</w:t>
      </w:r>
      <w:r>
        <w:rPr/>
        <w:t> 期损益；为企业合并而发行权益性证券的交易费用，冲减权益。</w:t>
      </w:r>
    </w:p>
    <w:p>
      <w:pPr>
        <w:spacing w:line="240" w:lineRule="auto" w:before="8"/>
        <w:rPr>
          <w:rFonts w:ascii="宋体" w:hAnsi="宋体" w:cs="宋体" w:eastAsia="宋体" w:hint="default"/>
          <w:sz w:val="20"/>
          <w:szCs w:val="20"/>
        </w:rPr>
      </w:pPr>
    </w:p>
    <w:p>
      <w:pPr>
        <w:pStyle w:val="Heading4"/>
        <w:spacing w:line="240" w:lineRule="auto"/>
        <w:ind w:left="153" w:right="102"/>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30"/>
          <w:szCs w:val="30"/>
        </w:rPr>
      </w:pPr>
    </w:p>
    <w:p>
      <w:pPr>
        <w:pStyle w:val="Heading4"/>
        <w:spacing w:line="240" w:lineRule="auto"/>
        <w:ind w:left="438" w:right="0"/>
        <w:jc w:val="both"/>
        <w:rPr>
          <w:b w:val="0"/>
          <w:bCs w:val="0"/>
        </w:rPr>
      </w:pPr>
      <w:r>
        <w:rPr/>
        <w:t>1.合并范围</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438" w:right="210" w:firstLine="420"/>
        <w:jc w:val="both"/>
      </w:pPr>
      <w:r>
        <w:rPr>
          <w:spacing w:val="-3"/>
        </w:rPr>
        <w:t>本公司合并财务报表的合并范围以控制为基础确定，所有子公司（包括本公司所控制的被投资方可</w:t>
      </w:r>
      <w:r>
        <w:rPr/>
        <w:t> 分割的部分）均纳入合并财务报表。</w:t>
      </w:r>
    </w:p>
    <w:p>
      <w:pPr>
        <w:pStyle w:val="Heading4"/>
        <w:spacing w:line="240" w:lineRule="auto" w:before="46"/>
        <w:ind w:left="438" w:right="0"/>
        <w:jc w:val="both"/>
        <w:rPr>
          <w:b w:val="0"/>
          <w:bCs w:val="0"/>
        </w:rPr>
      </w:pPr>
      <w:r>
        <w:rPr/>
        <w:t>2.合并程序</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438" w:right="96" w:firstLine="420"/>
        <w:jc w:val="left"/>
      </w:pPr>
      <w:r>
        <w:rPr>
          <w:spacing w:val="-3"/>
        </w:rPr>
        <w:t>本公司以自身和各子公司的财务报表为基础，根据其他有关资料，编制合并财务报表。本公司编制</w:t>
      </w:r>
      <w:r>
        <w:rPr/>
        <w:t> 合并财务报表，将整个企业集团视为一个会计主体，依据相关企业会计准则的确认、计量和列报要求，</w:t>
      </w:r>
      <w:r>
        <w:rPr>
          <w:spacing w:val="-98"/>
        </w:rPr>
        <w:t> </w:t>
      </w:r>
      <w:r>
        <w:rPr>
          <w:spacing w:val="-98"/>
        </w:rPr>
      </w:r>
      <w:r>
        <w:rPr/>
        <w:t>按照统一的会计政策，反映本企业集团整体财务状况、经营成果和现金流量。</w:t>
      </w:r>
    </w:p>
    <w:p>
      <w:pPr>
        <w:pStyle w:val="BodyText"/>
        <w:spacing w:line="408" w:lineRule="auto"/>
        <w:ind w:left="438" w:right="210" w:firstLine="420"/>
        <w:jc w:val="both"/>
      </w:pPr>
      <w:r>
        <w:rPr>
          <w:spacing w:val="-3"/>
        </w:rPr>
        <w:t>所有纳入合并财务报表合并范围的子公司所采用的会计政策、会计期间与本公司一致，如子公司采</w:t>
      </w:r>
      <w:r>
        <w:rPr/>
        <w:t> </w:t>
      </w:r>
      <w:r>
        <w:rPr>
          <w:spacing w:val="-3"/>
        </w:rPr>
        <w:t>用的会计政策、会计期间与本公司不一致的，在编制合并财务报表时，按本公司的会计政策、会计期间</w:t>
      </w:r>
      <w:r>
        <w:rPr>
          <w:spacing w:val="-66"/>
        </w:rPr>
        <w:t> </w:t>
      </w:r>
      <w:r>
        <w:rPr>
          <w:spacing w:val="-66"/>
        </w:rPr>
      </w:r>
      <w:r>
        <w:rPr>
          <w:spacing w:val="-3"/>
        </w:rPr>
        <w:t>进行必要的调整。对于非同一控制下企业合并取得的子公司，以购买日可辨认净资产公允价值为基础对</w:t>
      </w:r>
      <w:r>
        <w:rPr>
          <w:spacing w:val="-66"/>
        </w:rPr>
        <w:t> </w:t>
      </w:r>
      <w:r>
        <w:rPr>
          <w:spacing w:val="-66"/>
        </w:rPr>
      </w:r>
      <w:r>
        <w:rPr>
          <w:spacing w:val="-3"/>
        </w:rPr>
        <w:t>其财务报表进行调整。对于同一控制下企业合并取得的子公司，以其资产、负债（包括最终控制方收购</w:t>
      </w:r>
      <w:r>
        <w:rPr>
          <w:spacing w:val="-66"/>
        </w:rPr>
        <w:t> </w:t>
      </w:r>
      <w:r>
        <w:rPr>
          <w:spacing w:val="-66"/>
        </w:rPr>
      </w:r>
      <w:r>
        <w:rPr/>
        <w:t>该子公司而形成的商誉）在最终控制方财务报表中的账面价值为基础对其财务报表进行调整。</w:t>
      </w:r>
    </w:p>
    <w:p>
      <w:pPr>
        <w:pStyle w:val="BodyText"/>
        <w:spacing w:line="408" w:lineRule="auto"/>
        <w:ind w:left="438" w:right="104" w:firstLine="420"/>
        <w:jc w:val="both"/>
      </w:pPr>
      <w:r>
        <w:rPr>
          <w:spacing w:val="-3"/>
        </w:rPr>
        <w:t>子公司所有者权益、当期净损益和当期综合收益中属于少数股东的份额分别在合并资产负债表中所</w:t>
      </w:r>
      <w:r>
        <w:rPr/>
        <w:t> </w:t>
      </w:r>
      <w:r>
        <w:rPr>
          <w:spacing w:val="-3"/>
        </w:rPr>
        <w:t>有者权益项目下、合并利润表中净利润项目下和综合收益总额项目下单独列示。子公司少数股东分担的</w:t>
      </w:r>
      <w:r>
        <w:rPr>
          <w:spacing w:val="-66"/>
        </w:rPr>
        <w:t> </w:t>
      </w:r>
      <w:r>
        <w:rPr>
          <w:spacing w:val="-66"/>
        </w:rPr>
      </w:r>
      <w:r>
        <w:rPr/>
        <w:t>当期亏损超过了少数股东在该子公司期初所有者权益中所享有份额而形成的余额，冲减少数股东权益。</w:t>
      </w:r>
    </w:p>
    <w:p>
      <w:pPr>
        <w:pStyle w:val="BodyText"/>
        <w:spacing w:line="386" w:lineRule="auto"/>
        <w:ind w:left="858" w:right="102" w:hanging="421"/>
        <w:jc w:val="left"/>
      </w:pPr>
      <w:r>
        <w:rPr/>
        <w:t>（</w:t>
      </w:r>
      <w:r>
        <w:rPr>
          <w:rFonts w:ascii="Times New Roman" w:hAnsi="Times New Roman" w:cs="Times New Roman" w:eastAsia="Times New Roman" w:hint="default"/>
        </w:rPr>
        <w:t>1</w:t>
      </w:r>
      <w:r>
        <w:rPr/>
        <w:t>）增加子公司或业务 </w:t>
      </w:r>
      <w:r>
        <w:rPr>
          <w:spacing w:val="-3"/>
        </w:rPr>
        <w:t>在报告期内，若因同一控制下企业合并增加子公司或业务的，则调整合并资产负债表的期初数；将</w:t>
      </w:r>
    </w:p>
    <w:p>
      <w:pPr>
        <w:pStyle w:val="BodyText"/>
        <w:spacing w:line="408" w:lineRule="auto" w:before="65"/>
        <w:ind w:left="438" w:right="211"/>
        <w:jc w:val="both"/>
      </w:pPr>
      <w:r>
        <w:rPr>
          <w:spacing w:val="-3"/>
        </w:rPr>
        <w:t>子公司或业务合并当期期初至报告期末的收入、费用、利润纳入合并利润表；将子公司或业务合并当期</w:t>
      </w:r>
      <w:r>
        <w:rPr>
          <w:spacing w:val="-69"/>
        </w:rPr>
        <w:t> </w:t>
      </w:r>
      <w:r>
        <w:rPr>
          <w:spacing w:val="-69"/>
        </w:rPr>
      </w:r>
      <w:r>
        <w:rPr>
          <w:spacing w:val="-3"/>
        </w:rPr>
        <w:t>期初至报告期末的现金流量纳入合并现金流量表，同时对比较报表的相关项目进行调整，视同合并后的</w:t>
      </w:r>
      <w:r>
        <w:rPr>
          <w:spacing w:val="-66"/>
        </w:rPr>
        <w:t> </w:t>
      </w:r>
      <w:r>
        <w:rPr>
          <w:spacing w:val="-66"/>
        </w:rPr>
      </w:r>
      <w:r>
        <w:rPr/>
        <w:t>报告主体自最终控制方开始控制时点起一直存在。</w:t>
      </w:r>
    </w:p>
    <w:p>
      <w:pPr>
        <w:pStyle w:val="BodyText"/>
        <w:spacing w:line="408" w:lineRule="auto"/>
        <w:ind w:left="438" w:right="209" w:firstLine="420"/>
        <w:jc w:val="both"/>
      </w:pPr>
      <w:r>
        <w:rPr>
          <w:spacing w:val="-3"/>
        </w:rPr>
        <w:t>因追加投资等原因能够对同一控制下的被投资方实施控制的，视同参与合并的各方在最终控制方开</w:t>
      </w:r>
      <w:r>
        <w:rPr/>
        <w:t> </w:t>
      </w:r>
      <w:r>
        <w:rPr>
          <w:spacing w:val="-3"/>
        </w:rPr>
        <w:t>始控制时即以目前的状态存在进行调整。在取得被合并方控制权之前持有的股权投资，在取得原股权之</w:t>
      </w:r>
      <w:r>
        <w:rPr>
          <w:spacing w:val="-66"/>
        </w:rPr>
        <w:t> </w:t>
      </w:r>
      <w:r>
        <w:rPr>
          <w:spacing w:val="-66"/>
        </w:rPr>
      </w:r>
      <w:r>
        <w:rPr>
          <w:spacing w:val="-3"/>
        </w:rPr>
        <w:t>日与合并方和被合并方同处于同一控制之日孰晚日起至合并日之间已确认有关损益、其他综合收益以及</w:t>
      </w:r>
      <w:r>
        <w:rPr>
          <w:spacing w:val="-66"/>
        </w:rPr>
        <w:t> </w:t>
      </w:r>
      <w:r>
        <w:rPr>
          <w:spacing w:val="-66"/>
        </w:rPr>
      </w:r>
      <w:r>
        <w:rPr/>
        <w:t>其他净资产变动，分别冲减比较报表期间的期初留存收益或当期损益。</w:t>
      </w:r>
    </w:p>
    <w:p>
      <w:pPr>
        <w:pStyle w:val="BodyText"/>
        <w:spacing w:line="408" w:lineRule="auto"/>
        <w:ind w:left="438" w:right="96" w:firstLine="420"/>
        <w:jc w:val="left"/>
      </w:pPr>
      <w:r>
        <w:rPr/>
        <w:t>在报告期内，若因非同一控制下企业合并增加子公司或业务的，则不调整合并资产负债表期初数；</w:t>
      </w:r>
      <w:r>
        <w:rPr>
          <w:spacing w:val="1"/>
        </w:rPr>
        <w:t> </w:t>
      </w:r>
      <w:r>
        <w:rPr>
          <w:spacing w:val="-3"/>
        </w:rPr>
        <w:t>将该子公司或业务自购买日至报告期末的收入、费用、利润纳入合并利润表；该子公司或业务自购买日</w:t>
      </w:r>
    </w:p>
    <w:p>
      <w:pPr>
        <w:spacing w:after="0" w:line="408" w:lineRule="auto"/>
        <w:jc w:val="left"/>
        <w:sectPr>
          <w:footerReference w:type="default" r:id="rId34"/>
          <w:pgSz w:w="11910" w:h="16840"/>
          <w:pgMar w:footer="982" w:header="877" w:top="1100" w:bottom="1180" w:left="980" w:right="920"/>
          <w:pgNumType w:start="153"/>
        </w:sectPr>
      </w:pPr>
    </w:p>
    <w:p>
      <w:pPr>
        <w:spacing w:line="240" w:lineRule="auto" w:before="8"/>
        <w:rPr>
          <w:rFonts w:ascii="宋体" w:hAnsi="宋体" w:cs="宋体" w:eastAsia="宋体" w:hint="default"/>
          <w:sz w:val="26"/>
          <w:szCs w:val="26"/>
        </w:rPr>
      </w:pPr>
    </w:p>
    <w:p>
      <w:pPr>
        <w:pStyle w:val="BodyText"/>
        <w:spacing w:line="408" w:lineRule="auto" w:before="35"/>
        <w:ind w:left="858" w:right="133" w:hanging="420"/>
        <w:jc w:val="left"/>
      </w:pPr>
      <w:r>
        <w:rPr/>
        <w:t>至报告期末的现金流量纳入合并现金流量表。 </w:t>
      </w:r>
      <w:r>
        <w:rPr>
          <w:spacing w:val="-3"/>
        </w:rPr>
        <w:t>因追加投资等原因能够对非同一控制下的被投资方实施控制的，对于购买日之前持有的被购买方的</w:t>
      </w:r>
    </w:p>
    <w:p>
      <w:pPr>
        <w:pStyle w:val="BodyText"/>
        <w:spacing w:line="408" w:lineRule="auto"/>
        <w:ind w:left="438" w:right="151"/>
        <w:jc w:val="both"/>
      </w:pPr>
      <w:r>
        <w:rPr>
          <w:spacing w:val="-3"/>
        </w:rPr>
        <w:t>股权，本公司按照该股权在购买日的公允价值进行重新计量，公允价值与其账面价值的差额计入当期投</w:t>
      </w:r>
      <w:r>
        <w:rPr>
          <w:spacing w:val="-66"/>
        </w:rPr>
        <w:t> </w:t>
      </w:r>
      <w:r>
        <w:rPr>
          <w:spacing w:val="-66"/>
        </w:rPr>
      </w:r>
      <w:r>
        <w:rPr>
          <w:spacing w:val="-3"/>
        </w:rPr>
        <w:t>资收益。购买日之前持有的被购买方的股权涉及权益法核算下的其他综合收益以及除净损益、其他综合</w:t>
      </w:r>
      <w:r>
        <w:rPr>
          <w:spacing w:val="-66"/>
        </w:rPr>
        <w:t> </w:t>
      </w:r>
      <w:r>
        <w:rPr>
          <w:spacing w:val="-66"/>
        </w:rPr>
      </w:r>
      <w:r>
        <w:rPr>
          <w:spacing w:val="-3"/>
        </w:rPr>
        <w:t>收益和利润分配之外的其他所有者权益变动的，与其相关的其他综合收益、其他所有者权益变动转为购</w:t>
      </w:r>
      <w:r>
        <w:rPr>
          <w:spacing w:val="-66"/>
        </w:rPr>
        <w:t> </w:t>
      </w:r>
      <w:r>
        <w:rPr>
          <w:spacing w:val="-66"/>
        </w:rPr>
      </w:r>
      <w:r>
        <w:rPr>
          <w:spacing w:val="-3"/>
        </w:rPr>
        <w:t>买日所属当期投资收益，由于被投资方重新计量设定受益计划净负债或净资产变动而产生的其他综合收</w:t>
      </w:r>
      <w:r>
        <w:rPr>
          <w:spacing w:val="-66"/>
        </w:rPr>
        <w:t> </w:t>
      </w:r>
      <w:r>
        <w:rPr>
          <w:spacing w:val="-66"/>
        </w:rPr>
      </w:r>
      <w:r>
        <w:rPr/>
        <w:t>益除外。</w:t>
      </w:r>
    </w:p>
    <w:p>
      <w:pPr>
        <w:pStyle w:val="BodyText"/>
        <w:spacing w:line="240" w:lineRule="auto"/>
        <w:ind w:left="438" w:right="133"/>
        <w:jc w:val="left"/>
      </w:pPr>
      <w:r>
        <w:rPr/>
        <w:t>（</w:t>
      </w:r>
      <w:r>
        <w:rPr>
          <w:rFonts w:ascii="Times New Roman" w:hAnsi="Times New Roman" w:cs="Times New Roman" w:eastAsia="Times New Roman" w:hint="default"/>
        </w:rPr>
        <w:t>2</w:t>
      </w:r>
      <w:r>
        <w:rPr/>
        <w:t>）处置子公司或业务</w:t>
      </w:r>
    </w:p>
    <w:p>
      <w:pPr>
        <w:pStyle w:val="BodyText"/>
        <w:spacing w:line="408" w:lineRule="auto" w:before="177"/>
        <w:ind w:left="858" w:right="133" w:hanging="420"/>
        <w:jc w:val="left"/>
      </w:pPr>
      <w:r>
        <w:rPr/>
        <w:t>①一般处理方法 </w:t>
      </w:r>
      <w:r>
        <w:rPr>
          <w:spacing w:val="-3"/>
        </w:rPr>
        <w:t>在报告期内，本公司处置子公司或业务，则该子公司或业务期初至处置日的收入、费用、利润纳入</w:t>
      </w:r>
    </w:p>
    <w:p>
      <w:pPr>
        <w:pStyle w:val="BodyText"/>
        <w:spacing w:line="408" w:lineRule="auto"/>
        <w:ind w:left="858" w:right="133" w:hanging="420"/>
        <w:jc w:val="left"/>
      </w:pPr>
      <w:r>
        <w:rPr/>
        <w:t>合并利润表；该子公司或业务期初至处置日的现金流量纳入合并现金流量表。 </w:t>
      </w:r>
      <w:r>
        <w:rPr>
          <w:spacing w:val="-3"/>
        </w:rPr>
        <w:t>因处置部分股权投资或其他原因丧失了对被投资方控制权时，对于处置后的剩余股权投资，本公司</w:t>
      </w:r>
    </w:p>
    <w:p>
      <w:pPr>
        <w:pStyle w:val="BodyText"/>
        <w:spacing w:line="408" w:lineRule="auto"/>
        <w:ind w:left="438" w:right="133"/>
        <w:jc w:val="left"/>
      </w:pPr>
      <w:r>
        <w:rPr>
          <w:spacing w:val="-3"/>
        </w:rPr>
        <w:t>按照其在丧失控制权日的公允价值进行重新计量。处置股权取得的对价与剩余股权公允价值之和，减去</w:t>
      </w:r>
      <w:r>
        <w:rPr>
          <w:spacing w:val="-66"/>
        </w:rPr>
        <w:t> </w:t>
      </w:r>
      <w:r>
        <w:rPr>
          <w:spacing w:val="-66"/>
        </w:rPr>
      </w:r>
      <w:r>
        <w:rPr/>
        <w:t>按原持股比例计算应享有原有子公司自购买日或合并日开始持续计算的净资产的份额与商誉之和的差 </w:t>
      </w:r>
      <w:r>
        <w:rPr>
          <w:spacing w:val="-3"/>
        </w:rPr>
        <w:t>额，计入丧失控制权当期的投资收益。与原有子公司股权投资相关的其他综合收益或除净损益、其他综</w:t>
      </w:r>
      <w:r>
        <w:rPr>
          <w:spacing w:val="-69"/>
        </w:rPr>
        <w:t> </w:t>
      </w:r>
      <w:r>
        <w:rPr>
          <w:spacing w:val="-69"/>
        </w:rPr>
      </w:r>
      <w:r>
        <w:rPr>
          <w:spacing w:val="-3"/>
        </w:rPr>
        <w:t>合收益及利润分配之外的其他所有者权益变动，在丧失控制权时转为当期投资收益，由于被投资方重新</w:t>
      </w:r>
      <w:r>
        <w:rPr>
          <w:spacing w:val="-66"/>
        </w:rPr>
        <w:t> </w:t>
      </w:r>
      <w:r>
        <w:rPr>
          <w:spacing w:val="-66"/>
        </w:rPr>
      </w:r>
      <w:r>
        <w:rPr/>
        <w:t>计量设定受益计划净负债或净资产变动而产生的其他综合收益除外。</w:t>
      </w:r>
    </w:p>
    <w:p>
      <w:pPr>
        <w:pStyle w:val="BodyText"/>
        <w:spacing w:line="408" w:lineRule="auto"/>
        <w:ind w:left="438" w:right="149" w:firstLine="420"/>
        <w:jc w:val="both"/>
      </w:pPr>
      <w:r>
        <w:rPr>
          <w:spacing w:val="-3"/>
        </w:rPr>
        <w:t>因其他投资方对子公司增资而导致本公司持股比例下降从而丧失控制权的，按照上述原则进行会计</w:t>
      </w:r>
      <w:r>
        <w:rPr/>
        <w:t> 处理。</w:t>
      </w:r>
    </w:p>
    <w:p>
      <w:pPr>
        <w:pStyle w:val="BodyText"/>
        <w:spacing w:line="408" w:lineRule="auto"/>
        <w:ind w:left="858" w:right="133" w:hanging="420"/>
        <w:jc w:val="left"/>
      </w:pPr>
      <w:r>
        <w:rPr/>
        <w:t>②分步处置子公司 </w:t>
      </w:r>
      <w:r>
        <w:rPr>
          <w:spacing w:val="-3"/>
        </w:rPr>
        <w:t>通过多次交易分步处置对子公司股权投资直至丧失控制权的，处置对子公司股权投资的各项交易的</w:t>
      </w:r>
    </w:p>
    <w:p>
      <w:pPr>
        <w:pStyle w:val="BodyText"/>
        <w:spacing w:line="408" w:lineRule="auto"/>
        <w:ind w:left="438" w:right="133"/>
        <w:jc w:val="left"/>
      </w:pPr>
      <w:r>
        <w:rPr>
          <w:spacing w:val="-3"/>
        </w:rPr>
        <w:t>条款、条件以及经济影响符合以下一种或多种情况，通常表明应将多次交易事项作为一揽子交易进行会</w:t>
      </w:r>
      <w:r>
        <w:rPr>
          <w:spacing w:val="-66"/>
        </w:rPr>
        <w:t> </w:t>
      </w:r>
      <w:r>
        <w:rPr>
          <w:spacing w:val="-66"/>
        </w:rPr>
      </w:r>
      <w:r>
        <w:rPr/>
        <w:t>计处理：</w:t>
      </w:r>
    </w:p>
    <w:p>
      <w:pPr>
        <w:pStyle w:val="BodyText"/>
        <w:spacing w:line="408" w:lineRule="auto"/>
        <w:ind w:left="438" w:right="2766"/>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408" w:lineRule="auto"/>
        <w:ind w:left="438" w:right="149" w:firstLine="420"/>
        <w:jc w:val="both"/>
      </w:pPr>
      <w:r>
        <w:rPr>
          <w:spacing w:val="-3"/>
        </w:rPr>
        <w:t>处置对子公司股权投资直至丧失控制权的各项交易属于一揽子交易的，本公司将各项交易作为一项</w:t>
      </w:r>
      <w:r>
        <w:rPr/>
        <w:t> </w:t>
      </w:r>
      <w:r>
        <w:rPr>
          <w:spacing w:val="-3"/>
        </w:rPr>
        <w:t>处置子公司并丧失控制权的交易进行会计处理；但是，在丧失控制权之前每一次处置价款与处置投资对</w:t>
      </w:r>
      <w:r>
        <w:rPr>
          <w:spacing w:val="-66"/>
        </w:rPr>
        <w:t> </w:t>
      </w:r>
      <w:r>
        <w:rPr>
          <w:spacing w:val="-66"/>
        </w:rPr>
      </w:r>
      <w:r>
        <w:rPr>
          <w:spacing w:val="-3"/>
        </w:rPr>
        <w:t>应的享有该子公司净资产份额的差额，在合并财务报表中确认为其他综合收益，在丧失控制权时一并转</w:t>
      </w:r>
    </w:p>
    <w:p>
      <w:pPr>
        <w:spacing w:after="0" w:line="408" w:lineRule="auto"/>
        <w:jc w:val="both"/>
        <w:sectPr>
          <w:footerReference w:type="default" r:id="rId35"/>
          <w:pgSz w:w="11910" w:h="16840"/>
          <w:pgMar w:footer="982" w:header="877" w:top="1100" w:bottom="1180" w:left="980" w:right="980"/>
          <w:pgNumType w:start="154"/>
        </w:sectPr>
      </w:pPr>
    </w:p>
    <w:p>
      <w:pPr>
        <w:spacing w:line="240" w:lineRule="auto" w:before="8"/>
        <w:rPr>
          <w:rFonts w:ascii="宋体" w:hAnsi="宋体" w:cs="宋体" w:eastAsia="宋体" w:hint="default"/>
          <w:sz w:val="26"/>
          <w:szCs w:val="26"/>
        </w:rPr>
      </w:pPr>
    </w:p>
    <w:p>
      <w:pPr>
        <w:pStyle w:val="BodyText"/>
        <w:spacing w:line="408" w:lineRule="auto" w:before="35"/>
        <w:ind w:left="858" w:right="133" w:hanging="420"/>
        <w:jc w:val="left"/>
      </w:pPr>
      <w:r>
        <w:rPr/>
        <w:t>入丧失控制权当期的损益。 </w:t>
      </w:r>
      <w:r>
        <w:rPr>
          <w:spacing w:val="-3"/>
        </w:rPr>
        <w:t>处置对子公司股权投资直至丧失控制权的各项交易不属于一揽子交易的，在丧失控制权之前，按不</w:t>
      </w:r>
    </w:p>
    <w:p>
      <w:pPr>
        <w:pStyle w:val="BodyText"/>
        <w:spacing w:line="408" w:lineRule="auto"/>
        <w:ind w:left="438" w:right="133"/>
        <w:jc w:val="left"/>
      </w:pPr>
      <w:r>
        <w:rPr>
          <w:spacing w:val="-3"/>
        </w:rPr>
        <w:t>丧失控制权的情况下部分处置对子公司的股权投资的相关政策进行会计处理；在丧失控制权时，按处置</w:t>
      </w:r>
      <w:r>
        <w:rPr>
          <w:spacing w:val="-66"/>
        </w:rPr>
        <w:t> </w:t>
      </w:r>
      <w:r>
        <w:rPr>
          <w:spacing w:val="-66"/>
        </w:rPr>
      </w:r>
      <w:r>
        <w:rPr/>
        <w:t>子公司一般处理方法进行会计处理。</w:t>
      </w:r>
    </w:p>
    <w:p>
      <w:pPr>
        <w:pStyle w:val="BodyText"/>
        <w:spacing w:line="386" w:lineRule="auto"/>
        <w:ind w:left="858" w:right="133" w:hanging="421"/>
        <w:jc w:val="left"/>
      </w:pPr>
      <w:r>
        <w:rPr/>
        <w:t>（</w:t>
      </w:r>
      <w:r>
        <w:rPr>
          <w:rFonts w:ascii="Times New Roman" w:hAnsi="Times New Roman" w:cs="Times New Roman" w:eastAsia="Times New Roman" w:hint="default"/>
        </w:rPr>
        <w:t>3</w:t>
      </w:r>
      <w:r>
        <w:rPr/>
        <w:t>）购买子公司少数股权 </w:t>
      </w:r>
      <w:r>
        <w:rPr>
          <w:spacing w:val="-3"/>
        </w:rPr>
        <w:t>本公司因购买少数股权新取得的长期股权投资与按照新增持股比例计算应享有子公司自购买日（或</w:t>
      </w:r>
    </w:p>
    <w:p>
      <w:pPr>
        <w:pStyle w:val="BodyText"/>
        <w:spacing w:line="408" w:lineRule="auto" w:before="65"/>
        <w:ind w:left="438" w:right="133"/>
        <w:jc w:val="left"/>
      </w:pPr>
      <w:r>
        <w:rPr>
          <w:spacing w:val="-3"/>
        </w:rPr>
        <w:t>合并日）开始持续计算的净资产份额之间的差额，调整合并资产负债表中的资本公积中的股本溢价，资</w:t>
      </w:r>
      <w:r>
        <w:rPr>
          <w:spacing w:val="-69"/>
        </w:rPr>
        <w:t> </w:t>
      </w:r>
      <w:r>
        <w:rPr>
          <w:spacing w:val="-69"/>
        </w:rPr>
      </w:r>
      <w:r>
        <w:rPr/>
        <w:t>本公积中的股本溢价不足冲减的，调整留存收益。</w:t>
      </w:r>
    </w:p>
    <w:p>
      <w:pPr>
        <w:pStyle w:val="BodyText"/>
        <w:spacing w:line="386" w:lineRule="auto"/>
        <w:ind w:left="858" w:right="246" w:hanging="421"/>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w:t>
      </w:r>
    </w:p>
    <w:p>
      <w:pPr>
        <w:pStyle w:val="BodyText"/>
        <w:spacing w:line="408" w:lineRule="auto" w:before="65"/>
        <w:ind w:left="438" w:right="133"/>
        <w:jc w:val="left"/>
      </w:pPr>
      <w:r>
        <w:rPr>
          <w:spacing w:val="-3"/>
        </w:rPr>
        <w:t>投资相对应享有子公司自购买日或合并日开始持续计算的净资产份额之间的差额，调整合并资产负债表</w:t>
      </w:r>
      <w:r>
        <w:rPr>
          <w:spacing w:val="-66"/>
        </w:rPr>
        <w:t> </w:t>
      </w:r>
      <w:r>
        <w:rPr>
          <w:spacing w:val="-66"/>
        </w:rPr>
      </w:r>
      <w:r>
        <w:rPr/>
        <w:t>中的资本公积中的股本溢价，资本公积中的股本溢价不足冲减的，调整留存收益。</w:t>
      </w:r>
    </w:p>
    <w:p>
      <w:pPr>
        <w:spacing w:line="240" w:lineRule="auto" w:before="8"/>
        <w:rPr>
          <w:rFonts w:ascii="宋体" w:hAnsi="宋体" w:cs="宋体" w:eastAsia="宋体" w:hint="default"/>
          <w:sz w:val="20"/>
          <w:szCs w:val="20"/>
        </w:rPr>
      </w:pPr>
    </w:p>
    <w:p>
      <w:pPr>
        <w:pStyle w:val="Heading4"/>
        <w:spacing w:line="240" w:lineRule="auto"/>
        <w:ind w:left="438" w:right="133" w:hanging="285"/>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438" w:right="246"/>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ind w:left="438" w:right="13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77"/>
        <w:ind w:left="438" w:right="13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77"/>
        <w:ind w:left="438" w:right="133"/>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77"/>
        <w:ind w:left="438" w:right="133"/>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86" w:lineRule="auto" w:before="177"/>
        <w:ind w:left="438" w:right="2452" w:hanging="1"/>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9"/>
          <w:szCs w:val="19"/>
        </w:rPr>
      </w:pPr>
    </w:p>
    <w:p>
      <w:pPr>
        <w:pStyle w:val="Heading4"/>
        <w:spacing w:line="240" w:lineRule="auto"/>
        <w:ind w:right="13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438" w:right="149" w:firstLine="427"/>
        <w:jc w:val="both"/>
      </w:pPr>
      <w:r>
        <w:rPr>
          <w:spacing w:val="-3"/>
        </w:rPr>
        <w:t>在编制现金流量表时，将本公司库存现金以及可以随时用于支付的存款确认为现金。将同时具备期</w:t>
      </w:r>
      <w:r>
        <w:rPr/>
        <w:t> </w:t>
      </w:r>
      <w:r>
        <w:rPr>
          <w:spacing w:val="-3"/>
        </w:rPr>
        <w:t>限短（从购买日起三个月内到期）、流动性强、易于转换为已知现金、价值变动风险很小四个条件的投</w:t>
      </w:r>
      <w:r>
        <w:rPr>
          <w:spacing w:val="-70"/>
        </w:rPr>
        <w:t> </w:t>
      </w:r>
      <w:r>
        <w:rPr>
          <w:spacing w:val="-70"/>
        </w:rPr>
      </w:r>
      <w:r>
        <w:rPr/>
        <w:t>资，确定为现金等价物。</w:t>
      </w:r>
    </w:p>
    <w:p>
      <w:pPr>
        <w:spacing w:after="0" w:line="408" w:lineRule="auto"/>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33"/>
        <w:jc w:val="left"/>
        <w:rPr>
          <w:b w:val="0"/>
          <w:bCs w:val="0"/>
        </w:rPr>
      </w:pPr>
      <w:r>
        <w:rPr>
          <w:rFonts w:ascii="Times New Roman" w:hAnsi="Times New Roman" w:cs="Times New Roman" w:eastAsia="Times New Roman" w:hint="default"/>
        </w:rPr>
        <w:t>9</w:t>
      </w:r>
      <w:r>
        <w:rPr/>
        <w:t>、</w:t>
      </w:r>
      <w:r>
        <w:rPr>
          <w:spacing w:val="-66"/>
        </w:rPr>
        <w:t> </w:t>
      </w:r>
      <w:r>
        <w:rPr/>
        <w:t>外币业务和外币报表折算</w:t>
      </w:r>
      <w:r>
        <w:rPr>
          <w:b w:val="0"/>
          <w:bCs w:val="0"/>
        </w:rPr>
      </w:r>
    </w:p>
    <w:p>
      <w:pPr>
        <w:spacing w:line="240" w:lineRule="auto" w:before="7"/>
        <w:rPr>
          <w:rFonts w:ascii="宋体" w:hAnsi="宋体" w:cs="宋体" w:eastAsia="宋体" w:hint="default"/>
          <w:b/>
          <w:bCs/>
          <w:sz w:val="30"/>
          <w:szCs w:val="30"/>
        </w:rPr>
      </w:pPr>
    </w:p>
    <w:p>
      <w:pPr>
        <w:pStyle w:val="Heading4"/>
        <w:spacing w:line="240" w:lineRule="auto"/>
        <w:ind w:left="295" w:right="133"/>
        <w:jc w:val="left"/>
        <w:rPr>
          <w:b w:val="0"/>
          <w:bCs w:val="0"/>
        </w:rPr>
      </w:pPr>
      <w:r>
        <w:rPr/>
        <w:t>1.外币业务</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715" w:right="179"/>
        <w:jc w:val="left"/>
      </w:pPr>
      <w:r>
        <w:rPr/>
        <w:t>外币业务采用交易发生日的即期汇率作为折算汇率将外币金额折合成人民币记账。 资产负债表日外币货币性项目余额按资产负债表日即期汇率折算，由此产生的汇兑差额，除属于与</w:t>
      </w:r>
    </w:p>
    <w:p>
      <w:pPr>
        <w:pStyle w:val="BodyText"/>
        <w:spacing w:line="408" w:lineRule="auto"/>
        <w:ind w:left="295" w:right="179"/>
        <w:jc w:val="left"/>
      </w:pPr>
      <w:r>
        <w:rPr/>
        <w:t>购建符合资本化条件的资产相关的外币专门借款产生的汇兑差额按照借款费用资本化的原则处理外，均 计入当期损益。</w:t>
      </w:r>
    </w:p>
    <w:p>
      <w:pPr>
        <w:spacing w:line="408" w:lineRule="auto" w:before="46"/>
        <w:ind w:left="715" w:right="133" w:hanging="420"/>
        <w:jc w:val="left"/>
        <w:rPr>
          <w:rFonts w:ascii="宋体" w:hAnsi="宋体" w:cs="宋体" w:eastAsia="宋体" w:hint="default"/>
          <w:sz w:val="21"/>
          <w:szCs w:val="21"/>
        </w:rPr>
      </w:pPr>
      <w:r>
        <w:rPr>
          <w:rFonts w:ascii="宋体" w:hAnsi="宋体" w:cs="宋体" w:eastAsia="宋体" w:hint="default"/>
          <w:b/>
          <w:bCs/>
          <w:sz w:val="21"/>
          <w:szCs w:val="21"/>
        </w:rPr>
        <w:t>2.外币财务报表的折算</w:t>
      </w:r>
      <w:r>
        <w:rPr>
          <w:rFonts w:ascii="宋体" w:hAnsi="宋体" w:cs="宋体" w:eastAsia="宋体" w:hint="default"/>
          <w:b/>
          <w:bCs/>
          <w:w w:val="99"/>
          <w:sz w:val="21"/>
          <w:szCs w:val="21"/>
        </w:rPr>
        <w:t> </w:t>
      </w:r>
      <w:r>
        <w:rPr>
          <w:rFonts w:ascii="宋体" w:hAnsi="宋体" w:cs="宋体" w:eastAsia="宋体" w:hint="default"/>
          <w:spacing w:val="-2"/>
          <w:sz w:val="21"/>
          <w:szCs w:val="21"/>
        </w:rPr>
        <w:t>资产负债表中的资产和负债项目，采用资产负债表日的即期汇率折算；所有者权益项目除</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未分配利</w:t>
      </w:r>
    </w:p>
    <w:p>
      <w:pPr>
        <w:pStyle w:val="BodyText"/>
        <w:spacing w:line="386" w:lineRule="auto" w:before="14"/>
        <w:ind w:left="295" w:right="133"/>
        <w:jc w:val="left"/>
      </w:pPr>
      <w:r>
        <w:rPr>
          <w:spacing w:val="-2"/>
        </w:rPr>
        <w:t>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项目外，其他项目采用发生时的即期汇率折算。利润表中的收入和费用项目，采用交易发生日的即期</w:t>
      </w:r>
      <w:r>
        <w:rPr>
          <w:spacing w:val="-61"/>
        </w:rPr>
        <w:t> </w:t>
      </w:r>
      <w:r>
        <w:rPr>
          <w:spacing w:val="-61"/>
        </w:rPr>
      </w:r>
      <w:r>
        <w:rPr/>
        <w:t>汇率折算。</w:t>
      </w:r>
    </w:p>
    <w:p>
      <w:pPr>
        <w:pStyle w:val="BodyText"/>
        <w:spacing w:line="408" w:lineRule="auto" w:before="65"/>
        <w:ind w:left="295" w:right="179" w:firstLine="420"/>
        <w:jc w:val="left"/>
      </w:pPr>
      <w:r>
        <w:rPr/>
        <w:t>处置境外经营时，将与该境外经营相关的外币财务报表折算差额，自所有者权益项目转入处置当期 损益。</w:t>
      </w:r>
    </w:p>
    <w:p>
      <w:pPr>
        <w:spacing w:line="240" w:lineRule="auto" w:before="8"/>
        <w:rPr>
          <w:rFonts w:ascii="宋体" w:hAnsi="宋体" w:cs="宋体" w:eastAsia="宋体" w:hint="default"/>
          <w:sz w:val="20"/>
          <w:szCs w:val="20"/>
        </w:rPr>
      </w:pPr>
    </w:p>
    <w:p>
      <w:pPr>
        <w:pStyle w:val="Heading4"/>
        <w:spacing w:line="240" w:lineRule="auto"/>
        <w:ind w:left="153" w:right="13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spacing w:line="408" w:lineRule="auto" w:before="0"/>
        <w:ind w:left="295" w:right="5219" w:firstLine="0"/>
        <w:jc w:val="left"/>
        <w:rPr>
          <w:rFonts w:ascii="宋体" w:hAnsi="宋体" w:cs="宋体" w:eastAsia="宋体" w:hint="default"/>
          <w:sz w:val="21"/>
          <w:szCs w:val="21"/>
        </w:rPr>
      </w:pPr>
      <w:r>
        <w:rPr>
          <w:rFonts w:ascii="宋体" w:hAnsi="宋体" w:cs="宋体" w:eastAsia="宋体" w:hint="default"/>
          <w:sz w:val="21"/>
          <w:szCs w:val="21"/>
        </w:rPr>
        <w:t>金融工具包括金融资产、金融负债和权益工具。 </w:t>
      </w:r>
      <w:r>
        <w:rPr>
          <w:rFonts w:ascii="宋体" w:hAnsi="宋体" w:cs="宋体" w:eastAsia="宋体" w:hint="default"/>
          <w:b/>
          <w:bCs/>
          <w:sz w:val="21"/>
          <w:szCs w:val="21"/>
        </w:rPr>
        <w:t>1.金融工具的分类</w:t>
      </w:r>
      <w:r>
        <w:rPr>
          <w:rFonts w:ascii="宋体" w:hAnsi="宋体" w:cs="宋体" w:eastAsia="宋体" w:hint="default"/>
          <w:sz w:val="21"/>
          <w:szCs w:val="21"/>
        </w:rPr>
      </w:r>
    </w:p>
    <w:p>
      <w:pPr>
        <w:pStyle w:val="BodyText"/>
        <w:spacing w:line="408" w:lineRule="auto"/>
        <w:ind w:left="295" w:right="179" w:firstLine="420"/>
        <w:jc w:val="left"/>
        <w:rPr>
          <w:rFonts w:ascii="宋体" w:hAnsi="宋体" w:cs="宋体" w:eastAsia="宋体" w:hint="default"/>
        </w:rPr>
      </w:pPr>
      <w:r>
        <w:rPr/>
        <w:t>金融资产和金融负债于初始确认时分类为：以公允价值计量且其变动计入当期损益的金融资产或金 融负债，包括交易性金融资产或金融负债和直接指定为以公允价值计量且其变动计入当期损益的金融资 产或金融负债；持有至到期投资；应收款项；可供出售金融资产；其他金融负债等。 </w:t>
      </w:r>
      <w:r>
        <w:rPr>
          <w:rFonts w:ascii="宋体" w:hAnsi="宋体" w:cs="宋体" w:eastAsia="宋体" w:hint="default"/>
          <w:b/>
          <w:bCs/>
        </w:rPr>
        <w:t>2.金融工具的确认依据和计量方法</w:t>
      </w:r>
      <w:r>
        <w:rPr>
          <w:rFonts w:ascii="宋体" w:hAnsi="宋体" w:cs="宋体" w:eastAsia="宋体" w:hint="default"/>
        </w:rPr>
      </w:r>
    </w:p>
    <w:p>
      <w:pPr>
        <w:pStyle w:val="BodyText"/>
        <w:spacing w:line="386" w:lineRule="auto"/>
        <w:ind w:left="715" w:right="179" w:hanging="421"/>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取得时以公允价值（扣除已宣告但尚未发放的现金股利或已到付息期但尚未领取的债券利息）作为</w:t>
      </w:r>
    </w:p>
    <w:p>
      <w:pPr>
        <w:pStyle w:val="BodyText"/>
        <w:spacing w:line="408" w:lineRule="auto" w:before="65"/>
        <w:ind w:left="715" w:right="1019" w:hanging="420"/>
        <w:jc w:val="left"/>
      </w:pPr>
      <w:r>
        <w:rPr/>
        <w:t>初始确认金额，相关的交易费用计入当期损益。 持有期间将取得的利息或现金股利确认为投资收益，期末将公允价值变动计入当期损益。</w:t>
      </w:r>
    </w:p>
    <w:p>
      <w:pPr>
        <w:pStyle w:val="BodyText"/>
        <w:spacing w:line="240" w:lineRule="auto"/>
        <w:ind w:left="295" w:right="133"/>
        <w:jc w:val="left"/>
      </w:pPr>
      <w:r>
        <w:rPr/>
        <w:t>处置时，其公允价值与初始入账金额之间的差额确认为投资收益，同时调整公允价值变动损益。</w:t>
      </w:r>
    </w:p>
    <w:p>
      <w:pPr>
        <w:spacing w:line="240" w:lineRule="auto" w:before="10"/>
        <w:rPr>
          <w:rFonts w:ascii="宋体" w:hAnsi="宋体" w:cs="宋体" w:eastAsia="宋体" w:hint="default"/>
          <w:sz w:val="14"/>
          <w:szCs w:val="14"/>
        </w:rPr>
      </w:pPr>
    </w:p>
    <w:p>
      <w:pPr>
        <w:pStyle w:val="BodyText"/>
        <w:spacing w:line="386" w:lineRule="auto" w:before="0"/>
        <w:ind w:left="715" w:right="179" w:hanging="421"/>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w:t>
      </w:r>
    </w:p>
    <w:p>
      <w:pPr>
        <w:pStyle w:val="BodyText"/>
        <w:spacing w:line="240" w:lineRule="auto" w:before="65"/>
        <w:ind w:left="295" w:right="133"/>
        <w:jc w:val="left"/>
      </w:pPr>
      <w:r>
        <w:rPr/>
        <w:t>额。</w:t>
      </w:r>
    </w:p>
    <w:p>
      <w:pPr>
        <w:spacing w:line="240" w:lineRule="auto" w:before="10"/>
        <w:rPr>
          <w:rFonts w:ascii="宋体" w:hAnsi="宋体" w:cs="宋体" w:eastAsia="宋体" w:hint="default"/>
          <w:sz w:val="14"/>
          <w:szCs w:val="14"/>
        </w:rPr>
      </w:pPr>
    </w:p>
    <w:p>
      <w:pPr>
        <w:pStyle w:val="BodyText"/>
        <w:spacing w:line="240" w:lineRule="auto" w:before="0"/>
        <w:ind w:left="715" w:right="133"/>
        <w:jc w:val="left"/>
      </w:pPr>
      <w:r>
        <w:rPr/>
        <w:t>持有期间按照摊余成本和实际利率计算确认利息收入，计入投资收益。实际利率在取得时确定，在</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715" w:right="2909" w:hanging="420"/>
        <w:jc w:val="left"/>
      </w:pPr>
      <w:r>
        <w:rPr/>
        <w:t>该预期存续期间或适用的更短期间内保持不变。 处置时，将所取得价款与该投资账面价值之间的差额计入投资收益。</w:t>
      </w:r>
    </w:p>
    <w:p>
      <w:pPr>
        <w:pStyle w:val="BodyText"/>
        <w:spacing w:line="240" w:lineRule="auto"/>
        <w:ind w:left="295" w:right="133"/>
        <w:jc w:val="left"/>
      </w:pPr>
      <w:r>
        <w:rPr/>
        <w:t>（</w:t>
      </w:r>
      <w:r>
        <w:rPr>
          <w:rFonts w:ascii="Times New Roman" w:hAnsi="Times New Roman" w:cs="Times New Roman" w:eastAsia="Times New Roman" w:hint="default"/>
        </w:rPr>
        <w:t>3</w:t>
      </w:r>
      <w:r>
        <w:rPr/>
        <w:t>）应收款项</w:t>
      </w:r>
    </w:p>
    <w:p>
      <w:pPr>
        <w:pStyle w:val="BodyText"/>
        <w:spacing w:line="408" w:lineRule="auto" w:before="177"/>
        <w:ind w:left="295" w:right="196" w:firstLine="420"/>
        <w:jc w:val="both"/>
      </w:pPr>
      <w:r>
        <w:rPr/>
        <w:t>公司对外销售商品或提供劳务形成的应收债权，以及公司持有的其他企业的不包括在活跃市场上有 报价的债务工具的债权，包括应收账款、其他应收款等，以向购货方应收的合同或协议价款作为初始确 认金额；具有融资性质的，按其现值进行初始确认。</w:t>
      </w:r>
    </w:p>
    <w:p>
      <w:pPr>
        <w:pStyle w:val="BodyText"/>
        <w:spacing w:line="240" w:lineRule="auto"/>
        <w:ind w:left="715" w:right="133"/>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386" w:lineRule="auto" w:before="0"/>
        <w:ind w:left="715" w:right="179" w:hanging="421"/>
        <w:jc w:val="left"/>
      </w:pPr>
      <w:r>
        <w:rPr/>
        <w:t>（</w:t>
      </w:r>
      <w:r>
        <w:rPr>
          <w:rFonts w:ascii="Times New Roman" w:hAnsi="Times New Roman" w:cs="Times New Roman" w:eastAsia="Times New Roman" w:hint="default"/>
        </w:rPr>
        <w:t>4</w:t>
      </w:r>
      <w:r>
        <w:rPr/>
        <w:t>）可供出售金融资产 取得时按公允价值（扣除已宣告但尚未发放的现金股利或已到付息期但尚未领取的债券利息）和相</w:t>
      </w:r>
    </w:p>
    <w:p>
      <w:pPr>
        <w:pStyle w:val="BodyText"/>
        <w:spacing w:line="408" w:lineRule="auto" w:before="65"/>
        <w:ind w:left="715" w:right="179" w:hanging="420"/>
        <w:jc w:val="left"/>
      </w:pPr>
      <w:r>
        <w:rPr/>
        <w:t>关交易费用之和作为初始确认金额。 持有期间将取得的利息或现金股利确认为投资收益。期末以公允价值计量且将公允价值变动计入其</w:t>
      </w:r>
    </w:p>
    <w:p>
      <w:pPr>
        <w:pStyle w:val="BodyText"/>
        <w:spacing w:line="408" w:lineRule="auto"/>
        <w:ind w:left="295" w:right="179"/>
        <w:jc w:val="left"/>
      </w:pPr>
      <w:r>
        <w:rPr/>
        <w:t>他综合收益。但是，在活跃市场中没有报价且其公允价值不能可靠计量的权益工具投资，以及与该权益 工具挂钩并须通过交付该权益工具结算的衍生金融资产，按照成本计量。</w:t>
      </w:r>
    </w:p>
    <w:p>
      <w:pPr>
        <w:pStyle w:val="BodyText"/>
        <w:spacing w:line="408" w:lineRule="auto"/>
        <w:ind w:left="295" w:right="196" w:firstLine="420"/>
        <w:jc w:val="both"/>
      </w:pPr>
      <w:r>
        <w:rPr/>
        <w:t>处置时，将取得的价款与该金融资产账面价值之间的差额，计入投资损益；同时，将原直接计入其 他综合收益的公允价值变动累计额对应处置部分的金额转出，计入当期损益。</w:t>
      </w:r>
    </w:p>
    <w:p>
      <w:pPr>
        <w:pStyle w:val="BodyText"/>
        <w:spacing w:line="386" w:lineRule="auto"/>
        <w:ind w:left="715" w:right="1439" w:hanging="421"/>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408" w:lineRule="auto" w:before="65"/>
        <w:ind w:left="715" w:right="179" w:hanging="420"/>
        <w:jc w:val="left"/>
        <w:rPr>
          <w:rFonts w:ascii="宋体" w:hAnsi="宋体" w:cs="宋体" w:eastAsia="宋体" w:hint="default"/>
          <w:sz w:val="21"/>
          <w:szCs w:val="21"/>
        </w:rPr>
      </w:pPr>
      <w:r>
        <w:rPr>
          <w:rFonts w:ascii="宋体" w:hAnsi="宋体" w:cs="宋体" w:eastAsia="宋体" w:hint="default"/>
          <w:b/>
          <w:bCs/>
          <w:sz w:val="21"/>
          <w:szCs w:val="21"/>
        </w:rPr>
        <w:t>3.金融资产转移的确认依据和计量方法</w:t>
      </w:r>
      <w:r>
        <w:rPr>
          <w:rFonts w:ascii="宋体" w:hAnsi="宋体" w:cs="宋体" w:eastAsia="宋体" w:hint="default"/>
          <w:b/>
          <w:bCs/>
          <w:w w:val="99"/>
          <w:sz w:val="21"/>
          <w:szCs w:val="21"/>
        </w:rPr>
        <w:t> </w:t>
      </w:r>
      <w:r>
        <w:rPr>
          <w:rFonts w:ascii="宋体" w:hAnsi="宋体" w:cs="宋体" w:eastAsia="宋体" w:hint="default"/>
          <w:sz w:val="21"/>
          <w:szCs w:val="21"/>
        </w:rPr>
        <w:t>公司发生金融资产转移时，如已将金融资产所有权上几乎所有的风险和报酬转移给转入方，则终止</w:t>
      </w:r>
    </w:p>
    <w:p>
      <w:pPr>
        <w:pStyle w:val="BodyText"/>
        <w:spacing w:line="408" w:lineRule="auto"/>
        <w:ind w:left="295" w:right="179"/>
        <w:jc w:val="left"/>
      </w:pPr>
      <w:r>
        <w:rPr/>
        <w:t>确认该金融资产；如保留了金融资产所有权上几乎所有的风险和报酬的，则不终止确认该金融资产。 在判断金融资产转移是否满足上述金融资产终止确认条件时，采用实质重于形式的原则。公司将金融资 产转移区分为金融资产整体转移和部分转移。金融资产整体转移满足终止确认条件的，将下列两项金额 的差额计入当期损益：</w:t>
      </w:r>
    </w:p>
    <w:p>
      <w:pPr>
        <w:pStyle w:val="BodyText"/>
        <w:spacing w:line="240" w:lineRule="auto"/>
        <w:ind w:left="295" w:right="133"/>
        <w:jc w:val="left"/>
      </w:pPr>
      <w:r>
        <w:rPr/>
        <w:t>（</w:t>
      </w:r>
      <w:r>
        <w:rPr>
          <w:rFonts w:ascii="Times New Roman" w:hAnsi="Times New Roman" w:cs="Times New Roman" w:eastAsia="Times New Roman" w:hint="default"/>
        </w:rPr>
        <w:t>1</w:t>
      </w:r>
      <w:r>
        <w:rPr/>
        <w:t>）所转移金融资产的账面价值；</w:t>
      </w:r>
    </w:p>
    <w:p>
      <w:pPr>
        <w:pStyle w:val="BodyText"/>
        <w:spacing w:line="386" w:lineRule="auto" w:before="177"/>
        <w:ind w:left="295" w:right="133"/>
        <w:jc w:val="left"/>
      </w:pPr>
      <w:r>
        <w:rPr>
          <w:spacing w:val="-2"/>
        </w:rPr>
        <w:t>（</w:t>
      </w:r>
      <w:r>
        <w:rPr>
          <w:rFonts w:ascii="Times New Roman" w:hAnsi="Times New Roman" w:cs="Times New Roman" w:eastAsia="Times New Roman" w:hint="default"/>
          <w:spacing w:val="-2"/>
        </w:rPr>
        <w:t>2</w:t>
      </w:r>
      <w:r>
        <w:rPr>
          <w:spacing w:val="-2"/>
        </w:rPr>
        <w:t>）因转移而收到的对价，与原直接计入所有者权益的公允价值变动累计额（涉及转移的金融资产为可</w:t>
      </w:r>
      <w:r>
        <w:rPr>
          <w:spacing w:val="-75"/>
        </w:rPr>
        <w:t> </w:t>
      </w:r>
      <w:r>
        <w:rPr>
          <w:spacing w:val="-75"/>
        </w:rPr>
      </w:r>
      <w:r>
        <w:rPr/>
        <w:t>供出售金融资产的情形）之和。</w:t>
      </w:r>
    </w:p>
    <w:p>
      <w:pPr>
        <w:pStyle w:val="BodyText"/>
        <w:spacing w:line="408" w:lineRule="auto" w:before="65"/>
        <w:ind w:left="295" w:right="196" w:firstLine="420"/>
        <w:jc w:val="both"/>
      </w:pPr>
      <w:r>
        <w:rPr/>
        <w:t>金融资产部分转移满足终止确认条件的，将所转移金融资产整体的账面价值，在终止确认部分和未 终止确认部分之间，按照各自的相对公允价值进行分摊，并将下列两项金额的差额计入当期损益：</w:t>
      </w:r>
    </w:p>
    <w:p>
      <w:pPr>
        <w:pStyle w:val="BodyText"/>
        <w:spacing w:line="240" w:lineRule="auto"/>
        <w:ind w:left="295" w:right="133"/>
        <w:jc w:val="left"/>
      </w:pPr>
      <w:r>
        <w:rPr/>
        <w:t>（</w:t>
      </w:r>
      <w:r>
        <w:rPr>
          <w:rFonts w:ascii="Times New Roman" w:hAnsi="Times New Roman" w:cs="Times New Roman" w:eastAsia="Times New Roman" w:hint="default"/>
        </w:rPr>
        <w:t>1</w:t>
      </w:r>
      <w:r>
        <w:rPr/>
        <w:t>）终止确认部分的账面价值；</w:t>
      </w:r>
    </w:p>
    <w:p>
      <w:pPr>
        <w:pStyle w:val="BodyText"/>
        <w:spacing w:line="240" w:lineRule="auto" w:before="177"/>
        <w:ind w:left="295" w:right="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715" w:right="179" w:hanging="420"/>
        <w:jc w:val="left"/>
      </w:pPr>
      <w:r>
        <w:rPr/>
        <w:t>（涉及转移的金融资产为可供出售金融资产的情形）之和。 金融资产转移不满足终止确认条件的，继续确认该金融资产，所收到的对价确认为一项金融负债。</w:t>
      </w:r>
    </w:p>
    <w:p>
      <w:pPr>
        <w:spacing w:line="408" w:lineRule="auto" w:before="46"/>
        <w:ind w:left="715" w:right="179" w:hanging="420"/>
        <w:jc w:val="left"/>
        <w:rPr>
          <w:rFonts w:ascii="宋体" w:hAnsi="宋体" w:cs="宋体" w:eastAsia="宋体" w:hint="default"/>
          <w:sz w:val="21"/>
          <w:szCs w:val="21"/>
        </w:rPr>
      </w:pPr>
      <w:r>
        <w:rPr>
          <w:rFonts w:ascii="宋体" w:hAnsi="宋体" w:cs="宋体" w:eastAsia="宋体" w:hint="default"/>
          <w:b/>
          <w:bCs/>
          <w:sz w:val="21"/>
          <w:szCs w:val="21"/>
        </w:rPr>
        <w:t>4.金融负债终止确认条件</w:t>
      </w:r>
      <w:r>
        <w:rPr>
          <w:rFonts w:ascii="宋体" w:hAnsi="宋体" w:cs="宋体" w:eastAsia="宋体" w:hint="default"/>
          <w:b/>
          <w:bCs/>
          <w:w w:val="99"/>
          <w:sz w:val="21"/>
          <w:szCs w:val="21"/>
        </w:rPr>
        <w:t> </w:t>
      </w:r>
      <w:r>
        <w:rPr>
          <w:rFonts w:ascii="宋体" w:hAnsi="宋体" w:cs="宋体" w:eastAsia="宋体" w:hint="default"/>
          <w:sz w:val="21"/>
          <w:szCs w:val="21"/>
        </w:rPr>
        <w:t>金融负债的现时义务全部或部分已经解除的，则终止确认该金融负债或其一部分；本公司若与债权</w:t>
      </w:r>
    </w:p>
    <w:p>
      <w:pPr>
        <w:pStyle w:val="BodyText"/>
        <w:spacing w:line="408" w:lineRule="auto"/>
        <w:ind w:left="295" w:right="179"/>
        <w:jc w:val="left"/>
      </w:pPr>
      <w:r>
        <w:rPr/>
        <w:t>人签定协议，以承担新金融负债方式替换现存金融负债，且新金融负债与现存金融负债的合同条款实质 上不同的，则终止确认现存金融负债，并同时确认新金融负债。</w:t>
      </w:r>
    </w:p>
    <w:p>
      <w:pPr>
        <w:pStyle w:val="BodyText"/>
        <w:spacing w:line="408" w:lineRule="auto"/>
        <w:ind w:left="295" w:right="179" w:firstLine="420"/>
        <w:jc w:val="left"/>
      </w:pPr>
      <w:r>
        <w:rPr/>
        <w:t>对现存金融负债全部或部分合同条款作出实质性修改的，则终止确认现存金融负债或其一部分，同 时将修改条款后的金融负债确认为一项新金融负债。</w:t>
      </w:r>
    </w:p>
    <w:p>
      <w:pPr>
        <w:pStyle w:val="BodyText"/>
        <w:spacing w:line="408" w:lineRule="auto"/>
        <w:ind w:left="295" w:right="179" w:firstLine="420"/>
        <w:jc w:val="left"/>
      </w:pPr>
      <w:r>
        <w:rPr/>
        <w:t>金融负债全部或部分终止确认时，终止确认的金融负债账面价值与支付对价（包括转出的非现金资 产或承担的新金融负债）之间的差额，计入当期损益。</w:t>
      </w:r>
    </w:p>
    <w:p>
      <w:pPr>
        <w:pStyle w:val="BodyText"/>
        <w:spacing w:line="408" w:lineRule="auto"/>
        <w:ind w:left="295" w:right="182" w:firstLine="420"/>
        <w:jc w:val="left"/>
        <w:rPr>
          <w:rFonts w:ascii="宋体" w:hAnsi="宋体" w:cs="宋体" w:eastAsia="宋体" w:hint="default"/>
        </w:rPr>
      </w:pPr>
      <w:r>
        <w:rPr/>
        <w:t>本公司若回购部分金融负债的，在回购日按照继续确认部分与终止确认部分的相对公允价值，将该 金融负债整体的账面价值进行分配。分配给终止确认部分的账面价值与支付的对价（包括转出的非现金 资产或承担的新金融负债）之间的差额，计入当期损益。 </w:t>
      </w:r>
      <w:r>
        <w:rPr>
          <w:rFonts w:ascii="宋体" w:hAnsi="宋体" w:cs="宋体" w:eastAsia="宋体" w:hint="default"/>
          <w:b/>
          <w:bCs/>
        </w:rPr>
        <w:t>5.金融资产和金融负债的公允价值的确定方法</w:t>
      </w:r>
      <w:r>
        <w:rPr>
          <w:rFonts w:ascii="宋体" w:hAnsi="宋体" w:cs="宋体" w:eastAsia="宋体" w:hint="default"/>
        </w:rPr>
      </w:r>
    </w:p>
    <w:p>
      <w:pPr>
        <w:pStyle w:val="BodyText"/>
        <w:spacing w:line="408" w:lineRule="auto"/>
        <w:ind w:left="295" w:right="196" w:firstLine="420"/>
        <w:jc w:val="both"/>
      </w:pPr>
      <w:r>
        <w:rPr/>
        <w:t>存在活跃市场的金融工具，以活跃市场中的报价确定其公允价值。不存在活跃市场的金融工具，采 用估值技术确定其公允价值。在估值时，本公司采用在当前情况下适用并且有足够可利用数据和其他信 息支持的估值技术，选择与市场参与者在相关资产或负债的交易中所考虑的资产或负债特征相一致的输 入值，并优先使用相关可观察输入值。只有在相关可观察输入值无法取得或取得不切实可行的情况下， 才使用不可观察输入值。</w:t>
      </w:r>
    </w:p>
    <w:p>
      <w:pPr>
        <w:spacing w:line="408" w:lineRule="auto" w:before="46"/>
        <w:ind w:left="715" w:right="179" w:hanging="420"/>
        <w:jc w:val="left"/>
        <w:rPr>
          <w:rFonts w:ascii="宋体" w:hAnsi="宋体" w:cs="宋体" w:eastAsia="宋体" w:hint="default"/>
          <w:sz w:val="21"/>
          <w:szCs w:val="21"/>
        </w:rPr>
      </w:pPr>
      <w:r>
        <w:rPr>
          <w:rFonts w:ascii="宋体" w:hAnsi="宋体" w:cs="宋体" w:eastAsia="宋体" w:hint="default"/>
          <w:b/>
          <w:bCs/>
          <w:sz w:val="21"/>
          <w:szCs w:val="21"/>
        </w:rPr>
        <w:t>6.金融资产（不含应收款项）减值的测试方法及会计处理方法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t>除以公允价值计量且其变动计入当期损益的金融资产外，本公司于资产负债表日对金融资产的账面</w:t>
      </w:r>
    </w:p>
    <w:p>
      <w:pPr>
        <w:pStyle w:val="BodyText"/>
        <w:spacing w:line="240" w:lineRule="auto"/>
        <w:ind w:left="295" w:right="133"/>
        <w:jc w:val="left"/>
      </w:pPr>
      <w:r>
        <w:rPr/>
        <w:t>价值进行检查，如果有客观证据表明某项金融资产发生减值的，计提减值准备。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386" w:lineRule="auto" w:before="0"/>
        <w:ind w:left="715" w:right="179" w:hanging="421"/>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w:t>
      </w:r>
    </w:p>
    <w:p>
      <w:pPr>
        <w:pStyle w:val="BodyText"/>
        <w:spacing w:line="408" w:lineRule="auto" w:before="65"/>
        <w:ind w:left="295" w:right="179"/>
        <w:jc w:val="left"/>
      </w:pPr>
      <w:r>
        <w:rPr/>
        <w:t>降趋势属于非暂时性的，就认定其已发生减值，将原直接计入所有者权益的公允价值下降形成的累计损 失一并转出，确认减值损失。</w:t>
      </w:r>
    </w:p>
    <w:p>
      <w:pPr>
        <w:pStyle w:val="BodyText"/>
        <w:spacing w:line="408" w:lineRule="auto"/>
        <w:ind w:left="295" w:right="179" w:firstLine="420"/>
        <w:jc w:val="left"/>
      </w:pPr>
      <w:r>
        <w:rPr/>
        <w:t>对于已确认减值损失的可供出售债务工具，在随后的会计期间公允价值已上升且客观上与确认原减 值损失确认后发生的事项有关的，原确认的减值损失予以转回，计入当期损益。</w:t>
      </w:r>
    </w:p>
    <w:p>
      <w:pPr>
        <w:pStyle w:val="BodyText"/>
        <w:spacing w:line="408" w:lineRule="auto"/>
        <w:ind w:left="715" w:right="1264"/>
        <w:jc w:val="left"/>
      </w:pPr>
      <w:r>
        <w:rPr/>
        <w:t>可供出售权益工具投资发生的减值损失，不通过损益转回。 本公司对可供出售债务工具投资减值的认定标准为：公允价值下跌幅度累计超过</w:t>
      </w:r>
      <w:r>
        <w:rPr>
          <w:rFonts w:ascii="Times New Roman" w:hAnsi="Times New Roman" w:cs="Times New Roman" w:eastAsia="Times New Roman" w:hint="default"/>
        </w:rPr>
        <w:t>20%</w:t>
      </w:r>
      <w:r>
        <w:rPr/>
        <w:t>。</w:t>
      </w:r>
    </w:p>
    <w:p>
      <w:pPr>
        <w:spacing w:after="0" w:line="408"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left="715" w:right="133"/>
        <w:jc w:val="left"/>
      </w:pPr>
      <w:r>
        <w:rPr/>
        <w:t>本公司对可供出售权益工具投资减值的认定标准为：公允价值连续下跌时间超过</w:t>
      </w:r>
      <w:r>
        <w:rPr>
          <w:rFonts w:ascii="Times New Roman" w:hAnsi="Times New Roman" w:cs="Times New Roman" w:eastAsia="Times New Roman" w:hint="default"/>
        </w:rPr>
        <w:t>12</w:t>
      </w:r>
      <w:r>
        <w:rPr/>
        <w:t>个月。</w:t>
      </w:r>
    </w:p>
    <w:p>
      <w:pPr>
        <w:pStyle w:val="BodyText"/>
        <w:spacing w:line="386" w:lineRule="auto" w:before="177"/>
        <w:ind w:left="715" w:right="2699" w:hanging="421"/>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2"/>
          <w:szCs w:val="22"/>
        </w:rPr>
      </w:pPr>
    </w:p>
    <w:p>
      <w:pPr>
        <w:pStyle w:val="Heading4"/>
        <w:spacing w:line="240" w:lineRule="auto"/>
        <w:ind w:right="133"/>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万元以上的应收账款及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万元以上的其他应收款确认为单项金额重大的应收款项。</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客观证据表明其已发生减值，按预计未来现金流量现值低于</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其账面价值的差额计提坏账准备，计入当期损益。单独测试</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未发生减值的应收款项，将其归入相应信用风险特征组合计</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提坏账准备。其中，合并范围内的关联方、押金、保证金不</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计提坏账；其他关联方及非关联方的应收款项，以账龄为信</w:t>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用风险组合，按账龄分析法计提坏账准备。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合并范围内关联方及保证金组合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65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2"/>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合并范围内关联方及保证金组合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02"/>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单独计提坏账准备的理由：如果有客观证据表明其发生了减 值的应收款项。</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单独确认减值损失。</w:t>
            </w:r>
          </w:p>
        </w:tc>
      </w:tr>
    </w:tbl>
    <w:p>
      <w:pPr>
        <w:spacing w:line="240" w:lineRule="auto" w:before="2"/>
        <w:rPr>
          <w:rFonts w:ascii="宋体" w:hAnsi="宋体" w:cs="宋体" w:eastAsia="宋体" w:hint="default"/>
          <w:b/>
          <w:bCs/>
          <w:sz w:val="19"/>
          <w:szCs w:val="19"/>
        </w:rPr>
      </w:pPr>
    </w:p>
    <w:p>
      <w:pPr>
        <w:pStyle w:val="Heading4"/>
        <w:spacing w:line="240" w:lineRule="auto" w:before="35"/>
        <w:ind w:right="102"/>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677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408" w:lineRule="auto" w:before="77"/>
        <w:ind w:left="365" w:right="2630" w:firstLine="0"/>
        <w:jc w:val="left"/>
        <w:rPr>
          <w:rFonts w:ascii="宋体" w:hAnsi="宋体" w:cs="宋体" w:eastAsia="宋体" w:hint="default"/>
          <w:sz w:val="21"/>
          <w:szCs w:val="21"/>
        </w:rPr>
      </w:pPr>
      <w:r>
        <w:rPr>
          <w:rFonts w:ascii="宋体" w:hAnsi="宋体" w:cs="宋体" w:eastAsia="宋体" w:hint="default"/>
          <w:b/>
          <w:bCs/>
          <w:sz w:val="21"/>
          <w:szCs w:val="21"/>
        </w:rPr>
        <w:t>1.存货的分类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存货分类为：原材料、在产品及半成品、发出商品、库存商品等。 </w:t>
      </w:r>
      <w:r>
        <w:rPr>
          <w:rFonts w:ascii="宋体" w:hAnsi="宋体" w:cs="宋体" w:eastAsia="宋体" w:hint="default"/>
          <w:b/>
          <w:bCs/>
          <w:sz w:val="21"/>
          <w:szCs w:val="21"/>
        </w:rPr>
        <w:t>2.发出存货的计价方法</w:t>
      </w:r>
      <w:r>
        <w:rPr>
          <w:rFonts w:ascii="宋体" w:hAnsi="宋体" w:cs="宋体" w:eastAsia="宋体" w:hint="default"/>
          <w:sz w:val="21"/>
          <w:szCs w:val="21"/>
        </w:rPr>
      </w:r>
    </w:p>
    <w:p>
      <w:pPr>
        <w:spacing w:line="408" w:lineRule="auto" w:before="46"/>
        <w:ind w:left="365" w:right="6034" w:firstLine="73"/>
        <w:jc w:val="left"/>
        <w:rPr>
          <w:rFonts w:ascii="宋体" w:hAnsi="宋体" w:cs="宋体" w:eastAsia="宋体" w:hint="default"/>
          <w:sz w:val="21"/>
          <w:szCs w:val="21"/>
        </w:rPr>
      </w:pPr>
      <w:r>
        <w:rPr>
          <w:rFonts w:ascii="宋体" w:hAnsi="宋体" w:cs="宋体" w:eastAsia="宋体" w:hint="default"/>
          <w:sz w:val="21"/>
          <w:szCs w:val="21"/>
        </w:rPr>
        <w:t>存货发出时按加权平均法计价。 </w:t>
      </w:r>
      <w:r>
        <w:rPr>
          <w:rFonts w:ascii="宋体" w:hAnsi="宋体" w:cs="宋体" w:eastAsia="宋体" w:hint="default"/>
          <w:b/>
          <w:bCs/>
          <w:sz w:val="21"/>
          <w:szCs w:val="21"/>
        </w:rPr>
        <w:t>3.不同类别存货可变现净值的确定依据</w:t>
      </w:r>
      <w:r>
        <w:rPr>
          <w:rFonts w:ascii="宋体" w:hAnsi="宋体" w:cs="宋体" w:eastAsia="宋体" w:hint="default"/>
          <w:sz w:val="21"/>
          <w:szCs w:val="21"/>
        </w:rPr>
      </w:r>
    </w:p>
    <w:p>
      <w:pPr>
        <w:pStyle w:val="BodyText"/>
        <w:spacing w:line="408" w:lineRule="auto"/>
        <w:ind w:left="438" w:right="102" w:firstLine="423"/>
        <w:jc w:val="left"/>
      </w:pPr>
      <w:r>
        <w:rPr>
          <w:spacing w:val="-3"/>
        </w:rPr>
        <w:t>产成品、库存商品和用于出售的材料等直接用于出售的商品存货，在正常生产经营过程中，以该存</w:t>
      </w:r>
      <w:r>
        <w:rPr/>
        <w:t> </w:t>
      </w:r>
      <w:r>
        <w:rPr>
          <w:spacing w:val="-5"/>
        </w:rPr>
        <w:t>货的估计售价减去估计的销售费用和相关税费后的金额，确定其可变现净值；需要经过加工的材料存货，</w:t>
      </w:r>
      <w:r>
        <w:rPr>
          <w:spacing w:val="-77"/>
        </w:rPr>
        <w:t> </w:t>
      </w:r>
      <w:r>
        <w:rPr>
          <w:spacing w:val="-77"/>
        </w:rPr>
      </w:r>
      <w:r>
        <w:rPr>
          <w:spacing w:val="-3"/>
        </w:rPr>
        <w:t>在正常生产经营过程中，以所生产的产成品的估计售价减去至完工时估计将要发生的成本、估计的销售</w:t>
      </w:r>
      <w:r>
        <w:rPr>
          <w:spacing w:val="-66"/>
        </w:rPr>
        <w:t> </w:t>
      </w:r>
      <w:r>
        <w:rPr>
          <w:spacing w:val="-66"/>
        </w:rPr>
      </w:r>
      <w:r>
        <w:rPr>
          <w:spacing w:val="-3"/>
        </w:rPr>
        <w:t>费用和相关税费后的金额，确定其可变现净值；为执行销售合同或者劳务合同而持有的存货，其可变现</w:t>
      </w:r>
      <w:r>
        <w:rPr>
          <w:spacing w:val="-69"/>
        </w:rPr>
        <w:t> </w:t>
      </w:r>
      <w:r>
        <w:rPr>
          <w:spacing w:val="-69"/>
        </w:rPr>
      </w:r>
      <w:r>
        <w:rPr>
          <w:spacing w:val="-3"/>
        </w:rPr>
        <w:t>净值以合同价格为基础计算，若持有存货的数量多于销售合同订购数量的，超出部分的存货的可变现净</w:t>
      </w:r>
      <w:r>
        <w:rPr>
          <w:spacing w:val="-66"/>
        </w:rPr>
        <w:t> </w:t>
      </w:r>
      <w:r>
        <w:rPr>
          <w:spacing w:val="-66"/>
        </w:rPr>
      </w:r>
      <w:r>
        <w:rPr/>
        <w:t>值以一般销售价格为基础计算。</w:t>
      </w:r>
    </w:p>
    <w:p>
      <w:pPr>
        <w:pStyle w:val="BodyText"/>
        <w:spacing w:line="408" w:lineRule="auto"/>
        <w:ind w:left="438" w:right="211" w:firstLine="423"/>
        <w:jc w:val="both"/>
      </w:pPr>
      <w:r>
        <w:rPr>
          <w:spacing w:val="-3"/>
        </w:rPr>
        <w:t>期末按照单个存货项目计提存货跌价准备；但对于数量繁多、单价较低的存货，按照存货类别计提</w:t>
      </w:r>
      <w:r>
        <w:rPr/>
        <w:t> </w:t>
      </w:r>
      <w:r>
        <w:rPr>
          <w:spacing w:val="-3"/>
        </w:rPr>
        <w:t>存货跌价准备；与在同一地区生产和销售的产品系列相关、具有相同或类似最终用途或目的，且难以与</w:t>
      </w:r>
      <w:r>
        <w:rPr>
          <w:spacing w:val="-69"/>
        </w:rPr>
        <w:t> </w:t>
      </w:r>
      <w:r>
        <w:rPr>
          <w:spacing w:val="-69"/>
        </w:rPr>
      </w:r>
      <w:r>
        <w:rPr/>
        <w:t>其他项目分开计量的存货，则合并计提存货跌价准备。</w:t>
      </w:r>
    </w:p>
    <w:p>
      <w:pPr>
        <w:pStyle w:val="BodyText"/>
        <w:spacing w:line="408" w:lineRule="auto"/>
        <w:ind w:left="438" w:right="102" w:firstLine="423"/>
        <w:jc w:val="left"/>
      </w:pPr>
      <w:r>
        <w:rPr>
          <w:spacing w:val="-3"/>
        </w:rPr>
        <w:t>除有明确证据表明资产负债表日市场价格异常外，存货项目的可变现净值以资产负债表日市场价格</w:t>
      </w:r>
      <w:r>
        <w:rPr/>
        <w:t> 为基础确定。</w:t>
      </w:r>
    </w:p>
    <w:p>
      <w:pPr>
        <w:spacing w:line="408" w:lineRule="auto" w:before="46"/>
        <w:ind w:left="365" w:right="2613" w:firstLine="496"/>
        <w:jc w:val="left"/>
        <w:rPr>
          <w:rFonts w:ascii="宋体" w:hAnsi="宋体" w:cs="宋体" w:eastAsia="宋体" w:hint="default"/>
          <w:sz w:val="21"/>
          <w:szCs w:val="21"/>
        </w:rPr>
      </w:pPr>
      <w:r>
        <w:rPr>
          <w:rFonts w:ascii="宋体" w:hAnsi="宋体" w:cs="宋体" w:eastAsia="宋体" w:hint="default"/>
          <w:sz w:val="21"/>
          <w:szCs w:val="21"/>
        </w:rPr>
        <w:t>本期期末存货项目的可变现净值以资产负债表日市场价格为基础确定。 </w:t>
      </w:r>
      <w:r>
        <w:rPr>
          <w:rFonts w:ascii="宋体" w:hAnsi="宋体" w:cs="宋体" w:eastAsia="宋体" w:hint="default"/>
          <w:b/>
          <w:bCs/>
          <w:sz w:val="21"/>
          <w:szCs w:val="21"/>
        </w:rPr>
        <w:t>4.存货的盘存制度</w:t>
      </w:r>
      <w:r>
        <w:rPr>
          <w:rFonts w:ascii="宋体" w:hAnsi="宋体" w:cs="宋体" w:eastAsia="宋体" w:hint="default"/>
          <w:sz w:val="21"/>
          <w:szCs w:val="21"/>
        </w:rPr>
      </w:r>
    </w:p>
    <w:p>
      <w:pPr>
        <w:spacing w:line="408" w:lineRule="auto" w:before="46"/>
        <w:ind w:left="365" w:right="6456" w:firstLine="73"/>
        <w:jc w:val="left"/>
        <w:rPr>
          <w:rFonts w:ascii="宋体" w:hAnsi="宋体" w:cs="宋体" w:eastAsia="宋体" w:hint="default"/>
          <w:sz w:val="21"/>
          <w:szCs w:val="21"/>
        </w:rPr>
      </w:pPr>
      <w:r>
        <w:rPr>
          <w:rFonts w:ascii="宋体" w:hAnsi="宋体" w:cs="宋体" w:eastAsia="宋体" w:hint="default"/>
          <w:sz w:val="21"/>
          <w:szCs w:val="21"/>
        </w:rPr>
        <w:t>采用永续盘存制。 </w:t>
      </w:r>
      <w:r>
        <w:rPr>
          <w:rFonts w:ascii="宋体" w:hAnsi="宋体" w:cs="宋体" w:eastAsia="宋体" w:hint="default"/>
          <w:b/>
          <w:bCs/>
          <w:sz w:val="21"/>
          <w:szCs w:val="21"/>
        </w:rPr>
        <w:t>5.低值易耗品和包装物的摊销方法</w:t>
      </w:r>
      <w:r>
        <w:rPr>
          <w:rFonts w:ascii="宋体" w:hAnsi="宋体" w:cs="宋体" w:eastAsia="宋体" w:hint="default"/>
          <w:sz w:val="21"/>
          <w:szCs w:val="21"/>
        </w:rPr>
      </w:r>
    </w:p>
    <w:p>
      <w:pPr>
        <w:pStyle w:val="BodyText"/>
        <w:spacing w:line="240" w:lineRule="auto"/>
        <w:ind w:left="438" w:right="102"/>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77"/>
        <w:ind w:left="438" w:right="102"/>
        <w:jc w:val="left"/>
      </w:pPr>
      <w:r>
        <w:rPr/>
        <w:t>（</w:t>
      </w:r>
      <w:r>
        <w:rPr>
          <w:rFonts w:ascii="Times New Roman" w:hAnsi="Times New Roman" w:cs="Times New Roman" w:eastAsia="Times New Roman" w:hint="default"/>
        </w:rPr>
        <w:t>2</w:t>
      </w:r>
      <w:r>
        <w:rPr/>
        <w:t>）包装物采用一次转销法。</w:t>
      </w:r>
    </w:p>
    <w:p>
      <w:pPr>
        <w:spacing w:after="0" w:line="240" w:lineRule="auto"/>
        <w:jc w:val="left"/>
        <w:sectPr>
          <w:pgSz w:w="11910" w:h="16840"/>
          <w:pgMar w:header="877" w:footer="982" w:top="1100" w:bottom="1180" w:left="980" w:right="920"/>
        </w:sectPr>
      </w:pPr>
    </w:p>
    <w:p>
      <w:pPr>
        <w:spacing w:line="240" w:lineRule="auto" w:before="10"/>
        <w:rPr>
          <w:rFonts w:ascii="宋体" w:hAnsi="宋体" w:cs="宋体" w:eastAsia="宋体" w:hint="default"/>
          <w:sz w:val="20"/>
          <w:szCs w:val="20"/>
        </w:rPr>
      </w:pPr>
    </w:p>
    <w:p>
      <w:pPr>
        <w:pStyle w:val="Heading4"/>
        <w:spacing w:line="240" w:lineRule="auto" w:before="35"/>
        <w:ind w:right="102"/>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438" w:right="102"/>
        <w:jc w:val="left"/>
      </w:pPr>
      <w:r>
        <w:rPr/>
        <w:t>本公司将同时满足下列条件的非流动资产或处置组划分为持有待售类别：</w:t>
      </w:r>
    </w:p>
    <w:p>
      <w:pPr>
        <w:spacing w:line="240" w:lineRule="auto" w:before="10"/>
        <w:rPr>
          <w:rFonts w:ascii="宋体" w:hAnsi="宋体" w:cs="宋体" w:eastAsia="宋体" w:hint="default"/>
          <w:sz w:val="14"/>
          <w:szCs w:val="14"/>
        </w:rPr>
      </w:pPr>
    </w:p>
    <w:p>
      <w:pPr>
        <w:pStyle w:val="BodyText"/>
        <w:spacing w:line="240" w:lineRule="auto" w:before="0"/>
        <w:ind w:left="438" w:right="102"/>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86" w:lineRule="auto" w:before="177"/>
        <w:ind w:left="438" w:right="201"/>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 一年内完成。有关规定要求本公司相关权力机构或者监管部门批准后方可出售的，已经获得批准。</w:t>
      </w:r>
    </w:p>
    <w:p>
      <w:pPr>
        <w:spacing w:line="240" w:lineRule="auto" w:before="0"/>
        <w:rPr>
          <w:rFonts w:ascii="宋体" w:hAnsi="宋体" w:cs="宋体" w:eastAsia="宋体" w:hint="default"/>
          <w:sz w:val="22"/>
          <w:szCs w:val="22"/>
        </w:rPr>
      </w:pPr>
    </w:p>
    <w:p>
      <w:pPr>
        <w:pStyle w:val="Heading4"/>
        <w:spacing w:line="240" w:lineRule="auto"/>
        <w:ind w:right="102"/>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30"/>
          <w:szCs w:val="30"/>
        </w:rPr>
      </w:pPr>
    </w:p>
    <w:p>
      <w:pPr>
        <w:spacing w:line="408" w:lineRule="auto" w:before="0"/>
        <w:ind w:left="1003" w:right="203" w:hanging="424"/>
        <w:jc w:val="left"/>
        <w:rPr>
          <w:rFonts w:ascii="宋体" w:hAnsi="宋体" w:cs="宋体" w:eastAsia="宋体" w:hint="default"/>
          <w:sz w:val="21"/>
          <w:szCs w:val="21"/>
        </w:rPr>
      </w:pPr>
      <w:r>
        <w:rPr>
          <w:rFonts w:ascii="宋体" w:hAnsi="宋体" w:cs="宋体" w:eastAsia="宋体" w:hint="default"/>
          <w:b/>
          <w:bCs/>
          <w:sz w:val="21"/>
          <w:szCs w:val="21"/>
        </w:rPr>
        <w:t>1.共同控制、重大影响的判断标准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共同控制，是指按照相关约定对某项安排所共有的控制，并且该安排的相关活动必须经过分享控</w:t>
      </w:r>
    </w:p>
    <w:p>
      <w:pPr>
        <w:pStyle w:val="BodyText"/>
        <w:spacing w:line="408" w:lineRule="auto"/>
        <w:ind w:left="580" w:right="89"/>
        <w:jc w:val="left"/>
        <w:rPr>
          <w:rFonts w:ascii="宋体" w:hAnsi="宋体" w:cs="宋体" w:eastAsia="宋体" w:hint="default"/>
        </w:rPr>
      </w:pPr>
      <w:r>
        <w:rPr/>
        <w:t>制权的参与方一致同意后才能决策。本公司与其他合营方一同对被投资单位实施共同控制且对被投资 单位净资产享有权利的，被投资单位为本公司的合营企业。 重大影响，是指对一个企业的财务和经营决策有参与决策的权力，但并不能够控制或者与其他方一起 </w:t>
      </w:r>
      <w:r>
        <w:rPr>
          <w:spacing w:val="-3"/>
        </w:rPr>
        <w:t>共同控制这些政策的制定。本公司能够对被投资单位施加重大影响的，被投资单位为本公司联营企业。</w:t>
      </w:r>
      <w:r>
        <w:rPr>
          <w:spacing w:val="-102"/>
        </w:rPr>
        <w:t> </w:t>
      </w:r>
      <w:r>
        <w:rPr>
          <w:spacing w:val="-102"/>
        </w:rPr>
      </w:r>
      <w:r>
        <w:rPr>
          <w:rFonts w:ascii="宋体" w:hAnsi="宋体" w:cs="宋体" w:eastAsia="宋体" w:hint="default"/>
          <w:b/>
          <w:bCs/>
        </w:rPr>
        <w:t>2.初始投资成本的确定</w:t>
      </w:r>
      <w:r>
        <w:rPr>
          <w:rFonts w:ascii="宋体" w:hAnsi="宋体" w:cs="宋体" w:eastAsia="宋体" w:hint="default"/>
        </w:rPr>
      </w:r>
    </w:p>
    <w:p>
      <w:pPr>
        <w:pStyle w:val="BodyText"/>
        <w:spacing w:line="386" w:lineRule="auto"/>
        <w:ind w:left="1003" w:right="203" w:hanging="424"/>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w:t>
      </w:r>
    </w:p>
    <w:p>
      <w:pPr>
        <w:pStyle w:val="BodyText"/>
        <w:spacing w:line="408" w:lineRule="auto" w:before="65"/>
        <w:ind w:left="580" w:right="102"/>
        <w:jc w:val="left"/>
      </w:pPr>
      <w:r>
        <w:rPr/>
        <w:t>券作为合并对价的，在合并日按照取得被合并方所有者权益在最终控制方合并财务报表中的账面价值 的份额作为长期股权投资的初始投资成本。因追加投资等原因能够对同一控制下的被投资单位实施控 制的，在合并日根据合并后应享有被合并方净资产在最终控制方合并财务报表中的账面价值的份额，</w:t>
      </w:r>
      <w:r>
        <w:rPr>
          <w:spacing w:val="-41"/>
        </w:rPr>
        <w:t> </w:t>
      </w:r>
      <w:r>
        <w:rPr>
          <w:spacing w:val="-41"/>
        </w:rPr>
      </w:r>
      <w:r>
        <w:rPr/>
        <w:t>确定长期股权投资的初始投资成本。合并日长期股权投资的初始投资成本，与达到合并前的长期股权</w:t>
      </w:r>
      <w:r>
        <w:rPr/>
        <w:t> 投资账面价值加上合并日进一步取得股份新支付对价的账面价值之和的差额，调整股本溢价，股本溢 价不足冲减的，冲减留存收益。</w:t>
      </w:r>
    </w:p>
    <w:p>
      <w:pPr>
        <w:pStyle w:val="BodyText"/>
        <w:spacing w:line="408" w:lineRule="auto"/>
        <w:ind w:left="580" w:right="102" w:firstLine="423"/>
        <w:jc w:val="left"/>
      </w:pPr>
      <w:r>
        <w:rPr/>
        <w:t>非同一控制下的企业合并：公司按照购买日确定的合并成本作为长期股权投资的初始投资成本。</w:t>
      </w:r>
      <w:r>
        <w:rPr>
          <w:spacing w:val="2"/>
        </w:rPr>
        <w:t> </w:t>
      </w:r>
      <w:r>
        <w:rPr/>
        <w:t>因追加投资等原因能够对非同一控制下的被投资单位实施控制的，按照原持有的股权投资账面价值加</w:t>
      </w:r>
      <w:r>
        <w:rPr/>
        <w:t> 上新增投资成本之和，作为改按成本法核算的初始投资成本。</w:t>
      </w:r>
    </w:p>
    <w:p>
      <w:pPr>
        <w:pStyle w:val="BodyText"/>
        <w:spacing w:line="400" w:lineRule="auto"/>
        <w:ind w:left="580" w:right="208" w:hanging="1"/>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spacing w:after="0" w:line="40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576" w:right="149" w:firstLine="3"/>
        <w:jc w:val="left"/>
        <w:rPr>
          <w:rFonts w:ascii="宋体" w:hAnsi="宋体" w:cs="宋体" w:eastAsia="宋体" w:hint="default"/>
        </w:rPr>
      </w:pPr>
      <w:r>
        <w:rPr>
          <w:spacing w:val="-1"/>
        </w:rPr>
        <w:t>性资产交换换入的长期股权投资以换出资产的公允价值和应支付的相关税费确定其初始投资成本，除</w:t>
      </w:r>
      <w:r>
        <w:rPr>
          <w:spacing w:val="-92"/>
        </w:rPr>
        <w:t> </w:t>
      </w:r>
      <w:r>
        <w:rPr>
          <w:spacing w:val="-92"/>
        </w:rPr>
      </w:r>
      <w:r>
        <w:rPr>
          <w:spacing w:val="-1"/>
        </w:rPr>
        <w:t>非有确凿证据表明换入资产的公允价值更加可靠；不满足上述前提的非货币性资产交换，以换出资产</w:t>
      </w:r>
      <w:r>
        <w:rPr>
          <w:spacing w:val="-91"/>
        </w:rPr>
        <w:t> </w:t>
      </w:r>
      <w:r>
        <w:rPr>
          <w:spacing w:val="-91"/>
        </w:rPr>
      </w:r>
      <w:r>
        <w:rPr/>
        <w:t>的账面价值和应支付的相关税费作为换入长期股权投资的初始投资成本。 通过债务重组取得的长期股权投资，其初始投资成本按照公允价值为基础确定。 </w:t>
      </w:r>
      <w:r>
        <w:rPr>
          <w:rFonts w:ascii="宋体" w:hAnsi="宋体" w:cs="宋体" w:eastAsia="宋体" w:hint="default"/>
          <w:b/>
          <w:bCs/>
        </w:rPr>
        <w:t>3.后续计量及损益确认方法</w:t>
      </w:r>
      <w:r>
        <w:rPr>
          <w:rFonts w:ascii="宋体" w:hAnsi="宋体" w:cs="宋体" w:eastAsia="宋体" w:hint="default"/>
        </w:rPr>
      </w:r>
    </w:p>
    <w:p>
      <w:pPr>
        <w:pStyle w:val="BodyText"/>
        <w:spacing w:line="386" w:lineRule="auto"/>
        <w:ind w:left="1003" w:right="143" w:hanging="424"/>
        <w:jc w:val="left"/>
      </w:pPr>
      <w:r>
        <w:rPr/>
        <w:t>（</w:t>
      </w:r>
      <w:r>
        <w:rPr>
          <w:rFonts w:ascii="Times New Roman" w:hAnsi="Times New Roman" w:cs="Times New Roman" w:eastAsia="Times New Roman" w:hint="default"/>
        </w:rPr>
        <w:t>1</w:t>
      </w:r>
      <w:r>
        <w:rPr/>
        <w:t>）成本法核算的长期股权投资 </w:t>
      </w:r>
      <w:r>
        <w:rPr>
          <w:spacing w:val="-1"/>
        </w:rPr>
        <w:t>公司对子公司的长期股权投资，采用成本法核算。除取得投资时实际支付的价款或对价中包含的</w:t>
      </w:r>
    </w:p>
    <w:p>
      <w:pPr>
        <w:pStyle w:val="BodyText"/>
        <w:spacing w:line="408" w:lineRule="auto" w:before="65"/>
        <w:ind w:left="579" w:right="149"/>
        <w:jc w:val="left"/>
      </w:pPr>
      <w:r>
        <w:rPr>
          <w:spacing w:val="-1"/>
        </w:rPr>
        <w:t>已宣告但尚未发放的现金股利或利润外，公司按照享有被投资单位宣告发放的现金股利或利润确认当</w:t>
      </w:r>
      <w:r>
        <w:rPr>
          <w:spacing w:val="-89"/>
        </w:rPr>
        <w:t> </w:t>
      </w:r>
      <w:r>
        <w:rPr>
          <w:spacing w:val="-89"/>
        </w:rPr>
      </w:r>
      <w:r>
        <w:rPr/>
        <w:t>期投资收益。</w:t>
      </w:r>
    </w:p>
    <w:p>
      <w:pPr>
        <w:pStyle w:val="BodyText"/>
        <w:spacing w:line="386" w:lineRule="auto"/>
        <w:ind w:left="1003" w:right="143" w:hanging="424"/>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w:t>
      </w:r>
    </w:p>
    <w:p>
      <w:pPr>
        <w:pStyle w:val="BodyText"/>
        <w:spacing w:line="408" w:lineRule="auto" w:before="65"/>
        <w:ind w:left="580" w:right="148"/>
        <w:jc w:val="left"/>
      </w:pPr>
      <w:r>
        <w:rPr>
          <w:spacing w:val="-1"/>
        </w:rPr>
        <w:t>资单位可辨认净资产公允价值份额的差额，不调整长期股权投资的初始投资成本；初始投资成本小于</w:t>
      </w:r>
      <w:r>
        <w:rPr>
          <w:spacing w:val="-91"/>
        </w:rPr>
        <w:t> </w:t>
      </w:r>
      <w:r>
        <w:rPr>
          <w:spacing w:val="-91"/>
        </w:rPr>
      </w:r>
      <w:r>
        <w:rPr/>
        <w:t>投资时应享有被投资单位可辨认净资产公允价值份额的差额，计入当期损益。</w:t>
      </w:r>
    </w:p>
    <w:p>
      <w:pPr>
        <w:pStyle w:val="BodyText"/>
        <w:spacing w:line="408" w:lineRule="auto"/>
        <w:ind w:left="580" w:right="151" w:firstLine="423"/>
        <w:jc w:val="both"/>
      </w:pPr>
      <w:r>
        <w:rPr>
          <w:spacing w:val="-1"/>
        </w:rPr>
        <w:t>公司按照应享有或应分担的被投资单位实现的净损益和其他综合收益的份额，分别确认投资收益</w:t>
      </w:r>
      <w:r>
        <w:rPr/>
        <w:t> </w:t>
      </w:r>
      <w:r>
        <w:rPr>
          <w:spacing w:val="-1"/>
        </w:rPr>
        <w:t>和其他综合收益，同时调整长期股权投资的账面价值；按照被投资单位宣告分派的利润或现金股利计</w:t>
      </w:r>
      <w:r>
        <w:rPr>
          <w:spacing w:val="-91"/>
        </w:rPr>
        <w:t> </w:t>
      </w:r>
      <w:r>
        <w:rPr>
          <w:spacing w:val="-91"/>
        </w:rPr>
      </w:r>
      <w:r>
        <w:rPr>
          <w:spacing w:val="-1"/>
        </w:rPr>
        <w:t>算应享有的部分，相应减少长期股权投资的账面价值；对于被投资单位除净损益、其他综合收益和利</w:t>
      </w:r>
      <w:r>
        <w:rPr>
          <w:spacing w:val="-91"/>
        </w:rPr>
        <w:t> </w:t>
      </w:r>
      <w:r>
        <w:rPr>
          <w:spacing w:val="-91"/>
        </w:rPr>
      </w:r>
      <w:r>
        <w:rPr/>
        <w:t>润分配以外所有者权益的其他变动，调整长期股权投资的账面价值并计入所有者权益。</w:t>
      </w:r>
    </w:p>
    <w:p>
      <w:pPr>
        <w:pStyle w:val="BodyText"/>
        <w:spacing w:line="408" w:lineRule="auto"/>
        <w:ind w:left="580" w:right="149" w:firstLine="423"/>
        <w:jc w:val="both"/>
      </w:pPr>
      <w:r>
        <w:rPr>
          <w:spacing w:val="-1"/>
        </w:rPr>
        <w:t>在确认应享有被投资单位净损益的份额时，以取得投资时被投资单位可辨认净资产的公允价值为</w:t>
      </w:r>
      <w:r>
        <w:rPr/>
        <w:t> </w:t>
      </w:r>
      <w:r>
        <w:rPr>
          <w:spacing w:val="-6"/>
        </w:rPr>
        <w:t>基础，并按照公司的会计政策及会计期间，对被投资单位的净利润进行调整后确认。在持有投资期间，</w:t>
      </w:r>
      <w:r>
        <w:rPr>
          <w:spacing w:val="-75"/>
        </w:rPr>
        <w:t> </w:t>
      </w:r>
      <w:r>
        <w:rPr>
          <w:spacing w:val="-75"/>
        </w:rPr>
      </w:r>
      <w:r>
        <w:rPr>
          <w:spacing w:val="-1"/>
        </w:rPr>
        <w:t>被投资单位编制合并财务报表的，以合并财务报表中的净利润、其他综合收益和其他所有者权益变动</w:t>
      </w:r>
      <w:r>
        <w:rPr>
          <w:spacing w:val="-91"/>
        </w:rPr>
        <w:t> </w:t>
      </w:r>
      <w:r>
        <w:rPr>
          <w:spacing w:val="-91"/>
        </w:rPr>
      </w:r>
      <w:r>
        <w:rPr/>
        <w:t>中归属于被投资单位的金额为基础进行核算。</w:t>
      </w:r>
    </w:p>
    <w:p>
      <w:pPr>
        <w:pStyle w:val="BodyText"/>
        <w:spacing w:line="403" w:lineRule="auto"/>
        <w:ind w:left="580" w:right="151" w:firstLine="423"/>
        <w:jc w:val="both"/>
      </w:pPr>
      <w:r>
        <w:rPr>
          <w:spacing w:val="-1"/>
        </w:rPr>
        <w:t>公司与联营企业、合营企业之间发生的未实现内部交易损益按照应享有的比例计算归属于公司的</w:t>
      </w:r>
      <w:r>
        <w:rPr/>
        <w:t> </w:t>
      </w:r>
      <w:r>
        <w:rPr>
          <w:spacing w:val="-1"/>
        </w:rPr>
        <w:t>部分，予以抵销，在此基础上确认投资收益。与被投资单位发生的未实现内部交易损失，属于资产减</w:t>
      </w:r>
      <w:r>
        <w:rPr>
          <w:spacing w:val="-93"/>
        </w:rPr>
        <w:t> </w:t>
      </w:r>
      <w:r>
        <w:rPr>
          <w:spacing w:val="-93"/>
        </w:rPr>
      </w:r>
      <w:r>
        <w:rPr>
          <w:spacing w:val="-1"/>
        </w:rPr>
        <w:t>值损失的，全额确认。公司与联营企业、合营企业之间发生投出或出售资产的交易，该资产构成业务</w:t>
      </w:r>
      <w:r>
        <w:rPr>
          <w:spacing w:val="-93"/>
        </w:rPr>
        <w:t> </w:t>
      </w:r>
      <w:r>
        <w:rPr>
          <w:spacing w:val="-93"/>
        </w:rPr>
      </w:r>
      <w:r>
        <w:rPr/>
        <w:t>的，按照本附注</w:t>
      </w:r>
      <w:r>
        <w:rPr>
          <w:rFonts w:ascii="Times New Roman" w:hAnsi="Times New Roman" w:cs="Times New Roman" w:eastAsia="Times New Roman" w:hint="default"/>
        </w:rPr>
        <w:t>“</w:t>
      </w:r>
      <w:r>
        <w:rPr/>
        <w:t>同一控制下和非同一控制下企业合并的会计处理方法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合并财务报表的编制方法</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中披露的相关政策进行会计处理。</w:t>
      </w:r>
    </w:p>
    <w:p>
      <w:pPr>
        <w:pStyle w:val="BodyText"/>
        <w:spacing w:line="408" w:lineRule="auto" w:before="50"/>
        <w:ind w:left="580" w:right="149" w:firstLine="423"/>
        <w:jc w:val="both"/>
      </w:pPr>
      <w:r>
        <w:rPr>
          <w:spacing w:val="-1"/>
        </w:rPr>
        <w:t>在公司确认应分担被投资单位发生的亏损时，按照以下顺序进行处理：首先，冲减长期股权投资</w:t>
      </w:r>
      <w:r>
        <w:rPr/>
        <w:t> </w:t>
      </w:r>
      <w:r>
        <w:rPr>
          <w:spacing w:val="-1"/>
        </w:rPr>
        <w:t>的账面价值。其次，长期股权投资的账面价值不足以冲减的，以其他实质上构成对被投资单位净投资</w:t>
      </w:r>
      <w:r>
        <w:rPr>
          <w:spacing w:val="-91"/>
        </w:rPr>
        <w:t> </w:t>
      </w:r>
      <w:r>
        <w:rPr>
          <w:spacing w:val="-91"/>
        </w:rPr>
      </w:r>
      <w:r>
        <w:rPr>
          <w:spacing w:val="-6"/>
        </w:rPr>
        <w:t>的长期权益账面价值为限继续确认投资损失，冲减长期应收项目等的账面价值。最后，经过上述处理，</w:t>
      </w:r>
      <w:r>
        <w:rPr>
          <w:spacing w:val="-75"/>
        </w:rPr>
        <w:t> </w:t>
      </w:r>
      <w:r>
        <w:rPr>
          <w:spacing w:val="-75"/>
        </w:rPr>
      </w:r>
      <w:r>
        <w:rPr>
          <w:spacing w:val="-1"/>
        </w:rPr>
        <w:t>按照投资合同或协议约定企业仍承担额外义务的，按预计承担的义务确认预计负债，计入当期投资损</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left="580" w:right="102"/>
        <w:jc w:val="left"/>
      </w:pPr>
      <w:r>
        <w:rPr/>
        <w:t>失。</w:t>
      </w:r>
    </w:p>
    <w:p>
      <w:pPr>
        <w:spacing w:line="240" w:lineRule="auto" w:before="10"/>
        <w:rPr>
          <w:rFonts w:ascii="宋体" w:hAnsi="宋体" w:cs="宋体" w:eastAsia="宋体" w:hint="default"/>
          <w:sz w:val="14"/>
          <w:szCs w:val="14"/>
        </w:rPr>
      </w:pPr>
    </w:p>
    <w:p>
      <w:pPr>
        <w:pStyle w:val="BodyText"/>
        <w:spacing w:line="386" w:lineRule="auto" w:before="0"/>
        <w:ind w:left="1003" w:right="2261" w:hanging="424"/>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408" w:lineRule="auto" w:before="65"/>
        <w:ind w:left="580" w:right="211" w:firstLine="423"/>
        <w:jc w:val="both"/>
      </w:pPr>
      <w:r>
        <w:rPr>
          <w:spacing w:val="-1"/>
        </w:rPr>
        <w:t>采用权益法核算的长期股权投资，在处置该项投资时，采用与被投资单位直接处置相关资产或负</w:t>
      </w:r>
      <w:r>
        <w:rPr/>
        <w:t> </w:t>
      </w:r>
      <w:r>
        <w:rPr>
          <w:spacing w:val="-1"/>
        </w:rPr>
        <w:t>债相同的基础，按相应比例对原计入其他综合收益的部分进行会计处理。因被投资单位除净损益、其</w:t>
      </w:r>
      <w:r>
        <w:rPr>
          <w:spacing w:val="-91"/>
        </w:rPr>
        <w:t> </w:t>
      </w:r>
      <w:r>
        <w:rPr>
          <w:spacing w:val="-91"/>
        </w:rPr>
      </w:r>
      <w:r>
        <w:rPr>
          <w:spacing w:val="-1"/>
        </w:rPr>
        <w:t>他综合收益和利润分配以外的其他所有者权益变动而确认的所有者权益，按比例结转入当期损益，由</w:t>
      </w:r>
      <w:r>
        <w:rPr>
          <w:spacing w:val="-91"/>
        </w:rPr>
        <w:t> </w:t>
      </w:r>
      <w:r>
        <w:rPr>
          <w:spacing w:val="-91"/>
        </w:rPr>
      </w:r>
      <w:r>
        <w:rPr/>
        <w:t>于被投资方重新计量设定受益计划净负债或净资产变动而产生的其他综合收益除外。</w:t>
      </w:r>
    </w:p>
    <w:p>
      <w:pPr>
        <w:pStyle w:val="BodyText"/>
        <w:spacing w:line="408" w:lineRule="auto"/>
        <w:ind w:left="580" w:right="209" w:firstLine="423"/>
        <w:jc w:val="both"/>
      </w:pPr>
      <w:r>
        <w:rPr>
          <w:spacing w:val="-1"/>
        </w:rPr>
        <w:t>因处置部分股权投资等原因丧失了对被投资单位的共同控制或重大影响的，处置后的剩余股权改</w:t>
      </w:r>
      <w:r>
        <w:rPr/>
        <w:t> </w:t>
      </w:r>
      <w:r>
        <w:rPr>
          <w:spacing w:val="-1"/>
        </w:rPr>
        <w:t>按金融工具确认和计量准则核算，其在丧失共同控制或重大影响之日的公允价值与账面价值之间的差</w:t>
      </w:r>
      <w:r>
        <w:rPr>
          <w:spacing w:val="-89"/>
        </w:rPr>
        <w:t> </w:t>
      </w:r>
      <w:r>
        <w:rPr>
          <w:spacing w:val="-89"/>
        </w:rPr>
      </w:r>
      <w:r>
        <w:rPr>
          <w:spacing w:val="-1"/>
        </w:rPr>
        <w:t>额计入当期损益。原股权投资因采用权益法核算而确认的其他综合收益，在终止采用权益法核算时采</w:t>
      </w:r>
      <w:r>
        <w:rPr>
          <w:spacing w:val="-91"/>
        </w:rPr>
        <w:t> </w:t>
      </w:r>
      <w:r>
        <w:rPr>
          <w:spacing w:val="-91"/>
        </w:rPr>
      </w:r>
      <w:r>
        <w:rPr>
          <w:spacing w:val="-1"/>
        </w:rPr>
        <w:t>用与被投资单位直接处置相关资产或负债相同的基础进行会计处理。因被投资方除净损益、其他综合</w:t>
      </w:r>
      <w:r>
        <w:rPr>
          <w:spacing w:val="-91"/>
        </w:rPr>
        <w:t> </w:t>
      </w:r>
      <w:r>
        <w:rPr>
          <w:spacing w:val="-91"/>
        </w:rPr>
      </w:r>
      <w:r>
        <w:rPr>
          <w:spacing w:val="-1"/>
        </w:rPr>
        <w:t>收益和利润分配以外的其他所有者权益变动而确认的所有者权益，在终止采用权益法核算时全部转入</w:t>
      </w:r>
      <w:r>
        <w:rPr>
          <w:spacing w:val="-89"/>
        </w:rPr>
        <w:t> </w:t>
      </w:r>
      <w:r>
        <w:rPr>
          <w:spacing w:val="-89"/>
        </w:rPr>
      </w:r>
      <w:r>
        <w:rPr/>
        <w:t>当期损益。</w:t>
      </w:r>
    </w:p>
    <w:p>
      <w:pPr>
        <w:pStyle w:val="BodyText"/>
        <w:spacing w:line="408" w:lineRule="auto"/>
        <w:ind w:left="580" w:right="89" w:firstLine="423"/>
        <w:jc w:val="left"/>
      </w:pPr>
      <w:r>
        <w:rPr/>
        <w:t>因处置部分股权投资、因其他投资方对子公司增资而导致本公司持股比例下降等原因丧失了对被 </w:t>
      </w:r>
      <w:r>
        <w:rPr>
          <w:spacing w:val="-3"/>
        </w:rPr>
        <w:t>投资单位控制权的，在编制个别财务报表时，剩余股权能够对被投资单位实施共同控制或重大影响的，</w:t>
      </w:r>
      <w:r>
        <w:rPr>
          <w:spacing w:val="-102"/>
        </w:rPr>
        <w:t> </w:t>
      </w:r>
      <w:r>
        <w:rPr>
          <w:spacing w:val="-102"/>
        </w:rPr>
      </w:r>
      <w:r>
        <w:rPr/>
        <w:t>改按权益法核算，并对该剩余股权视同自取得时即采用权益法核算进行调整；剩余股权不能对被投资</w:t>
      </w:r>
      <w:r>
        <w:rPr/>
        <w:t> 单位实施共同控制或施加重大影响的，改按金融工具确认和计量准则的有关规定进行会计处理，其在 丧失控制之日的公允价值与账面价值间的差额计入当期损益。</w:t>
      </w:r>
    </w:p>
    <w:p>
      <w:pPr>
        <w:pStyle w:val="BodyText"/>
        <w:spacing w:line="408" w:lineRule="auto"/>
        <w:ind w:left="580" w:right="209" w:firstLine="423"/>
        <w:jc w:val="both"/>
      </w:pPr>
      <w:r>
        <w:rPr>
          <w:spacing w:val="-1"/>
        </w:rPr>
        <w:t>处置的股权是因追加投资等原因通过企业合并取得的，在编制个别财务报表时，处置后的剩余股</w:t>
      </w:r>
      <w:r>
        <w:rPr/>
        <w:t> </w:t>
      </w:r>
      <w:r>
        <w:rPr>
          <w:spacing w:val="-1"/>
        </w:rPr>
        <w:t>权采用成本法或权益法核算的，购买日之前持有的股权投资因采用权益法核算而确认的其他综合收益</w:t>
      </w:r>
      <w:r>
        <w:rPr>
          <w:spacing w:val="-89"/>
        </w:rPr>
        <w:t> </w:t>
      </w:r>
      <w:r>
        <w:rPr>
          <w:spacing w:val="-89"/>
        </w:rPr>
      </w:r>
      <w:r>
        <w:rPr>
          <w:spacing w:val="-1"/>
        </w:rPr>
        <w:t>和其他所有者权益按比例结转；处置后的剩余股权改按金融工具确认和计量准则进行会计处理的，其</w:t>
      </w:r>
      <w:r>
        <w:rPr>
          <w:spacing w:val="-91"/>
        </w:rPr>
        <w:t> </w:t>
      </w:r>
      <w:r>
        <w:rPr>
          <w:spacing w:val="-91"/>
        </w:rPr>
      </w:r>
      <w:r>
        <w:rPr/>
        <w:t>他综合收益和其他所有者权益全部结转。</w:t>
      </w:r>
    </w:p>
    <w:p>
      <w:pPr>
        <w:spacing w:line="240" w:lineRule="auto" w:before="8"/>
        <w:rPr>
          <w:rFonts w:ascii="宋体" w:hAnsi="宋体" w:cs="宋体" w:eastAsia="宋体" w:hint="default"/>
          <w:sz w:val="20"/>
          <w:szCs w:val="20"/>
        </w:rPr>
      </w:pPr>
    </w:p>
    <w:p>
      <w:pPr>
        <w:pStyle w:val="Heading4"/>
        <w:spacing w:line="240" w:lineRule="auto"/>
        <w:ind w:right="102"/>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031"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77"/>
        <w:ind w:left="580" w:right="210" w:firstLine="423"/>
        <w:jc w:val="both"/>
      </w:pPr>
      <w:r>
        <w:rPr>
          <w:spacing w:val="-1"/>
        </w:rPr>
        <w:t>投资性房地产是指为赚取租金或资本增值，或两者兼有而持有的房地产，包括已出租的土地使用</w:t>
      </w:r>
      <w:r>
        <w:rPr/>
        <w:t> </w:t>
      </w:r>
      <w:r>
        <w:rPr>
          <w:spacing w:val="-1"/>
        </w:rPr>
        <w:t>权、持有并准备增值后转让的土地使用权、已出租的建筑物（含自行建造或开发活动完成后用于出租</w:t>
      </w:r>
      <w:r>
        <w:rPr>
          <w:spacing w:val="-91"/>
        </w:rPr>
        <w:t> </w:t>
      </w:r>
      <w:r>
        <w:rPr>
          <w:spacing w:val="-91"/>
        </w:rPr>
      </w:r>
      <w:r>
        <w:rPr/>
        <w:t>的建筑物以及正在建造或开发过程中将来用于出租的建筑物）。</w:t>
      </w:r>
    </w:p>
    <w:p>
      <w:pPr>
        <w:spacing w:after="0" w:line="40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580" w:right="143" w:firstLine="423"/>
        <w:jc w:val="left"/>
      </w:pPr>
      <w:r>
        <w:rPr>
          <w:spacing w:val="-1"/>
        </w:rPr>
        <w:t>公司对现有投资性房地产采用成本模式计量。对按照成本模式计量的投资性房地产－出租用建筑</w:t>
      </w:r>
      <w:r>
        <w:rPr/>
        <w:t> 物采用与本公司固定资产相同的折旧政策，出租用土地使用权按与无形资产相同的摊销政策执行。</w:t>
      </w:r>
    </w:p>
    <w:p>
      <w:pPr>
        <w:spacing w:line="240" w:lineRule="auto" w:before="8"/>
        <w:rPr>
          <w:rFonts w:ascii="宋体" w:hAnsi="宋体" w:cs="宋体" w:eastAsia="宋体" w:hint="default"/>
          <w:sz w:val="20"/>
          <w:szCs w:val="20"/>
        </w:rPr>
      </w:pPr>
    </w:p>
    <w:p>
      <w:pPr>
        <w:pStyle w:val="Heading4"/>
        <w:spacing w:line="240" w:lineRule="auto"/>
        <w:ind w:right="13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398" w:lineRule="auto" w:before="0"/>
        <w:ind w:left="437" w:right="150" w:firstLine="566"/>
        <w:jc w:val="both"/>
      </w:pPr>
      <w:r>
        <w:rPr>
          <w:spacing w:val="-1"/>
        </w:rPr>
        <w:t>固定资产指为生产商品、提供劳务、出租或经营管理而持有，并且使用寿命超过一个会计年度的</w:t>
      </w:r>
      <w:r>
        <w:rPr/>
        <w:t> </w:t>
      </w:r>
      <w:r>
        <w:rPr>
          <w:spacing w:val="-5"/>
        </w:rPr>
        <w:t>有形资产。固定资产在同时满足下列条件时予以确认：（</w:t>
      </w:r>
      <w:r>
        <w:rPr>
          <w:rFonts w:ascii="Times New Roman" w:hAnsi="Times New Roman" w:cs="Times New Roman" w:eastAsia="Times New Roman" w:hint="default"/>
          <w:spacing w:val="-5"/>
        </w:rPr>
        <w:t>1</w:t>
      </w:r>
      <w:r>
        <w:rPr>
          <w:spacing w:val="-5"/>
        </w:rPr>
        <w:t>）与该固定资产有关的经济利益很可能流入企</w:t>
      </w:r>
      <w:r>
        <w:rPr>
          <w:spacing w:val="-77"/>
        </w:rPr>
        <w:t> </w:t>
      </w:r>
      <w:r>
        <w:rPr>
          <w:spacing w:val="-77"/>
        </w:rPr>
      </w:r>
      <w:r>
        <w:rPr>
          <w:spacing w:val="-6"/>
        </w:rPr>
        <w:t>业；（</w:t>
      </w:r>
      <w:r>
        <w:rPr>
          <w:rFonts w:ascii="Times New Roman" w:hAnsi="Times New Roman" w:cs="Times New Roman" w:eastAsia="Times New Roman" w:hint="default"/>
          <w:spacing w:val="-6"/>
        </w:rPr>
        <w:t>2</w:t>
      </w:r>
      <w:r>
        <w:rPr>
          <w:spacing w:val="-6"/>
        </w:rPr>
        <w:t>）该固定资产的成本能够可靠地计量。</w:t>
      </w:r>
    </w:p>
    <w:p>
      <w:pPr>
        <w:spacing w:line="240" w:lineRule="auto" w:before="9"/>
        <w:rPr>
          <w:rFonts w:ascii="宋体" w:hAnsi="宋体" w:cs="宋体" w:eastAsia="宋体" w:hint="default"/>
          <w:sz w:val="18"/>
          <w:szCs w:val="18"/>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bl>
    <w:p>
      <w:pPr>
        <w:spacing w:line="240" w:lineRule="auto" w:before="1"/>
        <w:rPr>
          <w:rFonts w:ascii="宋体" w:hAnsi="宋体" w:cs="宋体" w:eastAsia="宋体" w:hint="default"/>
          <w:b/>
          <w:bCs/>
          <w:sz w:val="14"/>
          <w:szCs w:val="14"/>
        </w:rPr>
      </w:pPr>
    </w:p>
    <w:p>
      <w:pPr>
        <w:pStyle w:val="BodyText"/>
        <w:spacing w:line="408" w:lineRule="auto" w:before="35"/>
        <w:ind w:left="578" w:right="150" w:firstLine="423"/>
        <w:jc w:val="both"/>
      </w:pPr>
      <w:r>
        <w:rPr>
          <w:spacing w:val="-1"/>
        </w:rPr>
        <w:t>固定资产折旧采用年限平均法分类计提，根据固定资产类别、预计使用寿命和预计净残值率确定</w:t>
      </w:r>
      <w:r>
        <w:rPr/>
        <w:t> </w:t>
      </w:r>
      <w:r>
        <w:rPr>
          <w:spacing w:val="-1"/>
        </w:rPr>
        <w:t>折旧率。如固定资产各组成部分的使用寿命不同或者以不同方式为企业提供经济利益，则选择不同折</w:t>
      </w:r>
      <w:r>
        <w:rPr>
          <w:spacing w:val="-89"/>
        </w:rPr>
        <w:t> </w:t>
      </w:r>
      <w:r>
        <w:rPr>
          <w:spacing w:val="-89"/>
        </w:rPr>
      </w:r>
      <w:r>
        <w:rPr/>
        <w:t>旧率或折旧方法，分别计提折旧。</w:t>
      </w:r>
    </w:p>
    <w:p>
      <w:pPr>
        <w:spacing w:line="243" w:lineRule="exact" w:before="0"/>
        <w:ind w:left="578" w:right="133" w:firstLine="0"/>
        <w:jc w:val="left"/>
        <w:rPr>
          <w:rFonts w:ascii="宋体" w:hAnsi="宋体" w:cs="宋体" w:eastAsia="宋体" w:hint="default"/>
          <w:sz w:val="18"/>
          <w:szCs w:val="18"/>
        </w:rPr>
      </w:pPr>
      <w:r>
        <w:rPr>
          <w:rFonts w:ascii="宋体" w:hAnsi="宋体" w:cs="宋体" w:eastAsia="宋体" w:hint="default"/>
          <w:sz w:val="18"/>
          <w:szCs w:val="18"/>
        </w:rPr>
        <w:t>新建的母公司办公楼和子公司福建新开普办公楼是按</w:t>
      </w:r>
      <w:r>
        <w:rPr>
          <w:rFonts w:ascii="Times New Roman" w:hAnsi="Times New Roman" w:cs="Times New Roman" w:eastAsia="Times New Roman" w:hint="default"/>
          <w:sz w:val="18"/>
          <w:szCs w:val="18"/>
        </w:rPr>
        <w:t>40-50</w:t>
      </w:r>
      <w:r>
        <w:rPr>
          <w:rFonts w:ascii="宋体" w:hAnsi="宋体" w:cs="宋体" w:eastAsia="宋体" w:hint="default"/>
          <w:sz w:val="18"/>
          <w:szCs w:val="18"/>
        </w:rPr>
        <w:t>年折旧年限计提折旧。</w:t>
      </w:r>
    </w:p>
    <w:p>
      <w:pPr>
        <w:spacing w:line="692" w:lineRule="exact" w:before="30"/>
        <w:ind w:left="578" w:right="1366" w:hanging="42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spacing w:val="1"/>
          <w:w w:val="99"/>
          <w:sz w:val="21"/>
          <w:szCs w:val="21"/>
        </w:rPr>
        <w:t> </w:t>
      </w:r>
      <w:r>
        <w:rPr>
          <w:rFonts w:ascii="宋体" w:hAnsi="宋体" w:cs="宋体" w:eastAsia="宋体" w:hint="default"/>
          <w:sz w:val="21"/>
          <w:szCs w:val="21"/>
        </w:rPr>
        <w:t>公司与租赁方所签订的租赁协议条款中规定了下列条件之一的，确认为融资租入资产：</w:t>
      </w:r>
    </w:p>
    <w:p>
      <w:pPr>
        <w:pStyle w:val="BodyText"/>
        <w:spacing w:line="240" w:lineRule="auto" w:before="124"/>
        <w:ind w:left="578" w:right="133"/>
        <w:jc w:val="left"/>
      </w:pPr>
      <w:r>
        <w:rPr/>
        <w:t>（</w:t>
      </w:r>
      <w:r>
        <w:rPr>
          <w:rFonts w:ascii="Times New Roman" w:hAnsi="Times New Roman" w:cs="Times New Roman" w:eastAsia="Times New Roman" w:hint="default"/>
        </w:rPr>
        <w:t>1</w:t>
      </w:r>
      <w:r>
        <w:rPr/>
        <w:t>）租赁期满后租赁资产的所有权归属于本公司；</w:t>
      </w:r>
    </w:p>
    <w:p>
      <w:pPr>
        <w:spacing w:line="240" w:lineRule="auto" w:before="8"/>
        <w:rPr>
          <w:rFonts w:ascii="宋体" w:hAnsi="宋体" w:cs="宋体" w:eastAsia="宋体" w:hint="default"/>
          <w:sz w:val="16"/>
          <w:szCs w:val="16"/>
        </w:rPr>
      </w:pPr>
    </w:p>
    <w:p>
      <w:pPr>
        <w:pStyle w:val="BodyText"/>
        <w:spacing w:line="240" w:lineRule="auto" w:before="0"/>
        <w:ind w:left="578" w:right="133"/>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spacing w:line="240" w:lineRule="auto" w:before="9"/>
        <w:rPr>
          <w:rFonts w:ascii="宋体" w:hAnsi="宋体" w:cs="宋体" w:eastAsia="宋体" w:hint="default"/>
          <w:sz w:val="16"/>
          <w:szCs w:val="16"/>
        </w:rPr>
      </w:pPr>
    </w:p>
    <w:p>
      <w:pPr>
        <w:pStyle w:val="BodyText"/>
        <w:spacing w:line="240" w:lineRule="auto" w:before="0"/>
        <w:ind w:left="578" w:right="133"/>
        <w:jc w:val="left"/>
      </w:pPr>
      <w:r>
        <w:rPr/>
        <w:t>（</w:t>
      </w:r>
      <w:r>
        <w:rPr>
          <w:rFonts w:ascii="Times New Roman" w:hAnsi="Times New Roman" w:cs="Times New Roman" w:eastAsia="Times New Roman" w:hint="default"/>
        </w:rPr>
        <w:t>3</w:t>
      </w:r>
      <w:r>
        <w:rPr/>
        <w:t>）租赁期占所租赁资产使用寿命的大部分；</w:t>
      </w:r>
    </w:p>
    <w:p>
      <w:pPr>
        <w:spacing w:line="240" w:lineRule="auto" w:before="8"/>
        <w:rPr>
          <w:rFonts w:ascii="宋体" w:hAnsi="宋体" w:cs="宋体" w:eastAsia="宋体" w:hint="default"/>
          <w:sz w:val="16"/>
          <w:szCs w:val="16"/>
        </w:rPr>
      </w:pPr>
    </w:p>
    <w:p>
      <w:pPr>
        <w:pStyle w:val="BodyText"/>
        <w:spacing w:line="417" w:lineRule="auto" w:before="0"/>
        <w:ind w:left="998" w:right="148" w:hanging="421"/>
        <w:jc w:val="left"/>
      </w:pPr>
      <w:r>
        <w:rPr/>
        <w:t>（</w:t>
      </w:r>
      <w:r>
        <w:rPr>
          <w:rFonts w:ascii="Times New Roman" w:hAnsi="Times New Roman" w:cs="Times New Roman" w:eastAsia="Times New Roman" w:hint="default"/>
        </w:rPr>
        <w:t>4</w:t>
      </w:r>
      <w:r>
        <w:rPr/>
        <w:t>）租赁开始日的最低租赁付款额现值，与该资产的公允价值不存在较大的差异。 </w:t>
      </w:r>
      <w:r>
        <w:rPr>
          <w:spacing w:val="-1"/>
        </w:rPr>
        <w:t>公司在承租开始日，将租赁资产公允价值与最低租赁付款额现值两者中较低者作为租入资产的入</w:t>
      </w:r>
    </w:p>
    <w:p>
      <w:pPr>
        <w:pStyle w:val="BodyText"/>
        <w:spacing w:line="444" w:lineRule="auto" w:before="39"/>
        <w:ind w:left="998" w:right="148" w:hanging="420"/>
        <w:jc w:val="left"/>
      </w:pPr>
      <w:r>
        <w:rPr/>
        <w:t>账价值，将最低租赁付款额作为长期应付款的入账价值，其差额作为未确认的融资费。 </w:t>
      </w:r>
      <w:r>
        <w:rPr>
          <w:spacing w:val="-1"/>
        </w:rPr>
        <w:t>融资租赁方式租入的固定资产，能合理确定租赁期届满时将会取得租赁资产所有权的，在租赁资</w:t>
      </w:r>
    </w:p>
    <w:p>
      <w:pPr>
        <w:pStyle w:val="BodyText"/>
        <w:spacing w:line="240" w:lineRule="auto" w:before="14"/>
        <w:ind w:left="578" w:right="0"/>
        <w:jc w:val="left"/>
      </w:pPr>
      <w:r>
        <w:rPr/>
        <w:t>产尚可使用年限内计提折旧；无法合理确定租赁期届满时能够取得租赁资产所有权的，在租赁期与租</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6"/>
          <w:szCs w:val="26"/>
        </w:rPr>
      </w:pPr>
    </w:p>
    <w:p>
      <w:pPr>
        <w:pStyle w:val="BodyText"/>
        <w:spacing w:line="240" w:lineRule="auto" w:before="35"/>
        <w:ind w:left="578" w:right="305"/>
        <w:jc w:val="left"/>
      </w:pPr>
      <w:r>
        <w:rPr/>
        <w:t>赁资产尚可使用年限两者中较短的期间内计提折旧。</w:t>
      </w:r>
    </w:p>
    <w:p>
      <w:pPr>
        <w:spacing w:line="240" w:lineRule="auto" w:before="0"/>
        <w:rPr>
          <w:rFonts w:ascii="宋体" w:hAnsi="宋体" w:cs="宋体" w:eastAsia="宋体" w:hint="default"/>
          <w:sz w:val="20"/>
          <w:szCs w:val="20"/>
        </w:rPr>
      </w:pPr>
    </w:p>
    <w:p>
      <w:pPr>
        <w:pStyle w:val="Heading4"/>
        <w:spacing w:line="240" w:lineRule="auto" w:before="152"/>
        <w:ind w:left="153" w:right="6871"/>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687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80"/>
        <w:ind w:left="580" w:right="311" w:firstLine="423"/>
        <w:jc w:val="both"/>
      </w:pPr>
      <w:r>
        <w:rPr>
          <w:spacing w:val="-1"/>
        </w:rPr>
        <w:t>在建工程项目按建造该项资产达到预定可使用状态前所发生的必要支出，作为固定资产的入账价</w:t>
      </w:r>
      <w:r>
        <w:rPr/>
        <w:t> </w:t>
      </w:r>
      <w:r>
        <w:rPr>
          <w:spacing w:val="-1"/>
        </w:rPr>
        <w:t>值。所建造的固定资产在工程已达到预定可使用状态，但尚未办理竣工决算的，自达到预定可使用状</w:t>
      </w:r>
      <w:r>
        <w:rPr>
          <w:spacing w:val="-91"/>
        </w:rPr>
        <w:t> </w:t>
      </w:r>
      <w:r>
        <w:rPr>
          <w:spacing w:val="-91"/>
        </w:rPr>
      </w:r>
      <w:r>
        <w:rPr>
          <w:spacing w:val="-1"/>
        </w:rPr>
        <w:t>态之日起，根据工程预算、造价或者工程实际成本等，按估计的价值转入固定资产，并按本公司固定</w:t>
      </w:r>
      <w:r>
        <w:rPr>
          <w:spacing w:val="-93"/>
        </w:rPr>
        <w:t> </w:t>
      </w:r>
      <w:r>
        <w:rPr>
          <w:spacing w:val="-93"/>
        </w:rPr>
      </w:r>
      <w:r>
        <w:rPr>
          <w:spacing w:val="-1"/>
        </w:rPr>
        <w:t>资产折旧政策计提固定资产的折旧，待办理竣工决算后，再按实际成本调整原来的暂估价值，但不调</w:t>
      </w:r>
      <w:r>
        <w:rPr>
          <w:spacing w:val="-91"/>
        </w:rPr>
        <w:t> </w:t>
      </w:r>
      <w:r>
        <w:rPr>
          <w:spacing w:val="-91"/>
        </w:rPr>
      </w:r>
      <w:r>
        <w:rPr/>
        <w:t>整原已计提的折旧额。</w:t>
      </w:r>
    </w:p>
    <w:p>
      <w:pPr>
        <w:spacing w:line="240" w:lineRule="auto" w:before="8"/>
        <w:rPr>
          <w:rFonts w:ascii="宋体" w:hAnsi="宋体" w:cs="宋体" w:eastAsia="宋体" w:hint="default"/>
          <w:sz w:val="20"/>
          <w:szCs w:val="20"/>
        </w:rPr>
      </w:pPr>
    </w:p>
    <w:p>
      <w:pPr>
        <w:pStyle w:val="Heading4"/>
        <w:spacing w:line="240" w:lineRule="auto"/>
        <w:ind w:right="6871"/>
        <w:jc w:val="left"/>
        <w:rPr>
          <w:b w:val="0"/>
          <w:bCs w:val="0"/>
        </w:rPr>
      </w:pPr>
      <w:r>
        <w:rPr>
          <w:rFonts w:ascii="Times New Roman" w:hAnsi="Times New Roman" w:cs="Times New Roman" w:eastAsia="Times New Roman" w:hint="default"/>
          <w:spacing w:val="2"/>
        </w:rPr>
        <w:t>18</w:t>
      </w:r>
      <w:r>
        <w:rPr>
          <w:spacing w:val="2"/>
        </w:rPr>
        <w:t>、借款费用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002" w:right="304" w:hanging="423"/>
        <w:jc w:val="left"/>
      </w:pPr>
      <w:r>
        <w:rPr>
          <w:rFonts w:ascii="宋体" w:hAnsi="宋体" w:cs="宋体" w:eastAsia="宋体" w:hint="default"/>
          <w:b/>
          <w:bCs/>
        </w:rPr>
        <w:t>1.借款费用资本化的确认原则</w:t>
      </w:r>
      <w:r>
        <w:rPr>
          <w:rFonts w:ascii="宋体" w:hAnsi="宋体" w:cs="宋体" w:eastAsia="宋体" w:hint="default"/>
          <w:b/>
          <w:bCs/>
          <w:spacing w:val="1"/>
          <w:w w:val="99"/>
        </w:rPr>
        <w:t> </w:t>
      </w:r>
      <w:r>
        <w:rPr>
          <w:spacing w:val="-6"/>
        </w:rPr>
        <w:t>借款费用，包括借款利息、折价或者溢价的摊销、辅助费用以及因外币借款而发生的汇兑差额等。</w:t>
      </w:r>
      <w:r>
        <w:rPr/>
        <w:t> </w:t>
      </w:r>
      <w:r>
        <w:rPr>
          <w:spacing w:val="-1"/>
        </w:rPr>
        <w:t>公司发生的借款费用，可直接归属于符合资本化条件的资产的购建或者生产的，予以资本化，计</w:t>
      </w:r>
    </w:p>
    <w:p>
      <w:pPr>
        <w:pStyle w:val="BodyText"/>
        <w:spacing w:line="408" w:lineRule="auto"/>
        <w:ind w:left="1002" w:right="304" w:hanging="423"/>
        <w:jc w:val="left"/>
      </w:pPr>
      <w:r>
        <w:rPr/>
        <w:t>入相关资产成本；其他借款费用，在发生时根据其发生额确认为费用，计入当期损益。 </w:t>
      </w:r>
      <w:r>
        <w:rPr>
          <w:spacing w:val="-1"/>
        </w:rPr>
        <w:t>符合资本化条件的资产，是指需要经过相当长时间的购建或者生产活动才能达到预定可使用或者</w:t>
      </w:r>
    </w:p>
    <w:p>
      <w:pPr>
        <w:pStyle w:val="BodyText"/>
        <w:spacing w:line="408" w:lineRule="auto"/>
        <w:ind w:left="1002" w:right="4465" w:hanging="423"/>
        <w:jc w:val="left"/>
      </w:pPr>
      <w:r>
        <w:rPr/>
        <w:t>可销售状态的固定资产、投资性房地产和存货等资产。 借款费用同时满足下列条件时开始资本化：</w:t>
      </w:r>
    </w:p>
    <w:p>
      <w:pPr>
        <w:pStyle w:val="BodyText"/>
        <w:spacing w:line="386" w:lineRule="auto"/>
        <w:ind w:left="579" w:right="385" w:firstLine="422"/>
        <w:jc w:val="both"/>
      </w:pPr>
      <w:r>
        <w:rPr/>
        <w:t>（</w:t>
      </w:r>
      <w:r>
        <w:rPr>
          <w:rFonts w:ascii="Times New Roman" w:hAnsi="Times New Roman" w:cs="Times New Roman" w:eastAsia="Times New Roman" w:hint="default"/>
        </w:rPr>
        <w:t>1</w:t>
      </w:r>
      <w:r>
        <w:rPr/>
        <w:t>）资产支出已经发生，资产支出包括为购建或者生产符合资本化条件的资产而以支付现金、 转移非现金资产或者承担带息债务形式发生的支出；</w:t>
      </w:r>
    </w:p>
    <w:p>
      <w:pPr>
        <w:pStyle w:val="BodyText"/>
        <w:spacing w:line="240" w:lineRule="auto" w:before="65"/>
        <w:ind w:left="1002" w:right="305"/>
        <w:jc w:val="left"/>
      </w:pPr>
      <w:r>
        <w:rPr/>
        <w:t>（</w:t>
      </w:r>
      <w:r>
        <w:rPr>
          <w:rFonts w:ascii="Times New Roman" w:hAnsi="Times New Roman" w:cs="Times New Roman" w:eastAsia="Times New Roman" w:hint="default"/>
        </w:rPr>
        <w:t>2</w:t>
      </w:r>
      <w:r>
        <w:rPr/>
        <w:t>）借款费用已经发生；</w:t>
      </w:r>
    </w:p>
    <w:p>
      <w:pPr>
        <w:spacing w:line="386" w:lineRule="auto" w:before="177"/>
        <w:ind w:left="579" w:right="1014"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89"/>
          <w:sz w:val="21"/>
          <w:szCs w:val="21"/>
        </w:rPr>
        <w:t> </w:t>
      </w:r>
      <w:r>
        <w:rPr>
          <w:rFonts w:ascii="宋体" w:hAnsi="宋体" w:cs="宋体" w:eastAsia="宋体" w:hint="default"/>
          <w:sz w:val="21"/>
          <w:szCs w:val="21"/>
        </w:rPr>
        <w:t>为使资产达到预定可使用或者可销售状态所必要的购建或者生产活动已经开始。</w:t>
      </w:r>
      <w:r>
        <w:rPr>
          <w:rFonts w:ascii="宋体" w:hAnsi="宋体" w:cs="宋体" w:eastAsia="宋体" w:hint="default"/>
          <w:sz w:val="21"/>
          <w:szCs w:val="21"/>
        </w:rPr>
        <w:t> </w:t>
      </w:r>
      <w:r>
        <w:rPr>
          <w:rFonts w:ascii="宋体" w:hAnsi="宋体" w:cs="宋体" w:eastAsia="宋体" w:hint="default"/>
          <w:b/>
          <w:bCs/>
          <w:sz w:val="21"/>
          <w:szCs w:val="21"/>
        </w:rPr>
        <w:t>2.借款费用资本化期间</w:t>
      </w:r>
      <w:r>
        <w:rPr>
          <w:rFonts w:ascii="宋体" w:hAnsi="宋体" w:cs="宋体" w:eastAsia="宋体" w:hint="default"/>
          <w:sz w:val="21"/>
          <w:szCs w:val="21"/>
        </w:rPr>
      </w:r>
    </w:p>
    <w:p>
      <w:pPr>
        <w:pStyle w:val="BodyText"/>
        <w:spacing w:line="408" w:lineRule="auto" w:before="65"/>
        <w:ind w:left="579" w:right="310" w:firstLine="423"/>
        <w:jc w:val="both"/>
      </w:pPr>
      <w:r>
        <w:rPr>
          <w:spacing w:val="-1"/>
        </w:rPr>
        <w:t>资本化期间，指从借款费用开始资本化时点到停止资本化时点的期间，借款费用暂停资本化的期</w:t>
      </w:r>
      <w:r>
        <w:rPr/>
        <w:t> 间不包括在内。</w:t>
      </w:r>
    </w:p>
    <w:p>
      <w:pPr>
        <w:pStyle w:val="BodyText"/>
        <w:spacing w:line="408" w:lineRule="auto"/>
        <w:ind w:left="1003" w:right="94"/>
        <w:jc w:val="left"/>
      </w:pPr>
      <w:r>
        <w:rPr>
          <w:spacing w:val="-1"/>
        </w:rPr>
        <w:t>当购建或者生产符合资本化条件的资产达到预定可使用或者可销售状态时，借款费用停止资本化。</w:t>
      </w:r>
      <w:r>
        <w:rPr>
          <w:spacing w:val="-95"/>
        </w:rPr>
        <w:t> </w:t>
      </w:r>
      <w:r>
        <w:rPr>
          <w:spacing w:val="-95"/>
        </w:rPr>
      </w:r>
      <w:r>
        <w:rPr/>
        <w:t>当购建或者生产符合资本化条件的资产中部分项目分别完工且可单独使用时，该部分资产借款费</w:t>
      </w:r>
    </w:p>
    <w:p>
      <w:pPr>
        <w:pStyle w:val="BodyText"/>
        <w:spacing w:line="408" w:lineRule="auto"/>
        <w:ind w:left="1003" w:right="303" w:hanging="424"/>
        <w:jc w:val="left"/>
      </w:pPr>
      <w:r>
        <w:rPr/>
        <w:t>用停止资本化。 </w:t>
      </w:r>
      <w:r>
        <w:rPr>
          <w:spacing w:val="-1"/>
        </w:rPr>
        <w:t>购建或者生产的资产的各部分分别完工，但必须等到整体完工后才可使用或可对外销售的，在该</w:t>
      </w:r>
    </w:p>
    <w:p>
      <w:pPr>
        <w:spacing w:after="0" w:line="408" w:lineRule="auto"/>
        <w:jc w:val="left"/>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spacing w:line="408" w:lineRule="auto" w:before="35"/>
        <w:ind w:left="580" w:right="5934" w:firstLine="0"/>
        <w:jc w:val="left"/>
        <w:rPr>
          <w:rFonts w:ascii="宋体" w:hAnsi="宋体" w:cs="宋体" w:eastAsia="宋体" w:hint="default"/>
          <w:sz w:val="21"/>
          <w:szCs w:val="21"/>
        </w:rPr>
      </w:pPr>
      <w:r>
        <w:rPr>
          <w:rFonts w:ascii="宋体" w:hAnsi="宋体" w:cs="宋体" w:eastAsia="宋体" w:hint="default"/>
          <w:sz w:val="21"/>
          <w:szCs w:val="21"/>
        </w:rPr>
        <w:t>资产整体完工时停止借款费用资本化。 </w:t>
      </w:r>
      <w:r>
        <w:rPr>
          <w:rFonts w:ascii="宋体" w:hAnsi="宋体" w:cs="宋体" w:eastAsia="宋体" w:hint="default"/>
          <w:b/>
          <w:bCs/>
          <w:sz w:val="21"/>
          <w:szCs w:val="21"/>
        </w:rPr>
        <w:t>3.暂停资本化期间</w:t>
      </w:r>
      <w:r>
        <w:rPr>
          <w:rFonts w:ascii="宋体" w:hAnsi="宋体" w:cs="宋体" w:eastAsia="宋体" w:hint="default"/>
          <w:sz w:val="21"/>
          <w:szCs w:val="21"/>
        </w:rPr>
      </w:r>
    </w:p>
    <w:p>
      <w:pPr>
        <w:pStyle w:val="BodyText"/>
        <w:spacing w:line="403" w:lineRule="auto"/>
        <w:ind w:left="580" w:right="308" w:firstLine="423"/>
        <w:jc w:val="left"/>
        <w:rPr>
          <w:rFonts w:ascii="宋体" w:hAnsi="宋体" w:cs="宋体" w:eastAsia="宋体" w:hint="default"/>
        </w:rPr>
      </w:pPr>
      <w:r>
        <w:rPr/>
        <w:t>符合资本化条件的资产在购建或生产过程中发生的非正常中断、且中断时间连续超过</w:t>
      </w:r>
      <w:r>
        <w:rPr>
          <w:rFonts w:ascii="Times New Roman" w:hAnsi="Times New Roman" w:cs="Times New Roman" w:eastAsia="Times New Roman" w:hint="default"/>
        </w:rPr>
        <w:t>3</w:t>
      </w:r>
      <w:r>
        <w:rPr/>
        <w:t>个月的， </w:t>
      </w:r>
      <w:r>
        <w:rPr>
          <w:spacing w:val="-1"/>
        </w:rPr>
        <w:t>则借款费用暂停资本化；该项中断如是所购建或生产的符合资本化条件的资产达到预定可使用状态或</w:t>
      </w:r>
      <w:r>
        <w:rPr>
          <w:spacing w:val="-89"/>
        </w:rPr>
        <w:t> </w:t>
      </w:r>
      <w:r>
        <w:rPr>
          <w:spacing w:val="-89"/>
        </w:rPr>
      </w:r>
      <w:r>
        <w:rPr>
          <w:spacing w:val="-1"/>
        </w:rPr>
        <w:t>者可销售状态必要的程序，则借款费用继续资本化。在中断期间发生的借款费用确认为当期损益，直</w:t>
      </w:r>
      <w:r>
        <w:rPr>
          <w:spacing w:val="-91"/>
        </w:rPr>
        <w:t> </w:t>
      </w:r>
      <w:r>
        <w:rPr>
          <w:spacing w:val="-91"/>
        </w:rPr>
      </w:r>
      <w:r>
        <w:rPr/>
        <w:t>至资产的购建或者生产活动重新开始后借款费用继续资本化。 </w:t>
      </w:r>
      <w:r>
        <w:rPr>
          <w:rFonts w:ascii="宋体" w:hAnsi="宋体" w:cs="宋体" w:eastAsia="宋体" w:hint="default"/>
          <w:b/>
          <w:bCs/>
        </w:rPr>
        <w:t>4.借款费用资本化率、资本化金额的计算方法</w:t>
      </w:r>
      <w:r>
        <w:rPr>
          <w:rFonts w:ascii="宋体" w:hAnsi="宋体" w:cs="宋体" w:eastAsia="宋体" w:hint="default"/>
        </w:rPr>
      </w:r>
    </w:p>
    <w:p>
      <w:pPr>
        <w:pStyle w:val="BodyText"/>
        <w:spacing w:line="408" w:lineRule="auto" w:before="50"/>
        <w:ind w:left="580" w:right="94" w:firstLine="420"/>
        <w:jc w:val="left"/>
      </w:pPr>
      <w:r>
        <w:rPr/>
        <w:t>对于为购建或者生产符合资本化条件的资产而借入的专门借款，以专门借款当期实际发生的借款 </w:t>
      </w:r>
      <w:r>
        <w:rPr>
          <w:spacing w:val="-1"/>
        </w:rPr>
        <w:t>费用，减去尚未动用的借款资金存入银行取得的利息收入或进行暂时性投资取得的投资收益后的金额，</w:t>
      </w:r>
      <w:r>
        <w:rPr>
          <w:spacing w:val="-88"/>
        </w:rPr>
        <w:t> </w:t>
      </w:r>
      <w:r>
        <w:rPr>
          <w:spacing w:val="-88"/>
        </w:rPr>
      </w:r>
      <w:r>
        <w:rPr/>
        <w:t>来确定借款费用的资本化金额。</w:t>
      </w:r>
    </w:p>
    <w:p>
      <w:pPr>
        <w:pStyle w:val="BodyText"/>
        <w:spacing w:line="408" w:lineRule="auto"/>
        <w:ind w:left="580" w:right="309" w:firstLine="420"/>
        <w:jc w:val="both"/>
      </w:pPr>
      <w:r>
        <w:rPr>
          <w:spacing w:val="-1"/>
        </w:rPr>
        <w:t>对于为购建或者生产符合资本化条件的资产而占用的一般借款，根据累计资产支出超过专门借款</w:t>
      </w:r>
      <w:r>
        <w:rPr/>
        <w:t> </w:t>
      </w:r>
      <w:r>
        <w:rPr>
          <w:spacing w:val="-1"/>
        </w:rPr>
        <w:t>部分的资产支出加权平均数乘以所占用一般借款的资本化率，计算确定一般借款应予资本化的借款费</w:t>
      </w:r>
      <w:r>
        <w:rPr>
          <w:spacing w:val="-89"/>
        </w:rPr>
        <w:t> </w:t>
      </w:r>
      <w:r>
        <w:rPr>
          <w:spacing w:val="-89"/>
        </w:rPr>
      </w:r>
      <w:r>
        <w:rPr/>
        <w:t>用金额。资本化率根据一般借款加权平均利率计算确定。</w:t>
      </w:r>
    </w:p>
    <w:p>
      <w:pPr>
        <w:spacing w:line="240" w:lineRule="auto" w:before="8"/>
        <w:rPr>
          <w:rFonts w:ascii="宋体" w:hAnsi="宋体" w:cs="宋体" w:eastAsia="宋体" w:hint="default"/>
          <w:sz w:val="20"/>
          <w:szCs w:val="20"/>
        </w:rPr>
      </w:pPr>
    </w:p>
    <w:p>
      <w:pPr>
        <w:pStyle w:val="Heading4"/>
        <w:spacing w:line="240" w:lineRule="auto"/>
        <w:ind w:right="6871"/>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305"/>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687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Heading4"/>
        <w:spacing w:line="240" w:lineRule="auto" w:before="80"/>
        <w:ind w:left="721" w:right="6871"/>
        <w:jc w:val="left"/>
        <w:rPr>
          <w:b w:val="0"/>
          <w:bCs w:val="0"/>
        </w:rPr>
      </w:pPr>
      <w:r>
        <w:rPr/>
        <w:t>1.无形资产的计价方法</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before="0"/>
        <w:ind w:left="1145" w:right="329" w:hanging="424"/>
        <w:jc w:val="left"/>
      </w:pPr>
      <w:r>
        <w:rPr/>
        <w:t>（</w:t>
      </w:r>
      <w:r>
        <w:rPr>
          <w:rFonts w:ascii="Times New Roman" w:hAnsi="Times New Roman" w:cs="Times New Roman" w:eastAsia="Times New Roman" w:hint="default"/>
        </w:rPr>
        <w:t>1</w:t>
      </w:r>
      <w:r>
        <w:rPr/>
        <w:t>）公司取得无形资产时按成本进行初始计量； 外购无形资产的成本，包括购买价款、相关税费以及直接归属于使该项资产达到预定用途所发</w:t>
      </w:r>
    </w:p>
    <w:p>
      <w:pPr>
        <w:pStyle w:val="BodyText"/>
        <w:spacing w:line="408" w:lineRule="auto" w:before="65"/>
        <w:ind w:left="721" w:right="333"/>
        <w:jc w:val="left"/>
      </w:pPr>
      <w:r>
        <w:rPr/>
        <w:t>生的其他支出。购买无形资产的价款超过正常信用条件延期支付，实质上具有融资性质的，无形资 产的成本以购买价款的现值为基础确定。</w:t>
      </w:r>
    </w:p>
    <w:p>
      <w:pPr>
        <w:pStyle w:val="BodyText"/>
        <w:spacing w:line="408" w:lineRule="auto"/>
        <w:ind w:left="721" w:right="347" w:firstLine="423"/>
        <w:jc w:val="both"/>
      </w:pPr>
      <w:r>
        <w:rPr/>
        <w:t>债务重组取得债务人用以抵债的无形资产，以该无形资产的公允价值为基础确定其入账价值， 并将重组债务的账面价值与该用以抵债的无形资产公允价值之间的差额，计入当期损益。</w:t>
      </w:r>
    </w:p>
    <w:p>
      <w:pPr>
        <w:pStyle w:val="BodyText"/>
        <w:spacing w:line="408" w:lineRule="auto"/>
        <w:ind w:left="721" w:right="347" w:firstLine="423"/>
        <w:jc w:val="both"/>
      </w:pPr>
      <w:r>
        <w:rPr/>
        <w:t>在非货币性资产交换具备商业实质且换入资产或换出资产的公允价值能够可靠计量的前提下， 非货币性资产交换换入的无形资产以换出资产的公允价值为基础确定其入账价值，除非有确凿证据 表明换入资产的公允价值更加可靠；不满足上述前提的非货币性资产交换，以换出资产的账面价值 和应支付的相关税费作为换入无形资产的成本，不确认损益。</w:t>
      </w:r>
    </w:p>
    <w:p>
      <w:pPr>
        <w:pStyle w:val="BodyText"/>
        <w:spacing w:line="240" w:lineRule="auto"/>
        <w:ind w:left="721" w:right="6871"/>
        <w:jc w:val="left"/>
      </w:pPr>
      <w:r>
        <w:rPr/>
        <w:t>（</w:t>
      </w:r>
      <w:r>
        <w:rPr>
          <w:rFonts w:ascii="Times New Roman" w:hAnsi="Times New Roman" w:cs="Times New Roman" w:eastAsia="Times New Roman" w:hint="default"/>
        </w:rPr>
        <w:t>2</w:t>
      </w:r>
      <w:r>
        <w:rPr/>
        <w:t>）后续计量</w:t>
      </w:r>
    </w:p>
    <w:p>
      <w:pPr>
        <w:spacing w:after="0" w:line="240" w:lineRule="auto"/>
        <w:jc w:val="left"/>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408" w:lineRule="auto" w:before="35"/>
        <w:ind w:left="1145" w:right="169"/>
        <w:jc w:val="left"/>
      </w:pPr>
      <w:r>
        <w:rPr/>
        <w:t>在取得无形资产时分析判断其使用寿命。 对于使用寿命有限的无形资产，在为企业带来经济利益的期限内按直线法摊销；无法预见无形</w:t>
      </w:r>
    </w:p>
    <w:p>
      <w:pPr>
        <w:spacing w:line="477" w:lineRule="auto" w:before="46"/>
        <w:ind w:left="786" w:right="1853" w:hanging="65"/>
        <w:jc w:val="left"/>
        <w:rPr>
          <w:rFonts w:ascii="宋体" w:hAnsi="宋体" w:cs="宋体" w:eastAsia="宋体" w:hint="default"/>
          <w:sz w:val="21"/>
          <w:szCs w:val="21"/>
        </w:rPr>
      </w:pPr>
      <w:r>
        <w:rPr>
          <w:rFonts w:ascii="宋体" w:hAnsi="宋体" w:cs="宋体" w:eastAsia="宋体" w:hint="default"/>
          <w:sz w:val="21"/>
          <w:szCs w:val="21"/>
        </w:rPr>
        <w:t>资产为企业带来经济利益期限的，视为使用寿命不确定的无形资产，不予摊销。 </w:t>
      </w:r>
      <w:r>
        <w:rPr>
          <w:rFonts w:ascii="宋体" w:hAnsi="宋体" w:cs="宋体" w:eastAsia="宋体" w:hint="default"/>
          <w:b/>
          <w:bCs/>
          <w:sz w:val="21"/>
          <w:szCs w:val="21"/>
        </w:rPr>
        <w:t>2.使用寿命有限的无形资产的使用寿命估计情况：</w:t>
      </w:r>
      <w:r>
        <w:rPr>
          <w:rFonts w:ascii="宋体" w:hAnsi="宋体" w:cs="宋体" w:eastAsia="宋体" w:hint="default"/>
          <w:sz w:val="21"/>
          <w:szCs w:val="21"/>
        </w:rPr>
      </w:r>
    </w:p>
    <w:tbl>
      <w:tblPr>
        <w:tblW w:w="0" w:type="auto"/>
        <w:jc w:val="left"/>
        <w:tblInd w:w="755" w:type="dxa"/>
        <w:tblLayout w:type="fixed"/>
        <w:tblCellMar>
          <w:top w:w="0" w:type="dxa"/>
          <w:left w:w="0" w:type="dxa"/>
          <w:bottom w:w="0" w:type="dxa"/>
          <w:right w:w="0" w:type="dxa"/>
        </w:tblCellMar>
        <w:tblLook w:val="01E0"/>
      </w:tblPr>
      <w:tblGrid>
        <w:gridCol w:w="3055"/>
        <w:gridCol w:w="1913"/>
        <w:gridCol w:w="2845"/>
      </w:tblGrid>
      <w:tr>
        <w:trPr>
          <w:trHeight w:val="342" w:hRule="exact"/>
        </w:trPr>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20"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42" w:hRule="exact"/>
        </w:trPr>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土地使用权权证规定年限</w:t>
            </w:r>
          </w:p>
        </w:tc>
      </w:tr>
      <w:tr>
        <w:trPr>
          <w:trHeight w:val="342" w:hRule="exact"/>
        </w:trPr>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专利权有效期</w:t>
            </w:r>
          </w:p>
        </w:tc>
      </w:tr>
      <w:tr>
        <w:trPr>
          <w:trHeight w:val="342" w:hRule="exact"/>
        </w:trPr>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会计估计</w:t>
            </w:r>
          </w:p>
        </w:tc>
      </w:tr>
    </w:tbl>
    <w:p>
      <w:pPr>
        <w:spacing w:line="408" w:lineRule="auto" w:before="63"/>
        <w:ind w:left="786" w:right="2132" w:firstLine="76"/>
        <w:jc w:val="left"/>
        <w:rPr>
          <w:rFonts w:ascii="宋体" w:hAnsi="宋体" w:cs="宋体" w:eastAsia="宋体" w:hint="default"/>
          <w:sz w:val="21"/>
          <w:szCs w:val="21"/>
        </w:rPr>
      </w:pPr>
      <w:r>
        <w:rPr>
          <w:rFonts w:ascii="宋体" w:hAnsi="宋体" w:cs="宋体" w:eastAsia="宋体" w:hint="default"/>
          <w:sz w:val="21"/>
          <w:szCs w:val="21"/>
        </w:rPr>
        <w:t>每年度终了，对使用寿命有限的无形资产的使用寿命及摊销方法进行复核。 经复核，本年期末无形资产的使用寿命及摊销方法与以前估计未有不同。 </w:t>
      </w:r>
      <w:r>
        <w:rPr>
          <w:rFonts w:ascii="宋体" w:hAnsi="宋体" w:cs="宋体" w:eastAsia="宋体" w:hint="default"/>
          <w:b/>
          <w:bCs/>
          <w:sz w:val="21"/>
          <w:szCs w:val="21"/>
        </w:rPr>
        <w:t>3.使用寿命不确定的无形资产的判断依据以及对其使用寿命进行复核的程序</w:t>
      </w:r>
      <w:r>
        <w:rPr>
          <w:rFonts w:ascii="宋体" w:hAnsi="宋体" w:cs="宋体" w:eastAsia="宋体" w:hint="default"/>
          <w:sz w:val="21"/>
          <w:szCs w:val="21"/>
        </w:rPr>
      </w:r>
    </w:p>
    <w:p>
      <w:pPr>
        <w:pStyle w:val="BodyText"/>
        <w:spacing w:line="386" w:lineRule="auto"/>
        <w:ind w:left="863" w:right="139" w:firstLine="420"/>
        <w:jc w:val="left"/>
      </w:pPr>
      <w:r>
        <w:rPr>
          <w:spacing w:val="-2"/>
        </w:rPr>
        <w:t>本公司拥有</w:t>
      </w:r>
      <w:r>
        <w:rPr>
          <w:rFonts w:ascii="Times New Roman" w:hAnsi="Times New Roman" w:cs="Times New Roman" w:eastAsia="Times New Roman" w:hint="default"/>
          <w:spacing w:val="-2"/>
        </w:rPr>
        <w:t>“</w:t>
      </w:r>
      <w:r>
        <w:rPr>
          <w:spacing w:val="-2"/>
        </w:rPr>
        <w:t>新开普</w:t>
      </w:r>
      <w:r>
        <w:rPr>
          <w:rFonts w:ascii="Times New Roman" w:hAnsi="Times New Roman" w:cs="Times New Roman" w:eastAsia="Times New Roman" w:hint="default"/>
          <w:spacing w:val="-2"/>
        </w:rPr>
        <w:t>”</w:t>
      </w:r>
      <w:r>
        <w:rPr>
          <w:spacing w:val="-2"/>
        </w:rPr>
        <w:t>商标，本公司认为在可预见的将来该商标均会使用并带给本公司预期的经</w:t>
      </w:r>
      <w:r>
        <w:rPr/>
        <w:t> 济利益流入，故认定其使用寿命为不确定。</w:t>
      </w:r>
    </w:p>
    <w:p>
      <w:pPr>
        <w:pStyle w:val="BodyText"/>
        <w:spacing w:line="408" w:lineRule="auto" w:before="65"/>
        <w:ind w:left="1283" w:right="2971"/>
        <w:jc w:val="left"/>
      </w:pPr>
      <w:r>
        <w:rPr/>
        <w:t>每期末，对使用寿命不确定的无形资产的使用寿命进行复核。 经复核，该类无形资产的使用寿命仍为不确定。</w:t>
      </w:r>
    </w:p>
    <w:p>
      <w:pPr>
        <w:spacing w:line="240" w:lineRule="auto" w:before="8"/>
        <w:rPr>
          <w:rFonts w:ascii="宋体" w:hAnsi="宋体" w:cs="宋体" w:eastAsia="宋体" w:hint="default"/>
          <w:sz w:val="20"/>
          <w:szCs w:val="20"/>
        </w:rPr>
      </w:pPr>
    </w:p>
    <w:p>
      <w:pPr>
        <w:pStyle w:val="Heading4"/>
        <w:spacing w:line="240" w:lineRule="auto"/>
        <w:ind w:right="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30"/>
          <w:szCs w:val="30"/>
        </w:rPr>
      </w:pPr>
    </w:p>
    <w:p>
      <w:pPr>
        <w:spacing w:line="398" w:lineRule="auto" w:before="0"/>
        <w:ind w:left="1145" w:right="133" w:hanging="4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、划分研究阶段和开发阶段的具体标准</w:t>
      </w:r>
      <w:r>
        <w:rPr>
          <w:rFonts w:ascii="宋体" w:hAnsi="宋体" w:cs="宋体" w:eastAsia="宋体" w:hint="default"/>
          <w:b/>
          <w:bCs/>
          <w:w w:val="99"/>
          <w:sz w:val="21"/>
          <w:szCs w:val="21"/>
        </w:rPr>
        <w:t> </w:t>
      </w:r>
      <w:r>
        <w:rPr>
          <w:rFonts w:ascii="宋体" w:hAnsi="宋体" w:cs="宋体" w:eastAsia="宋体" w:hint="default"/>
          <w:sz w:val="21"/>
          <w:szCs w:val="21"/>
        </w:rPr>
        <w:t>公司内部研究开发项目的支出分为研究阶段支出和开发阶段支出。 研究阶段：为获取并理解新的科学或技术知识等而进行的独创性的有计划调查、研究活动的阶</w:t>
      </w:r>
    </w:p>
    <w:p>
      <w:pPr>
        <w:pStyle w:val="BodyText"/>
        <w:spacing w:line="240" w:lineRule="auto" w:before="54"/>
        <w:ind w:left="721" w:right="133"/>
        <w:jc w:val="left"/>
      </w:pPr>
      <w:r>
        <w:rPr/>
        <w:t>段。</w:t>
      </w:r>
    </w:p>
    <w:p>
      <w:pPr>
        <w:spacing w:line="240" w:lineRule="auto" w:before="10"/>
        <w:rPr>
          <w:rFonts w:ascii="宋体" w:hAnsi="宋体" w:cs="宋体" w:eastAsia="宋体" w:hint="default"/>
          <w:sz w:val="14"/>
          <w:szCs w:val="14"/>
        </w:rPr>
      </w:pPr>
    </w:p>
    <w:p>
      <w:pPr>
        <w:pStyle w:val="BodyText"/>
        <w:spacing w:line="408" w:lineRule="auto" w:before="0"/>
        <w:ind w:left="721" w:right="133" w:firstLine="423"/>
        <w:jc w:val="left"/>
        <w:rPr>
          <w:rFonts w:ascii="宋体" w:hAnsi="宋体" w:cs="宋体" w:eastAsia="宋体" w:hint="default"/>
        </w:rPr>
      </w:pPr>
      <w:r>
        <w:rPr/>
        <w:t>开发阶段：在进行商业性生产或使用前，将研究成果或其他知识应用于某项计划或设计，以生 产出新的或具有实质性改进的材料、装置、产品等活动的阶段。 </w:t>
      </w:r>
      <w:r>
        <w:rPr>
          <w:rFonts w:ascii="Times New Roman" w:hAnsi="Times New Roman" w:cs="Times New Roman" w:eastAsia="Times New Roman" w:hint="default"/>
          <w:b/>
          <w:bCs/>
        </w:rPr>
        <w:t>2</w:t>
      </w:r>
      <w:r>
        <w:rPr>
          <w:rFonts w:ascii="宋体" w:hAnsi="宋体" w:cs="宋体" w:eastAsia="宋体" w:hint="default"/>
          <w:b/>
          <w:bCs/>
        </w:rPr>
        <w:t>、开发阶段支出资本化的具体条件</w:t>
      </w:r>
      <w:r>
        <w:rPr>
          <w:rFonts w:ascii="宋体" w:hAnsi="宋体" w:cs="宋体" w:eastAsia="宋体" w:hint="default"/>
        </w:rPr>
      </w:r>
    </w:p>
    <w:p>
      <w:pPr>
        <w:pStyle w:val="BodyText"/>
        <w:spacing w:line="240" w:lineRule="auto" w:before="14"/>
        <w:ind w:left="1145" w:right="133"/>
        <w:jc w:val="left"/>
      </w:pPr>
      <w:r>
        <w:rPr/>
        <w:t>内部研究开发项目开发阶段的支出，同时满足下列条件时确认为无形资产：</w:t>
      </w:r>
    </w:p>
    <w:p>
      <w:pPr>
        <w:spacing w:line="240" w:lineRule="auto" w:before="10"/>
        <w:rPr>
          <w:rFonts w:ascii="宋体" w:hAnsi="宋体" w:cs="宋体" w:eastAsia="宋体" w:hint="default"/>
          <w:sz w:val="14"/>
          <w:szCs w:val="14"/>
        </w:rPr>
      </w:pPr>
    </w:p>
    <w:p>
      <w:pPr>
        <w:pStyle w:val="BodyText"/>
        <w:spacing w:line="240" w:lineRule="auto" w:before="0"/>
        <w:ind w:left="1145" w:right="13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77"/>
        <w:ind w:left="1145" w:right="13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86" w:lineRule="auto" w:before="177"/>
        <w:ind w:left="721" w:right="133" w:firstLine="423"/>
        <w:jc w:val="left"/>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w:t>
      </w:r>
      <w:r>
        <w:rPr/>
        <w:t> 资产自身存在市场，无形资产将在内部使用的，能够证明其有用性；</w:t>
      </w:r>
    </w:p>
    <w:p>
      <w:pPr>
        <w:pStyle w:val="BodyText"/>
        <w:spacing w:line="240" w:lineRule="auto" w:before="65"/>
        <w:ind w:left="1145"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left="721" w:right="102"/>
        <w:jc w:val="left"/>
      </w:pPr>
      <w:r>
        <w:rPr/>
        <w:t>售该无形资产；</w:t>
      </w:r>
    </w:p>
    <w:p>
      <w:pPr>
        <w:spacing w:line="240" w:lineRule="auto" w:before="10"/>
        <w:rPr>
          <w:rFonts w:ascii="宋体" w:hAnsi="宋体" w:cs="宋体" w:eastAsia="宋体" w:hint="default"/>
          <w:sz w:val="14"/>
          <w:szCs w:val="14"/>
        </w:rPr>
      </w:pPr>
    </w:p>
    <w:p>
      <w:pPr>
        <w:pStyle w:val="BodyText"/>
        <w:spacing w:line="386" w:lineRule="auto" w:before="0"/>
        <w:ind w:left="1145" w:right="102" w:hanging="1"/>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w:t>
      </w:r>
    </w:p>
    <w:p>
      <w:pPr>
        <w:pStyle w:val="BodyText"/>
        <w:spacing w:line="240" w:lineRule="auto" w:before="65"/>
        <w:ind w:left="721" w:right="102"/>
        <w:jc w:val="left"/>
      </w:pPr>
      <w:r>
        <w:rPr/>
        <w:t>计入当期损益。</w:t>
      </w:r>
    </w:p>
    <w:p>
      <w:pPr>
        <w:spacing w:line="240" w:lineRule="auto" w:before="0"/>
        <w:rPr>
          <w:rFonts w:ascii="宋体" w:hAnsi="宋体" w:cs="宋体" w:eastAsia="宋体" w:hint="default"/>
          <w:sz w:val="20"/>
          <w:szCs w:val="20"/>
        </w:rPr>
      </w:pPr>
    </w:p>
    <w:p>
      <w:pPr>
        <w:pStyle w:val="Heading4"/>
        <w:spacing w:line="240" w:lineRule="auto" w:before="154"/>
        <w:ind w:right="102"/>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80" w:right="209" w:firstLine="423"/>
        <w:jc w:val="both"/>
      </w:pPr>
      <w:r>
        <w:rPr>
          <w:spacing w:val="-1"/>
        </w:rPr>
        <w:t>长期股权投资、采用成本模式计量的投资性房地产、固定资产、在建工程、使用寿命有限的无形</w:t>
      </w:r>
      <w:r>
        <w:rPr/>
        <w:t> </w:t>
      </w:r>
      <w:r>
        <w:rPr>
          <w:spacing w:val="-1"/>
        </w:rPr>
        <w:t>资产等长期资产，于资产负债表日存在减值迹象的，进行减值测试。减值测试结果表明资产的可收回</w:t>
      </w:r>
      <w:r>
        <w:rPr>
          <w:spacing w:val="-91"/>
        </w:rPr>
        <w:t> </w:t>
      </w:r>
      <w:r>
        <w:rPr>
          <w:spacing w:val="-91"/>
        </w:rPr>
      </w:r>
      <w:r>
        <w:rPr>
          <w:spacing w:val="-1"/>
        </w:rPr>
        <w:t>金额低于其账面价值的，按其差额计提减值准备并计入减值损失。可收回金额为资产的公允价值减去</w:t>
      </w:r>
      <w:r>
        <w:rPr>
          <w:spacing w:val="-91"/>
        </w:rPr>
        <w:t> </w:t>
      </w:r>
      <w:r>
        <w:rPr>
          <w:spacing w:val="-91"/>
        </w:rPr>
      </w:r>
      <w:r>
        <w:rPr>
          <w:spacing w:val="-1"/>
        </w:rPr>
        <w:t>处置费用后的净额与资产预计未来现金流量的现值两者之间的较高者。资产减值准备按单项资产为基</w:t>
      </w:r>
      <w:r>
        <w:rPr>
          <w:spacing w:val="-89"/>
        </w:rPr>
        <w:t> </w:t>
      </w:r>
      <w:r>
        <w:rPr>
          <w:spacing w:val="-89"/>
        </w:rPr>
      </w:r>
      <w:r>
        <w:rPr>
          <w:spacing w:val="-1"/>
        </w:rPr>
        <w:t>础计算并确认，如果难以对单项资产的可收回金额进行估计的，以该资产所属的资产组确定资产组的</w:t>
      </w:r>
      <w:r>
        <w:rPr>
          <w:spacing w:val="-91"/>
        </w:rPr>
        <w:t> </w:t>
      </w:r>
      <w:r>
        <w:rPr>
          <w:spacing w:val="-91"/>
        </w:rPr>
      </w:r>
      <w:r>
        <w:rPr/>
        <w:t>可收回金额。资产组是能够独立产生现金流入的最小资产组合。</w:t>
      </w:r>
    </w:p>
    <w:p>
      <w:pPr>
        <w:pStyle w:val="BodyText"/>
        <w:spacing w:line="408" w:lineRule="auto"/>
        <w:ind w:left="1003" w:right="203"/>
        <w:jc w:val="left"/>
      </w:pPr>
      <w:r>
        <w:rPr/>
        <w:t>商誉和使用寿命不确定的无形资产至少在每年年度终了进行减值测试。 </w:t>
      </w:r>
      <w:r>
        <w:rPr>
          <w:spacing w:val="-1"/>
        </w:rPr>
        <w:t>本公司进行商誉减值测试，对于因企业合并形成的商誉的账面价值，自购买日起按照合理的方法</w:t>
      </w:r>
    </w:p>
    <w:p>
      <w:pPr>
        <w:pStyle w:val="BodyText"/>
        <w:spacing w:line="408" w:lineRule="auto"/>
        <w:ind w:left="580" w:right="209"/>
        <w:jc w:val="both"/>
      </w:pPr>
      <w:r>
        <w:rPr>
          <w:spacing w:val="-1"/>
        </w:rPr>
        <w:t>分摊至相关的资产组；难以分摊至相关的资产组的，将其分摊至相关的资产组组合。在将商誉的账面</w:t>
      </w:r>
      <w:r>
        <w:rPr>
          <w:spacing w:val="-91"/>
        </w:rPr>
        <w:t> </w:t>
      </w:r>
      <w:r>
        <w:rPr>
          <w:spacing w:val="-91"/>
        </w:rPr>
      </w:r>
      <w:r>
        <w:rPr>
          <w:spacing w:val="-1"/>
        </w:rPr>
        <w:t>价值分摊至相关的资产组或者资产组组合时，按照各资产组或者资产组组合的公允价值占相关资产组</w:t>
      </w:r>
      <w:r>
        <w:rPr>
          <w:spacing w:val="-89"/>
        </w:rPr>
        <w:t> </w:t>
      </w:r>
      <w:r>
        <w:rPr>
          <w:spacing w:val="-89"/>
        </w:rPr>
      </w:r>
      <w:r>
        <w:rPr>
          <w:spacing w:val="-1"/>
        </w:rPr>
        <w:t>或者资产组组合公允价值总额的比例进行分摊。公允价值难以可靠计量的，按照各资产组或者资产组</w:t>
      </w:r>
      <w:r>
        <w:rPr>
          <w:spacing w:val="-91"/>
        </w:rPr>
        <w:t> </w:t>
      </w:r>
      <w:r>
        <w:rPr>
          <w:spacing w:val="-91"/>
        </w:rPr>
      </w:r>
      <w:r>
        <w:rPr/>
        <w:t>组合的账面价值占相关资产组或者资产组组合账面价值总额的比例进行分摊。</w:t>
      </w:r>
    </w:p>
    <w:p>
      <w:pPr>
        <w:pStyle w:val="BodyText"/>
        <w:spacing w:line="408" w:lineRule="auto"/>
        <w:ind w:left="580" w:right="89" w:firstLine="423"/>
        <w:jc w:val="left"/>
      </w:pPr>
      <w:r>
        <w:rPr/>
        <w:t>在对包含商誉的相关资产组或者资产组组合进行减值测试时，如与商誉相关的资产组或者资产组 组合存在减值迹象的，先对不包含商誉的资产组或者资产组组合进行减值测试，计算可收回金额，并 </w:t>
      </w:r>
      <w:r>
        <w:rPr>
          <w:spacing w:val="-3"/>
        </w:rPr>
        <w:t>与相关账面价值相比较，确认相应的减值损失。再对包含商誉的资产组或者资产组组合进行减值测试，</w:t>
      </w:r>
      <w:r>
        <w:rPr>
          <w:spacing w:val="-102"/>
        </w:rPr>
        <w:t> </w:t>
      </w:r>
      <w:r>
        <w:rPr>
          <w:spacing w:val="-102"/>
        </w:rPr>
      </w:r>
      <w:r>
        <w:rPr/>
        <w:t>比较这些相关资产组或者资产组组合的账面价值（包括所分摊的商誉的账面价值部分）与其可收回金</w:t>
      </w:r>
      <w:r>
        <w:rPr/>
        <w:t> 额，如相关资产组或者资产组组合的可收回金额低于其账面价值的，确认商誉的减值损失。</w:t>
      </w:r>
      <w:r>
        <w:rPr>
          <w:spacing w:val="-21"/>
        </w:rPr>
        <w:t> </w:t>
      </w:r>
      <w:r>
        <w:rPr/>
        <w:t>上述资</w:t>
      </w:r>
      <w:r>
        <w:rPr/>
        <w:t> 产减值损失一经确认，在以后会计期间不予转回。</w:t>
      </w:r>
    </w:p>
    <w:p>
      <w:pPr>
        <w:spacing w:line="240" w:lineRule="auto" w:before="8"/>
        <w:rPr>
          <w:rFonts w:ascii="宋体" w:hAnsi="宋体" w:cs="宋体" w:eastAsia="宋体" w:hint="default"/>
          <w:sz w:val="20"/>
          <w:szCs w:val="20"/>
        </w:rPr>
      </w:pPr>
    </w:p>
    <w:p>
      <w:pPr>
        <w:pStyle w:val="Heading4"/>
        <w:spacing w:line="240" w:lineRule="auto"/>
        <w:ind w:right="102"/>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8" w:right="1216"/>
        <w:jc w:val="left"/>
      </w:pPr>
      <w:r>
        <w:rPr/>
        <w:t>长期待摊费用为已经发生但应由本期和以后各期负担的分摊期限在一年以上的各项费用。 长期待摊费用在受益期内平均摊销。</w:t>
      </w:r>
    </w:p>
    <w:p>
      <w:pPr>
        <w:spacing w:after="0" w:line="408" w:lineRule="auto"/>
        <w:jc w:val="left"/>
        <w:sectPr>
          <w:pgSz w:w="11910" w:h="16840"/>
          <w:pgMar w:header="877" w:footer="982" w:top="1100" w:bottom="1180" w:left="980" w:right="920"/>
        </w:sectPr>
      </w:pPr>
    </w:p>
    <w:p>
      <w:pPr>
        <w:spacing w:line="240" w:lineRule="auto" w:before="10"/>
        <w:rPr>
          <w:rFonts w:ascii="宋体" w:hAnsi="宋体" w:cs="宋体" w:eastAsia="宋体" w:hint="default"/>
          <w:sz w:val="20"/>
          <w:szCs w:val="20"/>
        </w:rPr>
      </w:pPr>
    </w:p>
    <w:p>
      <w:pPr>
        <w:pStyle w:val="Heading4"/>
        <w:spacing w:line="240" w:lineRule="auto" w:before="35"/>
        <w:ind w:right="102"/>
        <w:jc w:val="left"/>
        <w:rPr>
          <w:b w:val="0"/>
          <w:bCs w:val="0"/>
        </w:rPr>
      </w:pPr>
      <w:r>
        <w:rPr>
          <w:rFonts w:ascii="Times New Roman" w:hAnsi="Times New Roman" w:cs="Times New Roman" w:eastAsia="Times New Roman" w:hint="default"/>
        </w:rPr>
        <w:t>22</w:t>
      </w:r>
      <w:r>
        <w:rPr/>
        <w:t>、职工薪酬</w:t>
      </w:r>
      <w:r>
        <w:rPr>
          <w:b w:val="0"/>
          <w:bCs w:val="0"/>
        </w:rPr>
      </w:r>
    </w:p>
    <w:p>
      <w:pPr>
        <w:spacing w:line="690" w:lineRule="exact" w:before="15"/>
        <w:ind w:left="1002" w:right="204" w:hanging="849"/>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w:t>
      </w:r>
    </w:p>
    <w:p>
      <w:pPr>
        <w:pStyle w:val="BodyText"/>
        <w:spacing w:line="408" w:lineRule="auto" w:before="84"/>
        <w:ind w:left="1002" w:right="204" w:hanging="424"/>
        <w:jc w:val="left"/>
      </w:pPr>
      <w:r>
        <w:rPr/>
        <w:t>益或相关资产成本。 </w:t>
      </w:r>
      <w:r>
        <w:rPr>
          <w:spacing w:val="-1"/>
        </w:rPr>
        <w:t>本公司为职工缴纳的社会保险费和住房公积金，以及按规定提取的工会经费和职工教育经费，在</w:t>
      </w:r>
    </w:p>
    <w:p>
      <w:pPr>
        <w:pStyle w:val="BodyText"/>
        <w:spacing w:line="408" w:lineRule="auto"/>
        <w:ind w:left="1002" w:right="102" w:hanging="424"/>
        <w:jc w:val="left"/>
      </w:pPr>
      <w:r>
        <w:rPr/>
        <w:t>职工为本公司提供服务的会计期间，根据规定的计提基础和计提比例计算确定相应的职工薪酬金额。</w:t>
      </w:r>
      <w:r>
        <w:rPr>
          <w:spacing w:val="-40"/>
        </w:rPr>
        <w:t> </w:t>
      </w:r>
      <w:r>
        <w:rPr>
          <w:spacing w:val="-40"/>
        </w:rPr>
      </w:r>
      <w:r>
        <w:rPr/>
        <w:t>职工福利费为非货币性福利的，如能够可靠计量的，按照公允价值计量。</w:t>
      </w:r>
    </w:p>
    <w:p>
      <w:pPr>
        <w:spacing w:line="240" w:lineRule="auto" w:before="8"/>
        <w:rPr>
          <w:rFonts w:ascii="宋体" w:hAnsi="宋体" w:cs="宋体" w:eastAsia="宋体" w:hint="default"/>
          <w:sz w:val="20"/>
          <w:szCs w:val="20"/>
        </w:rPr>
      </w:pPr>
    </w:p>
    <w:p>
      <w:pPr>
        <w:pStyle w:val="Heading4"/>
        <w:spacing w:line="240" w:lineRule="auto"/>
        <w:ind w:left="153" w:right="102"/>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998" w:right="208" w:hanging="419"/>
        <w:jc w:val="left"/>
      </w:pPr>
      <w:r>
        <w:rPr/>
        <w:t>（</w:t>
      </w:r>
      <w:r>
        <w:rPr>
          <w:rFonts w:ascii="Times New Roman" w:hAnsi="Times New Roman" w:cs="Times New Roman" w:eastAsia="Times New Roman" w:hint="default"/>
        </w:rPr>
        <w:t>1</w:t>
      </w:r>
      <w:r>
        <w:rPr/>
        <w:t>）设定提存计划 </w:t>
      </w:r>
      <w:r>
        <w:rPr>
          <w:spacing w:val="-1"/>
        </w:rPr>
        <w:t>本公司按当地政府的相关规定为职工缴纳基本养老保险和失业保险，在职工为本公司提供服务的</w:t>
      </w:r>
    </w:p>
    <w:p>
      <w:pPr>
        <w:pStyle w:val="BodyText"/>
        <w:spacing w:line="408" w:lineRule="auto" w:before="65"/>
        <w:ind w:left="578" w:right="210"/>
        <w:jc w:val="left"/>
      </w:pPr>
      <w:r>
        <w:rPr>
          <w:spacing w:val="-1"/>
        </w:rPr>
        <w:t>会计期间，按以当地规定的缴纳基数和比例计算应缴纳金额，确认为负债，并计入当期损益或相关资</w:t>
      </w:r>
      <w:r>
        <w:rPr>
          <w:spacing w:val="-92"/>
        </w:rPr>
        <w:t> </w:t>
      </w:r>
      <w:r>
        <w:rPr>
          <w:spacing w:val="-92"/>
        </w:rPr>
      </w:r>
      <w:r>
        <w:rPr/>
        <w:t>产成本。</w:t>
      </w:r>
    </w:p>
    <w:p>
      <w:pPr>
        <w:pStyle w:val="BodyText"/>
        <w:spacing w:line="398" w:lineRule="auto"/>
        <w:ind w:left="578" w:right="208" w:firstLine="420"/>
        <w:jc w:val="both"/>
      </w:pPr>
      <w:r>
        <w:rPr>
          <w:spacing w:val="-1"/>
        </w:rPr>
        <w:t>除基本养老保险外，本公司还依据国家企业年金制度的相关政策建立了企业年金缴费制度（补充</w:t>
      </w:r>
      <w:r>
        <w:rPr/>
        <w:t> 养老保险）</w:t>
      </w:r>
      <w:r>
        <w:rPr>
          <w:rFonts w:ascii="Times New Roman" w:hAnsi="Times New Roman" w:cs="Times New Roman" w:eastAsia="Times New Roman" w:hint="default"/>
        </w:rPr>
        <w:t>/</w:t>
      </w:r>
      <w:r>
        <w:rPr/>
        <w:t>企业年金计划。本公司按职工工资总额的一定比例向当地社会保险机构缴费</w:t>
      </w:r>
      <w:r>
        <w:rPr>
          <w:rFonts w:ascii="Times New Roman" w:hAnsi="Times New Roman" w:cs="Times New Roman" w:eastAsia="Times New Roman" w:hint="default"/>
        </w:rPr>
        <w:t>/</w:t>
      </w:r>
      <w:r>
        <w:rPr/>
        <w:t>年金计划缴</w:t>
      </w:r>
      <w:r>
        <w:rPr>
          <w:spacing w:val="-50"/>
        </w:rPr>
        <w:t> </w:t>
      </w:r>
      <w:r>
        <w:rPr>
          <w:spacing w:val="-50"/>
        </w:rPr>
      </w:r>
      <w:r>
        <w:rPr/>
        <w:t>费，相应支出计入当期损益或相关资产成本。</w:t>
      </w:r>
    </w:p>
    <w:p>
      <w:pPr>
        <w:pStyle w:val="BodyText"/>
        <w:spacing w:line="386" w:lineRule="auto" w:before="54"/>
        <w:ind w:left="998" w:right="102" w:hanging="419"/>
        <w:jc w:val="left"/>
      </w:pPr>
      <w:r>
        <w:rPr/>
        <w:t>（</w:t>
      </w:r>
      <w:r>
        <w:rPr>
          <w:rFonts w:ascii="Times New Roman" w:hAnsi="Times New Roman" w:cs="Times New Roman" w:eastAsia="Times New Roman" w:hint="default"/>
        </w:rPr>
        <w:t>2</w:t>
      </w:r>
      <w:r>
        <w:rPr/>
        <w:t>）设定受益计划 </w:t>
      </w:r>
      <w:r>
        <w:rPr>
          <w:spacing w:val="3"/>
        </w:rPr>
        <w:t>本公司根据预期累计福利单位法确定的公式将设定受益计划产生的福利义务归属于职工提供服</w:t>
      </w:r>
    </w:p>
    <w:p>
      <w:pPr>
        <w:pStyle w:val="BodyText"/>
        <w:spacing w:line="408" w:lineRule="auto" w:before="65"/>
        <w:ind w:left="998" w:right="102" w:hanging="420"/>
        <w:jc w:val="left"/>
      </w:pPr>
      <w:r>
        <w:rPr/>
        <w:t>务的期间，并计入当期损益或相关资产成本。 </w:t>
      </w:r>
      <w:r>
        <w:rPr>
          <w:spacing w:val="3"/>
        </w:rPr>
        <w:t>设定受益计划义务现值减去设定受益计划资产公允价值所形成的赤字或盈余确认为一项设定受</w:t>
      </w:r>
    </w:p>
    <w:p>
      <w:pPr>
        <w:pStyle w:val="BodyText"/>
        <w:spacing w:line="408" w:lineRule="auto"/>
        <w:ind w:left="578" w:right="102"/>
        <w:jc w:val="left"/>
      </w:pPr>
      <w:r>
        <w:rPr>
          <w:spacing w:val="-1"/>
        </w:rPr>
        <w:t>益计划净负债或净资产。设定受益计划存在盈余的，本公司以设定受益计划的盈余和资产上限两项的</w:t>
      </w:r>
      <w:r>
        <w:rPr>
          <w:spacing w:val="-89"/>
        </w:rPr>
        <w:t> </w:t>
      </w:r>
      <w:r>
        <w:rPr>
          <w:spacing w:val="-89"/>
        </w:rPr>
      </w:r>
      <w:r>
        <w:rPr/>
        <w:t>孰低者计量设定受益计划净资产。</w:t>
      </w:r>
    </w:p>
    <w:p>
      <w:pPr>
        <w:pStyle w:val="BodyText"/>
        <w:spacing w:line="408" w:lineRule="auto"/>
        <w:ind w:left="578" w:right="211" w:firstLine="420"/>
        <w:jc w:val="both"/>
      </w:pPr>
      <w:r>
        <w:rPr>
          <w:spacing w:val="-1"/>
        </w:rPr>
        <w:t>所有设定受益计划义务，包括预期在职工提供服务的年度报告期间结束后的十二个月内支付的义</w:t>
      </w:r>
      <w:r>
        <w:rPr/>
        <w:t> </w:t>
      </w:r>
      <w:r>
        <w:rPr>
          <w:spacing w:val="-1"/>
        </w:rPr>
        <w:t>务，根据资产负债表日与设定受益计划义务期限和币种相匹配的国债或活跃市场上的高质量公司债券</w:t>
      </w:r>
      <w:r>
        <w:rPr>
          <w:spacing w:val="-89"/>
        </w:rPr>
        <w:t> </w:t>
      </w:r>
      <w:r>
        <w:rPr>
          <w:spacing w:val="-89"/>
        </w:rPr>
      </w:r>
      <w:r>
        <w:rPr/>
        <w:t>的市场收益率予以折现。</w:t>
      </w:r>
    </w:p>
    <w:p>
      <w:pPr>
        <w:pStyle w:val="BodyText"/>
        <w:spacing w:line="408" w:lineRule="auto"/>
        <w:ind w:left="578" w:right="210" w:firstLine="420"/>
        <w:jc w:val="both"/>
      </w:pPr>
      <w:r>
        <w:rPr>
          <w:spacing w:val="3"/>
        </w:rPr>
        <w:t>设定受益计划产生的服务成本和设定受益计划净负债或净资产的利息净额计入当期损益或相关</w:t>
      </w:r>
      <w:r>
        <w:rPr/>
        <w:t> </w:t>
      </w:r>
      <w:r>
        <w:rPr>
          <w:spacing w:val="-1"/>
        </w:rPr>
        <w:t>资产成本；重新计量设定受益计划净负债或净资产所产生的变动计入其他综合收益，并且在后续会计</w:t>
      </w:r>
      <w:r>
        <w:rPr>
          <w:spacing w:val="-89"/>
        </w:rPr>
        <w:t> </w:t>
      </w:r>
      <w:r>
        <w:rPr>
          <w:spacing w:val="-89"/>
        </w:rPr>
      </w:r>
      <w:r>
        <w:rPr>
          <w:spacing w:val="-1"/>
        </w:rPr>
        <w:t>期间不转回至损益，在原设定受益计划终止时在权益范围内将原计入其他综合收益的部分全部结转至</w:t>
      </w:r>
      <w:r>
        <w:rPr>
          <w:spacing w:val="-89"/>
        </w:rPr>
        <w:t> </w:t>
      </w:r>
      <w:r>
        <w:rPr>
          <w:spacing w:val="-89"/>
        </w:rPr>
      </w:r>
      <w:r>
        <w:rPr/>
        <w:t>未分配利润。</w:t>
      </w:r>
    </w:p>
    <w:p>
      <w:pPr>
        <w:spacing w:after="0" w:line="40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578" w:right="310" w:firstLine="420"/>
        <w:jc w:val="both"/>
      </w:pPr>
      <w:r>
        <w:rPr>
          <w:spacing w:val="-1"/>
        </w:rPr>
        <w:t>在设定受益计划结算时，按在结算日确定的设定受益计划义务现值和结算价格两者的差额，确认</w:t>
      </w:r>
      <w:r>
        <w:rPr/>
        <w:t> 结算利得或损失。</w:t>
      </w:r>
    </w:p>
    <w:p>
      <w:pPr>
        <w:spacing w:line="240" w:lineRule="auto" w:before="8"/>
        <w:rPr>
          <w:rFonts w:ascii="宋体" w:hAnsi="宋体" w:cs="宋体" w:eastAsia="宋体" w:hint="default"/>
          <w:sz w:val="20"/>
          <w:szCs w:val="20"/>
        </w:rPr>
      </w:pPr>
    </w:p>
    <w:p>
      <w:pPr>
        <w:pStyle w:val="Heading4"/>
        <w:spacing w:line="240" w:lineRule="auto"/>
        <w:ind w:left="153" w:right="6871"/>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8" w:right="311" w:firstLine="423"/>
        <w:jc w:val="both"/>
      </w:pPr>
      <w:r>
        <w:rPr>
          <w:spacing w:val="-1"/>
        </w:rPr>
        <w:t>本公司在不能单方面撤回因解除劳动关系计划或裁减建议所提供的辞退福利时，或确认与涉及支</w:t>
      </w:r>
      <w:r>
        <w:rPr/>
        <w:t> </w:t>
      </w:r>
      <w:r>
        <w:rPr>
          <w:spacing w:val="-1"/>
        </w:rPr>
        <w:t>付辞退福利的重组相关的成本或费用时（两者孰早），确认辞退福利产生的职工薪酬负债，并计入当</w:t>
      </w:r>
      <w:r>
        <w:rPr>
          <w:spacing w:val="-92"/>
        </w:rPr>
        <w:t> </w:t>
      </w:r>
      <w:r>
        <w:rPr>
          <w:spacing w:val="-92"/>
        </w:rPr>
      </w:r>
      <w:r>
        <w:rPr/>
        <w:t>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ind w:right="305"/>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6871"/>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30"/>
          <w:szCs w:val="30"/>
        </w:rPr>
      </w:pPr>
    </w:p>
    <w:p>
      <w:pPr>
        <w:spacing w:line="386" w:lineRule="auto" w:before="0"/>
        <w:ind w:left="998" w:right="308" w:hanging="43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预计负债的确认标准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与诉讼、债务担保、亏损合同、重组事项等或有事项相关的义务同时满足下列条件时，本公司确</w:t>
      </w:r>
    </w:p>
    <w:p>
      <w:pPr>
        <w:pStyle w:val="BodyText"/>
        <w:spacing w:line="240" w:lineRule="auto" w:before="65"/>
        <w:ind w:left="578" w:right="6871"/>
        <w:jc w:val="left"/>
      </w:pPr>
      <w:r>
        <w:rPr/>
        <w:t>认为预计负债：</w:t>
      </w:r>
    </w:p>
    <w:p>
      <w:pPr>
        <w:spacing w:line="240" w:lineRule="auto" w:before="10"/>
        <w:rPr>
          <w:rFonts w:ascii="宋体" w:hAnsi="宋体" w:cs="宋体" w:eastAsia="宋体" w:hint="default"/>
          <w:sz w:val="14"/>
          <w:szCs w:val="14"/>
        </w:rPr>
      </w:pPr>
    </w:p>
    <w:p>
      <w:pPr>
        <w:pStyle w:val="BodyText"/>
        <w:spacing w:line="240" w:lineRule="auto" w:before="0"/>
        <w:ind w:left="578" w:right="305"/>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77"/>
        <w:ind w:left="578" w:right="305"/>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77"/>
        <w:ind w:left="578" w:right="305"/>
        <w:jc w:val="left"/>
      </w:pPr>
      <w:r>
        <w:rPr/>
        <w:t>（</w:t>
      </w:r>
      <w:r>
        <w:rPr>
          <w:rFonts w:ascii="Times New Roman" w:hAnsi="Times New Roman" w:cs="Times New Roman" w:eastAsia="Times New Roman" w:hint="default"/>
        </w:rPr>
        <w:t>3</w:t>
      </w:r>
      <w:r>
        <w:rPr/>
        <w:t>）该义务的金额能够可靠地计量。</w:t>
      </w:r>
    </w:p>
    <w:p>
      <w:pPr>
        <w:pStyle w:val="BodyText"/>
        <w:spacing w:line="398" w:lineRule="auto" w:before="177"/>
        <w:ind w:left="998" w:right="94" w:hanging="421"/>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8"/>
        </w:rPr>
        <w:t> </w:t>
      </w:r>
      <w:r>
        <w:rPr>
          <w:rFonts w:ascii="宋体" w:hAnsi="宋体" w:cs="宋体" w:eastAsia="宋体" w:hint="default"/>
          <w:b/>
          <w:bCs/>
        </w:rPr>
        <w:t>各类预计负债的计量方法</w:t>
      </w:r>
      <w:r>
        <w:rPr>
          <w:rFonts w:ascii="宋体" w:hAnsi="宋体" w:cs="宋体" w:eastAsia="宋体" w:hint="default"/>
          <w:b/>
          <w:bCs/>
          <w:w w:val="99"/>
        </w:rPr>
        <w:t> </w:t>
      </w:r>
      <w:r>
        <w:rPr/>
        <w:t>本公司预计负债按履行相关现时义务所需的支出的最佳估计数进行初始计量。 </w:t>
      </w:r>
      <w:r>
        <w:rPr>
          <w:spacing w:val="-4"/>
        </w:rPr>
        <w:t>本公司在确定最佳估计数时，综合考虑与或有事项有关的风险、不确定性和货币时间价值等因素。</w:t>
      </w:r>
    </w:p>
    <w:p>
      <w:pPr>
        <w:pStyle w:val="BodyText"/>
        <w:spacing w:line="408" w:lineRule="auto" w:before="54"/>
        <w:ind w:left="578" w:right="1526"/>
        <w:jc w:val="left"/>
      </w:pPr>
      <w:r>
        <w:rPr/>
        <w:t>对于货币时间价值影响重大的，通过对相关未来现金流出进行折现后确定最佳估计数。 最佳估计数分别以下情况处理：</w:t>
      </w:r>
    </w:p>
    <w:p>
      <w:pPr>
        <w:pStyle w:val="BodyText"/>
        <w:spacing w:line="408" w:lineRule="auto"/>
        <w:ind w:left="578" w:right="311" w:firstLine="420"/>
        <w:jc w:val="both"/>
      </w:pPr>
      <w:r>
        <w:rPr>
          <w:spacing w:val="-1"/>
        </w:rPr>
        <w:t>所需支出存在一个连续范围（或区间），且该范围内各种结果发生的可能性相同的，则最佳估计</w:t>
      </w:r>
      <w:r>
        <w:rPr/>
        <w:t> 数按照该范围的中间值即上下限金额的平均数确定。</w:t>
      </w:r>
    </w:p>
    <w:p>
      <w:pPr>
        <w:pStyle w:val="BodyText"/>
        <w:spacing w:line="408" w:lineRule="auto"/>
        <w:ind w:left="578" w:right="309" w:firstLine="411"/>
        <w:jc w:val="both"/>
      </w:pPr>
      <w:r>
        <w:rPr>
          <w:spacing w:val="-1"/>
        </w:rPr>
        <w:t>所需支出不存在一个连续范围（或区间），或虽然存在一个连续范围但该范围内各种结果发生的</w:t>
      </w:r>
      <w:r>
        <w:rPr/>
        <w:t> </w:t>
      </w:r>
      <w:r>
        <w:rPr>
          <w:spacing w:val="-1"/>
        </w:rPr>
        <w:t>可能性不相同的，如或有事项涉及单个项目的，则最佳估计数按照最可能发生金额确定；如或有事项</w:t>
      </w:r>
      <w:r>
        <w:rPr>
          <w:spacing w:val="-92"/>
        </w:rPr>
        <w:t> </w:t>
      </w:r>
      <w:r>
        <w:rPr>
          <w:spacing w:val="-92"/>
        </w:rPr>
      </w:r>
      <w:r>
        <w:rPr/>
        <w:t>涉及多个项目的，则最佳估计数按各种可能结果及相关概率计算确定。</w:t>
      </w:r>
    </w:p>
    <w:p>
      <w:pPr>
        <w:pStyle w:val="BodyText"/>
        <w:spacing w:line="408" w:lineRule="auto" w:before="87"/>
        <w:ind w:left="578" w:right="94" w:firstLine="411"/>
        <w:jc w:val="left"/>
      </w:pPr>
      <w:r>
        <w:rPr>
          <w:spacing w:val="-1"/>
        </w:rPr>
        <w:t>本公司清偿预计负债所需支出全部或部分预期由第三方补偿的，补偿金额在基本确定能够收到时，</w:t>
      </w:r>
      <w:r>
        <w:rPr/>
        <w:t> 作为资产单独确认，确认的补偿金额不超过预计负债的账面价值。</w:t>
      </w:r>
    </w:p>
    <w:p>
      <w:pPr>
        <w:spacing w:after="0" w:line="408" w:lineRule="auto"/>
        <w:jc w:val="left"/>
        <w:sectPr>
          <w:pgSz w:w="11910" w:h="16840"/>
          <w:pgMar w:header="877" w:footer="982" w:top="1100" w:bottom="1180" w:left="980" w:right="820"/>
        </w:sectPr>
      </w:pPr>
    </w:p>
    <w:p>
      <w:pPr>
        <w:spacing w:line="240" w:lineRule="auto" w:before="9"/>
        <w:rPr>
          <w:rFonts w:ascii="宋体" w:hAnsi="宋体" w:cs="宋体" w:eastAsia="宋体" w:hint="default"/>
          <w:sz w:val="20"/>
          <w:szCs w:val="20"/>
        </w:rPr>
      </w:pPr>
    </w:p>
    <w:p>
      <w:pPr>
        <w:pStyle w:val="Heading4"/>
        <w:spacing w:line="240" w:lineRule="auto" w:before="35"/>
        <w:ind w:right="102"/>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8"/>
        <w:rPr>
          <w:rFonts w:ascii="宋体" w:hAnsi="宋体" w:cs="宋体" w:eastAsia="宋体" w:hint="default"/>
          <w:b/>
          <w:bCs/>
          <w:sz w:val="30"/>
          <w:szCs w:val="30"/>
        </w:rPr>
      </w:pPr>
    </w:p>
    <w:p>
      <w:pPr>
        <w:pStyle w:val="BodyText"/>
        <w:spacing w:line="398" w:lineRule="auto" w:before="0"/>
        <w:ind w:left="579" w:right="232" w:firstLine="423"/>
        <w:jc w:val="left"/>
        <w:rPr>
          <w:rFonts w:ascii="宋体" w:hAnsi="宋体" w:cs="宋体" w:eastAsia="宋体" w:hint="default"/>
        </w:rPr>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 础确定的负债的交易。本公司的股份支付分为以权益结算的股份支付和以现金结算的股份支付。 </w:t>
      </w:r>
      <w:r>
        <w:rPr>
          <w:rFonts w:ascii="宋体" w:hAnsi="宋体" w:cs="宋体" w:eastAsia="宋体" w:hint="default"/>
          <w:b/>
          <w:bCs/>
        </w:rPr>
        <w:t>1.以权益结算的股份支付及权益工具</w:t>
      </w:r>
      <w:r>
        <w:rPr>
          <w:rFonts w:ascii="宋体" w:hAnsi="宋体" w:cs="宋体" w:eastAsia="宋体" w:hint="default"/>
        </w:rPr>
      </w:r>
    </w:p>
    <w:p>
      <w:pPr>
        <w:pStyle w:val="BodyText"/>
        <w:spacing w:line="403" w:lineRule="auto" w:before="54"/>
        <w:ind w:left="579" w:right="102" w:firstLine="423"/>
        <w:jc w:val="left"/>
      </w:pPr>
      <w:r>
        <w:rPr/>
        <w:t>以权益结算的股份支付换取职工提供服务的，以授予职工权益工具的公允价值计量。本公司以限 制性股票进行股份支付的，职工出资认购股票，股票在达到解锁条件并解锁前不得上市流通或转让；</w:t>
      </w:r>
      <w:r>
        <w:rPr>
          <w:spacing w:val="-41"/>
        </w:rPr>
        <w:t> </w:t>
      </w:r>
      <w:r>
        <w:rPr>
          <w:spacing w:val="-41"/>
        </w:rPr>
      </w:r>
      <w:r>
        <w:rPr/>
        <w:t>如果最终股权激励计划规定的解锁条件未能达到，则本公司按照事先约定的价格回购股票。本公司取</w:t>
      </w:r>
      <w:r>
        <w:rPr/>
        <w:t> 得职工认购限制性股票支付的款项时，按照取得的认股款确认股本和资本公积（股本溢价），同时就 </w:t>
      </w:r>
      <w:r>
        <w:rPr>
          <w:spacing w:val="-3"/>
        </w:rPr>
        <w:t>回购义务全额确认一项负债并确认库存股。在等待期内每个资产负债表日，本公司根据最新取得的</w:t>
      </w:r>
      <w:r>
        <w:rPr>
          <w:rFonts w:ascii="Times New Roman" w:hAnsi="Times New Roman" w:cs="Times New Roman" w:eastAsia="Times New Roman" w:hint="default"/>
          <w:spacing w:val="-3"/>
        </w:rPr>
        <w:t>[</w:t>
      </w:r>
      <w:r>
        <w:rPr>
          <w:spacing w:val="-3"/>
        </w:rPr>
        <w:t>可</w:t>
      </w:r>
      <w:r>
        <w:rPr>
          <w:spacing w:val="-70"/>
        </w:rPr>
        <w:t> </w:t>
      </w:r>
      <w:r>
        <w:rPr/>
        <w:t>行权职工人数变动</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w:t>
      </w:r>
      <w:r>
        <w:rPr>
          <w:rFonts w:ascii="Times New Roman" w:hAnsi="Times New Roman" w:cs="Times New Roman" w:eastAsia="Times New Roman" w:hint="default"/>
        </w:rPr>
        <w:t>[</w:t>
      </w:r>
      <w:r>
        <w:rPr/>
        <w:t>是否达到规定业绩条件</w:t>
      </w:r>
      <w:r>
        <w:rPr>
          <w:rFonts w:ascii="Times New Roman" w:hAnsi="Times New Roman" w:cs="Times New Roman" w:eastAsia="Times New Roman" w:hint="default"/>
        </w:rPr>
        <w:t>]</w:t>
      </w:r>
      <w:r>
        <w:rPr/>
        <w:t>等后续信息对可行权权益工具数量作出最佳估计，以 此为基础，按照授予日的公允价值，将当期取得的服务计入相关成本或费用，相应增加资本公积。在 可行权日之后不再对已确认的相关成本或费用和所有者权益总额进行调整。但授予后立即可行权的，</w:t>
      </w:r>
      <w:r>
        <w:rPr>
          <w:spacing w:val="-41"/>
        </w:rPr>
        <w:t> </w:t>
      </w:r>
      <w:r>
        <w:rPr>
          <w:spacing w:val="-41"/>
        </w:rPr>
      </w:r>
      <w:r>
        <w:rPr/>
        <w:t>在授予日按照公允价值计入相关成本或费用，相应增加资本公积。</w:t>
      </w:r>
    </w:p>
    <w:p>
      <w:pPr>
        <w:pStyle w:val="BodyText"/>
        <w:spacing w:line="408" w:lineRule="auto" w:before="50"/>
        <w:ind w:left="579" w:right="102" w:firstLine="423"/>
        <w:jc w:val="left"/>
      </w:pPr>
      <w:r>
        <w:rPr/>
        <w:t>对于最终未能行权的股份支付，不确认成本或费用，除非行权条件是市场条件或非可行权条件，</w:t>
      </w:r>
      <w:r>
        <w:rPr>
          <w:spacing w:val="2"/>
        </w:rPr>
        <w:t> </w:t>
      </w:r>
      <w:r>
        <w:rPr/>
        <w:t>此时无论是否满足市场条件或非可行权条件，只要满足所有可行权条件中的非市场条件，即视为可行</w:t>
      </w:r>
      <w:r>
        <w:rPr/>
        <w:t> 权。</w:t>
      </w:r>
    </w:p>
    <w:p>
      <w:pPr>
        <w:pStyle w:val="BodyText"/>
        <w:spacing w:line="408" w:lineRule="auto"/>
        <w:ind w:left="579" w:right="104" w:firstLine="423"/>
        <w:jc w:val="right"/>
      </w:pPr>
      <w:r>
        <w:rPr/>
        <w:t>如果修改了以权益结算的股份支付的条款，至少按照未修改条款的情况确认取得的服务。此外，</w:t>
      </w:r>
      <w:r>
        <w:rPr>
          <w:spacing w:val="2"/>
        </w:rPr>
        <w:t> </w:t>
      </w:r>
      <w:r>
        <w:rPr/>
        <w:t>任何增加所授予权益工具公允价值的修改，或在修改日对职工有利的变更，均确认取得服务的增加。</w:t>
      </w:r>
      <w:r>
        <w:rPr>
          <w:spacing w:val="-63"/>
        </w:rPr>
        <w:t> </w:t>
      </w:r>
      <w:r>
        <w:rPr>
          <w:spacing w:val="-63"/>
        </w:rPr>
      </w:r>
      <w:r>
        <w:rPr/>
        <w:t>如果取消了以权益结算的股份支付，则于取消日作为加速行权处理，立即确认尚未确认的金额。</w:t>
      </w:r>
    </w:p>
    <w:p>
      <w:pPr>
        <w:pStyle w:val="BodyText"/>
        <w:spacing w:line="408" w:lineRule="auto"/>
        <w:ind w:left="579" w:right="210"/>
        <w:jc w:val="both"/>
      </w:pPr>
      <w:r>
        <w:rPr>
          <w:spacing w:val="-1"/>
        </w:rPr>
        <w:t>职工或其他方能够选择满足非可行权条件但在等待期内未满足的，作为取消以权益结算的股份支付处</w:t>
      </w:r>
      <w:r>
        <w:rPr>
          <w:spacing w:val="-89"/>
        </w:rPr>
        <w:t> </w:t>
      </w:r>
      <w:r>
        <w:rPr>
          <w:spacing w:val="-89"/>
        </w:rPr>
      </w:r>
      <w:r>
        <w:rPr>
          <w:spacing w:val="-1"/>
        </w:rPr>
        <w:t>理。但是，如果授予新的权益工具，并在新权益工具授予日认定所授予的新权益工具是用于替代被取</w:t>
      </w:r>
      <w:r>
        <w:rPr>
          <w:spacing w:val="-91"/>
        </w:rPr>
        <w:t> </w:t>
      </w:r>
      <w:r>
        <w:rPr>
          <w:spacing w:val="-91"/>
        </w:rPr>
      </w:r>
      <w:r>
        <w:rPr>
          <w:spacing w:val="-1"/>
        </w:rPr>
        <w:t>消的权益工具的，则以与处理原权益工具条款和条件修改相同的方式，对所授予的替代权益工具进行</w:t>
      </w:r>
      <w:r>
        <w:rPr>
          <w:spacing w:val="-91"/>
        </w:rPr>
        <w:t> </w:t>
      </w:r>
      <w:r>
        <w:rPr>
          <w:spacing w:val="-91"/>
        </w:rPr>
      </w:r>
      <w:r>
        <w:rPr/>
        <w:t>处理。</w:t>
      </w:r>
    </w:p>
    <w:p>
      <w:pPr>
        <w:spacing w:line="408" w:lineRule="auto" w:before="46"/>
        <w:ind w:left="1003" w:right="203" w:hanging="428"/>
        <w:jc w:val="left"/>
        <w:rPr>
          <w:rFonts w:ascii="宋体" w:hAnsi="宋体" w:cs="宋体" w:eastAsia="宋体" w:hint="default"/>
          <w:sz w:val="21"/>
          <w:szCs w:val="21"/>
        </w:rPr>
      </w:pPr>
      <w:r>
        <w:rPr>
          <w:rFonts w:ascii="宋体" w:hAnsi="宋体" w:cs="宋体" w:eastAsia="宋体" w:hint="default"/>
          <w:b/>
          <w:bCs/>
          <w:sz w:val="21"/>
          <w:szCs w:val="21"/>
        </w:rPr>
        <w:t>2.以现金结算的股份支付及权益工具</w:t>
      </w:r>
      <w:r>
        <w:rPr>
          <w:rFonts w:ascii="宋体" w:hAnsi="宋体" w:cs="宋体" w:eastAsia="宋体" w:hint="default"/>
          <w:b/>
          <w:bCs/>
          <w:w w:val="99"/>
          <w:sz w:val="21"/>
          <w:szCs w:val="21"/>
        </w:rPr>
        <w:t> </w:t>
      </w:r>
      <w:r>
        <w:rPr>
          <w:rFonts w:ascii="宋体" w:hAnsi="宋体" w:cs="宋体" w:eastAsia="宋体" w:hint="default"/>
          <w:spacing w:val="-1"/>
          <w:sz w:val="21"/>
          <w:szCs w:val="21"/>
        </w:rPr>
        <w:t>以现金结算的股份支付，按照本公司承担的以股份或其他权益工具为基础计算确定的负债的公允</w:t>
      </w:r>
    </w:p>
    <w:p>
      <w:pPr>
        <w:pStyle w:val="BodyText"/>
        <w:spacing w:line="400" w:lineRule="auto"/>
        <w:ind w:left="579" w:right="102"/>
        <w:jc w:val="left"/>
      </w:pPr>
      <w:r>
        <w:rPr/>
        <w:t>价值计量。初始采用估值模型按照授予日的公允价值计量，并考虑授予权益工具的条款和条件，详见 本附注</w:t>
      </w:r>
      <w:r>
        <w:rPr>
          <w:rFonts w:ascii="Times New Roman" w:hAnsi="Times New Roman" w:cs="Times New Roman" w:eastAsia="Times New Roman" w:hint="default"/>
        </w:rPr>
        <w:t>“</w:t>
      </w:r>
      <w:r>
        <w:rPr/>
        <w:t>十一、股份支付</w:t>
      </w:r>
      <w:r>
        <w:rPr>
          <w:rFonts w:ascii="Times New Roman" w:hAnsi="Times New Roman" w:cs="Times New Roman" w:eastAsia="Times New Roman" w:hint="default"/>
        </w:rPr>
        <w:t>”</w:t>
      </w:r>
      <w:r>
        <w:rPr/>
        <w:t>。授予后立即可行权的，在授予日以承担负债的公允价值计入成本或费用，</w:t>
      </w:r>
      <w:r>
        <w:rPr>
          <w:spacing w:val="-22"/>
        </w:rPr>
        <w:t> </w:t>
      </w:r>
      <w:r>
        <w:rPr/>
        <w:t>相应增加负债；完成等待期内的服务或达到规定业绩条件才可行权的，在等待期内以对可行权情况的</w:t>
      </w:r>
      <w:r>
        <w:rPr/>
        <w:t> </w:t>
      </w:r>
      <w:r>
        <w:rPr>
          <w:spacing w:val="-6"/>
        </w:rPr>
        <w:t>最佳估计为基础，按照承担负债的公允价值，将当期取得的服务计入相关成本或费用，增加相应负债。</w:t>
      </w:r>
    </w:p>
    <w:p>
      <w:pPr>
        <w:spacing w:after="0" w:line="40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580" w:right="148"/>
        <w:jc w:val="left"/>
      </w:pPr>
      <w:r>
        <w:rPr>
          <w:spacing w:val="-1"/>
        </w:rPr>
        <w:t>在相关负债结算前的每个资产负债表日以及结算日，对负债的公允价值重新计量，其变动计入当期损</w:t>
      </w:r>
      <w:r>
        <w:rPr>
          <w:spacing w:val="-91"/>
        </w:rPr>
        <w:t> </w:t>
      </w:r>
      <w:r>
        <w:rPr>
          <w:spacing w:val="-91"/>
        </w:rPr>
      </w:r>
      <w:r>
        <w:rPr/>
        <w:t>益。</w:t>
      </w:r>
    </w:p>
    <w:p>
      <w:pPr>
        <w:spacing w:line="240" w:lineRule="auto" w:before="8"/>
        <w:rPr>
          <w:rFonts w:ascii="宋体" w:hAnsi="宋体" w:cs="宋体" w:eastAsia="宋体" w:hint="default"/>
          <w:sz w:val="20"/>
          <w:szCs w:val="20"/>
        </w:rPr>
      </w:pPr>
    </w:p>
    <w:p>
      <w:pPr>
        <w:pStyle w:val="Heading4"/>
        <w:spacing w:line="240" w:lineRule="auto"/>
        <w:ind w:left="153" w:right="133"/>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671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Heading4"/>
        <w:spacing w:line="240" w:lineRule="auto" w:before="80"/>
        <w:ind w:left="580" w:right="133"/>
        <w:jc w:val="left"/>
        <w:rPr>
          <w:b w:val="0"/>
          <w:bCs w:val="0"/>
        </w:rPr>
      </w:pPr>
      <w:r>
        <w:rPr/>
        <w:t>1.销售商品收入确认的一般原则：</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580" w:right="133"/>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177"/>
        <w:ind w:left="580" w:right="133"/>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177"/>
        <w:ind w:left="580" w:right="133"/>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177"/>
        <w:ind w:left="580" w:right="133"/>
        <w:jc w:val="left"/>
      </w:pPr>
      <w:r>
        <w:rPr/>
        <w:t>（</w:t>
      </w:r>
      <w:r>
        <w:rPr>
          <w:rFonts w:ascii="Times New Roman" w:hAnsi="Times New Roman" w:cs="Times New Roman" w:eastAsia="Times New Roman" w:hint="default"/>
        </w:rPr>
        <w:t>4</w:t>
      </w:r>
      <w:r>
        <w:rPr/>
        <w:t>）相关的经济利益很可能流入本公司；</w:t>
      </w:r>
    </w:p>
    <w:p>
      <w:pPr>
        <w:pStyle w:val="BodyText"/>
        <w:spacing w:line="398" w:lineRule="auto" w:before="177"/>
        <w:ind w:left="1002" w:right="4200" w:hanging="423"/>
        <w:jc w:val="left"/>
      </w:pPr>
      <w:r>
        <w:rPr/>
        <w:t>（</w:t>
      </w:r>
      <w:r>
        <w:rPr>
          <w:rFonts w:ascii="Times New Roman" w:hAnsi="Times New Roman" w:cs="Times New Roman" w:eastAsia="Times New Roman" w:hint="default"/>
        </w:rPr>
        <w:t>5</w:t>
      </w:r>
      <w:r>
        <w:rPr/>
        <w:t>）相关的、已发生或将发生的成本能够可靠地计量。 </w:t>
      </w:r>
      <w:r>
        <w:rPr>
          <w:rFonts w:ascii="宋体" w:hAnsi="宋体" w:cs="宋体" w:eastAsia="宋体" w:hint="default"/>
          <w:b/>
          <w:bCs/>
        </w:rPr>
        <w:t>具体原则</w:t>
      </w:r>
      <w:r>
        <w:rPr>
          <w:rFonts w:ascii="宋体" w:hAnsi="宋体" w:cs="宋体" w:eastAsia="宋体" w:hint="default"/>
          <w:b/>
          <w:bCs/>
          <w:spacing w:val="1"/>
          <w:w w:val="99"/>
        </w:rPr>
        <w:t> </w:t>
      </w:r>
      <w:r>
        <w:rPr/>
        <w:t>本公司销售商品收入相应的业务特点分析和介绍：</w:t>
      </w:r>
    </w:p>
    <w:p>
      <w:pPr>
        <w:pStyle w:val="BodyText"/>
        <w:spacing w:line="400" w:lineRule="auto" w:before="54"/>
        <w:ind w:left="580" w:right="148" w:firstLine="423"/>
        <w:jc w:val="left"/>
      </w:pPr>
      <w:r>
        <w:rPr/>
        <w:t>本公司商品销售采取</w:t>
      </w:r>
      <w:r>
        <w:rPr>
          <w:rFonts w:ascii="Times New Roman" w:hAnsi="Times New Roman" w:cs="Times New Roman" w:eastAsia="Times New Roman" w:hint="default"/>
        </w:rPr>
        <w:t>“</w:t>
      </w:r>
      <w:r>
        <w:rPr/>
        <w:t>直销</w:t>
      </w:r>
      <w:r>
        <w:rPr>
          <w:rFonts w:ascii="Times New Roman" w:hAnsi="Times New Roman" w:cs="Times New Roman" w:eastAsia="Times New Roman" w:hint="default"/>
        </w:rPr>
        <w:t>+</w:t>
      </w:r>
      <w:r>
        <w:rPr/>
        <w:t>经销</w:t>
      </w:r>
      <w:r>
        <w:rPr>
          <w:rFonts w:ascii="Times New Roman" w:hAnsi="Times New Roman" w:cs="Times New Roman" w:eastAsia="Times New Roman" w:hint="default"/>
        </w:rPr>
        <w:t>”</w:t>
      </w:r>
      <w:r>
        <w:rPr/>
        <w:t>并重的销售模式。经销模式的主要特征是公司与经销商之间实 </w:t>
      </w:r>
      <w:r>
        <w:rPr>
          <w:spacing w:val="-1"/>
        </w:rPr>
        <w:t>际发生买卖关系，经销商按双方约定的价格从本公司购进产品，取得商品所有权，然后销售给最终用</w:t>
      </w:r>
      <w:r>
        <w:rPr>
          <w:spacing w:val="-91"/>
        </w:rPr>
        <w:t> </w:t>
      </w:r>
      <w:r>
        <w:rPr>
          <w:spacing w:val="-91"/>
        </w:rPr>
      </w:r>
      <w:r>
        <w:rPr>
          <w:spacing w:val="-1"/>
        </w:rPr>
        <w:t>户，通过差价来获得利润。直销模式是公司直接向最终用户销售产品的一种销售方式，直销模式下的</w:t>
      </w:r>
      <w:r>
        <w:rPr>
          <w:spacing w:val="-91"/>
        </w:rPr>
        <w:t> </w:t>
      </w:r>
      <w:r>
        <w:rPr>
          <w:spacing w:val="-91"/>
        </w:rPr>
      </w:r>
      <w:r>
        <w:rPr/>
        <w:t>销售又可分为附安装义务的销售和不附安装义务的销售。</w:t>
      </w:r>
    </w:p>
    <w:p>
      <w:pPr>
        <w:pStyle w:val="BodyText"/>
        <w:spacing w:line="240" w:lineRule="auto" w:before="52"/>
        <w:ind w:left="998" w:right="133"/>
        <w:jc w:val="left"/>
      </w:pPr>
      <w:r>
        <w:rPr/>
        <w:t>销售商品收入确认的确认标准及收入确认时间的具体判断标准：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44"/>
        <w:ind w:left="0" w:right="1345" w:firstLine="0"/>
        <w:jc w:val="right"/>
        <w:rPr>
          <w:rFonts w:ascii="宋体" w:hAnsi="宋体" w:cs="宋体" w:eastAsia="宋体" w:hint="default"/>
          <w:sz w:val="18"/>
          <w:szCs w:val="18"/>
        </w:rPr>
      </w:pPr>
      <w:r>
        <w:rPr/>
        <w:pict>
          <v:shape style="position:absolute;margin-left:87.059998pt;margin-top:-47.585587pt;width:388.3pt;height:159.5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3"/>
                    <w:gridCol w:w="2813"/>
                    <w:gridCol w:w="3805"/>
                  </w:tblGrid>
                  <w:tr>
                    <w:trPr>
                      <w:trHeight w:val="34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9" w:right="0"/>
                          <w:jc w:val="center"/>
                          <w:rPr>
                            <w:rFonts w:ascii="宋体" w:hAnsi="宋体" w:cs="宋体" w:eastAsia="宋体" w:hint="default"/>
                            <w:sz w:val="18"/>
                            <w:szCs w:val="18"/>
                          </w:rPr>
                        </w:pPr>
                        <w:r>
                          <w:rPr>
                            <w:rFonts w:ascii="宋体" w:hAnsi="宋体" w:cs="宋体" w:eastAsia="宋体" w:hint="default"/>
                            <w:sz w:val="18"/>
                            <w:szCs w:val="18"/>
                          </w:rPr>
                          <w:t>销售模式</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9" w:right="0"/>
                          <w:jc w:val="center"/>
                          <w:rPr>
                            <w:rFonts w:ascii="宋体" w:hAnsi="宋体" w:cs="宋体" w:eastAsia="宋体" w:hint="default"/>
                            <w:sz w:val="18"/>
                            <w:szCs w:val="18"/>
                          </w:rPr>
                        </w:pPr>
                        <w:r>
                          <w:rPr>
                            <w:rFonts w:ascii="宋体" w:hAnsi="宋体" w:cs="宋体" w:eastAsia="宋体" w:hint="default"/>
                            <w:sz w:val="18"/>
                            <w:szCs w:val="18"/>
                          </w:rPr>
                          <w:t>直销模式</w:t>
                        </w:r>
                      </w:p>
                    </w:tc>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0" w:right="0"/>
                          <w:jc w:val="center"/>
                          <w:rPr>
                            <w:rFonts w:ascii="宋体" w:hAnsi="宋体" w:cs="宋体" w:eastAsia="宋体" w:hint="default"/>
                            <w:sz w:val="18"/>
                            <w:szCs w:val="18"/>
                          </w:rPr>
                        </w:pPr>
                        <w:r>
                          <w:rPr>
                            <w:rFonts w:ascii="宋体" w:hAnsi="宋体" w:cs="宋体" w:eastAsia="宋体" w:hint="default"/>
                            <w:sz w:val="18"/>
                            <w:szCs w:val="18"/>
                          </w:rPr>
                          <w:t>经销模式</w:t>
                        </w:r>
                      </w:p>
                    </w:tc>
                  </w:tr>
                  <w:tr>
                    <w:trPr>
                      <w:trHeight w:val="331" w:hRule="exact"/>
                    </w:trPr>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129" w:right="0"/>
                          <w:jc w:val="center"/>
                          <w:rPr>
                            <w:rFonts w:ascii="宋体" w:hAnsi="宋体" w:cs="宋体" w:eastAsia="宋体" w:hint="default"/>
                            <w:sz w:val="18"/>
                            <w:szCs w:val="18"/>
                          </w:rPr>
                        </w:pPr>
                        <w:r>
                          <w:rPr>
                            <w:rFonts w:ascii="宋体" w:hAnsi="宋体" w:cs="宋体" w:eastAsia="宋体" w:hint="default"/>
                            <w:sz w:val="18"/>
                            <w:szCs w:val="18"/>
                          </w:rPr>
                          <w:t>收入确认时</w:t>
                        </w:r>
                      </w:p>
                    </w:tc>
                    <w:tc>
                      <w:tcPr>
                        <w:tcW w:w="28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、附安装义务销售：在履行完毕</w:t>
                        </w:r>
                      </w:p>
                    </w:tc>
                    <w:tc>
                      <w:tcPr>
                        <w:tcW w:w="38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13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、无需安装调试或经销商可自行安装调试的产</w:t>
                        </w:r>
                      </w:p>
                    </w:tc>
                  </w:tr>
                  <w:tr>
                    <w:trPr>
                      <w:trHeight w:val="307" w:hRule="exact"/>
                    </w:trPr>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9" w:right="0"/>
                          <w:jc w:val="center"/>
                          <w:rPr>
                            <w:rFonts w:ascii="宋体" w:hAnsi="宋体" w:cs="宋体" w:eastAsia="宋体" w:hint="default"/>
                            <w:sz w:val="18"/>
                            <w:szCs w:val="18"/>
                          </w:rPr>
                        </w:pPr>
                        <w:r>
                          <w:rPr>
                            <w:rFonts w:ascii="宋体" w:hAnsi="宋体" w:cs="宋体" w:eastAsia="宋体" w:hint="default"/>
                            <w:sz w:val="18"/>
                            <w:szCs w:val="18"/>
                          </w:rPr>
                          <w:t>点</w:t>
                        </w:r>
                      </w:p>
                    </w:tc>
                    <w:tc>
                      <w:tcPr>
                        <w:tcW w:w="28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6" w:right="0"/>
                          <w:jc w:val="left"/>
                          <w:rPr>
                            <w:rFonts w:ascii="宋体" w:hAnsi="宋体" w:cs="宋体" w:eastAsia="宋体" w:hint="default"/>
                            <w:sz w:val="18"/>
                            <w:szCs w:val="18"/>
                          </w:rPr>
                        </w:pPr>
                        <w:r>
                          <w:rPr>
                            <w:rFonts w:ascii="宋体" w:hAnsi="宋体" w:cs="宋体" w:eastAsia="宋体" w:hint="default"/>
                            <w:spacing w:val="-3"/>
                            <w:sz w:val="18"/>
                            <w:szCs w:val="18"/>
                          </w:rPr>
                          <w:t>安装义务，经客户验收合格后，开</w:t>
                        </w:r>
                      </w:p>
                    </w:tc>
                    <w:tc>
                      <w:tcPr>
                        <w:tcW w:w="3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6" w:right="0"/>
                          <w:jc w:val="left"/>
                          <w:rPr>
                            <w:rFonts w:ascii="宋体" w:hAnsi="宋体" w:cs="宋体" w:eastAsia="宋体" w:hint="default"/>
                            <w:sz w:val="18"/>
                            <w:szCs w:val="18"/>
                          </w:rPr>
                        </w:pPr>
                        <w:r>
                          <w:rPr>
                            <w:rFonts w:ascii="宋体" w:hAnsi="宋体" w:cs="宋体" w:eastAsia="宋体" w:hint="default"/>
                            <w:sz w:val="18"/>
                            <w:szCs w:val="18"/>
                          </w:rPr>
                          <w:t>品：经销商收到货物，验收合格、账目核对并</w:t>
                        </w:r>
                      </w:p>
                    </w:tc>
                  </w:tr>
                  <w:tr>
                    <w:trPr>
                      <w:trHeight w:val="312" w:hRule="exact"/>
                    </w:trPr>
                    <w:tc>
                      <w:tcPr>
                        <w:tcW w:w="1133" w:type="dxa"/>
                        <w:tcBorders>
                          <w:top w:val="nil" w:sz="6" w:space="0" w:color="auto"/>
                          <w:left w:val="single" w:sz="4" w:space="0" w:color="000000"/>
                          <w:bottom w:val="nil" w:sz="6" w:space="0" w:color="auto"/>
                          <w:right w:val="single" w:sz="4" w:space="0" w:color="000000"/>
                        </w:tcBorders>
                      </w:tcPr>
                      <w:p>
                        <w:pPr/>
                      </w:p>
                    </w:tc>
                    <w:tc>
                      <w:tcPr>
                        <w:tcW w:w="28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34"/>
                          <w:jc w:val="left"/>
                          <w:rPr>
                            <w:rFonts w:ascii="宋体" w:hAnsi="宋体" w:cs="宋体" w:eastAsia="宋体" w:hint="default"/>
                            <w:sz w:val="18"/>
                            <w:szCs w:val="18"/>
                          </w:rPr>
                        </w:pPr>
                        <w:r>
                          <w:rPr>
                            <w:rFonts w:ascii="宋体" w:hAnsi="宋体" w:cs="宋体" w:eastAsia="宋体" w:hint="default"/>
                            <w:sz w:val="18"/>
                            <w:szCs w:val="18"/>
                          </w:rPr>
                          <w:t>具发票账单交付客户，确认收入。</w:t>
                        </w:r>
                      </w:p>
                    </w:tc>
                    <w:tc>
                      <w:tcPr>
                        <w:tcW w:w="3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确认付款后，开具发票交付经销商，确认收入</w:t>
                        </w:r>
                      </w:p>
                    </w:tc>
                  </w:tr>
                  <w:tr>
                    <w:trPr>
                      <w:trHeight w:val="317" w:hRule="exact"/>
                    </w:trPr>
                    <w:tc>
                      <w:tcPr>
                        <w:tcW w:w="1133" w:type="dxa"/>
                        <w:tcBorders>
                          <w:top w:val="nil" w:sz="6" w:space="0" w:color="auto"/>
                          <w:left w:val="single" w:sz="4" w:space="0" w:color="000000"/>
                          <w:bottom w:val="nil" w:sz="6" w:space="0" w:color="auto"/>
                          <w:right w:val="single" w:sz="4" w:space="0" w:color="000000"/>
                        </w:tcBorders>
                      </w:tcPr>
                      <w:p>
                        <w:pPr/>
                      </w:p>
                    </w:tc>
                    <w:tc>
                      <w:tcPr>
                        <w:tcW w:w="28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、不附安装义务销售：在客户收</w:t>
                        </w:r>
                      </w:p>
                    </w:tc>
                    <w:tc>
                      <w:tcPr>
                        <w:tcW w:w="3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、需本公司提供技术支持的新产品、复杂系统</w:t>
                        </w:r>
                      </w:p>
                    </w:tc>
                  </w:tr>
                  <w:tr>
                    <w:trPr>
                      <w:trHeight w:val="307" w:hRule="exact"/>
                    </w:trPr>
                    <w:tc>
                      <w:tcPr>
                        <w:tcW w:w="1133" w:type="dxa"/>
                        <w:tcBorders>
                          <w:top w:val="nil" w:sz="6" w:space="0" w:color="auto"/>
                          <w:left w:val="single" w:sz="4" w:space="0" w:color="000000"/>
                          <w:bottom w:val="nil" w:sz="6" w:space="0" w:color="auto"/>
                          <w:right w:val="single" w:sz="4" w:space="0" w:color="000000"/>
                        </w:tcBorders>
                      </w:tcPr>
                      <w:p>
                        <w:pPr/>
                      </w:p>
                    </w:tc>
                    <w:tc>
                      <w:tcPr>
                        <w:tcW w:w="28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6" w:right="-34"/>
                          <w:jc w:val="left"/>
                          <w:rPr>
                            <w:rFonts w:ascii="宋体" w:hAnsi="宋体" w:cs="宋体" w:eastAsia="宋体" w:hint="default"/>
                            <w:sz w:val="18"/>
                            <w:szCs w:val="18"/>
                          </w:rPr>
                        </w:pPr>
                        <w:r>
                          <w:rPr>
                            <w:rFonts w:ascii="宋体" w:hAnsi="宋体" w:cs="宋体" w:eastAsia="宋体" w:hint="default"/>
                            <w:sz w:val="18"/>
                            <w:szCs w:val="18"/>
                          </w:rPr>
                          <w:t>到货物，验收合格并确认付款后，</w:t>
                        </w:r>
                      </w:p>
                    </w:tc>
                    <w:tc>
                      <w:tcPr>
                        <w:tcW w:w="3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6" w:right="0"/>
                          <w:jc w:val="left"/>
                          <w:rPr>
                            <w:rFonts w:ascii="宋体" w:hAnsi="宋体" w:cs="宋体" w:eastAsia="宋体" w:hint="default"/>
                            <w:sz w:val="18"/>
                            <w:szCs w:val="18"/>
                          </w:rPr>
                        </w:pPr>
                        <w:r>
                          <w:rPr>
                            <w:rFonts w:ascii="宋体" w:hAnsi="宋体" w:cs="宋体" w:eastAsia="宋体" w:hint="default"/>
                            <w:sz w:val="18"/>
                            <w:szCs w:val="18"/>
                          </w:rPr>
                          <w:t>项目产品：经销商在收到货物、待系统安装和</w:t>
                        </w:r>
                      </w:p>
                    </w:tc>
                  </w:tr>
                  <w:tr>
                    <w:trPr>
                      <w:trHeight w:val="312" w:hRule="exact"/>
                    </w:trPr>
                    <w:tc>
                      <w:tcPr>
                        <w:tcW w:w="1133" w:type="dxa"/>
                        <w:tcBorders>
                          <w:top w:val="nil" w:sz="6" w:space="0" w:color="auto"/>
                          <w:left w:val="single" w:sz="4" w:space="0" w:color="000000"/>
                          <w:bottom w:val="nil" w:sz="6" w:space="0" w:color="auto"/>
                          <w:right w:val="single" w:sz="4" w:space="0" w:color="000000"/>
                        </w:tcBorders>
                      </w:tcPr>
                      <w:p>
                        <w:pPr/>
                      </w:p>
                    </w:tc>
                    <w:tc>
                      <w:tcPr>
                        <w:tcW w:w="28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开具发票账单交付客户，确认收</w:t>
                        </w:r>
                      </w:p>
                    </w:tc>
                    <w:tc>
                      <w:tcPr>
                        <w:tcW w:w="3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调试通过后（本公司提供技术支持），对方确</w:t>
                        </w:r>
                      </w:p>
                    </w:tc>
                  </w:tr>
                  <w:tr>
                    <w:trPr>
                      <w:trHeight w:val="312" w:hRule="exact"/>
                    </w:trPr>
                    <w:tc>
                      <w:tcPr>
                        <w:tcW w:w="1133" w:type="dxa"/>
                        <w:tcBorders>
                          <w:top w:val="nil" w:sz="6" w:space="0" w:color="auto"/>
                          <w:left w:val="single" w:sz="4" w:space="0" w:color="000000"/>
                          <w:bottom w:val="nil" w:sz="6" w:space="0" w:color="auto"/>
                          <w:right w:val="single" w:sz="4" w:space="0" w:color="000000"/>
                        </w:tcBorders>
                      </w:tcPr>
                      <w:p>
                        <w:pPr/>
                      </w:p>
                    </w:tc>
                    <w:tc>
                      <w:tcPr>
                        <w:tcW w:w="28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入。</w:t>
                        </w:r>
                      </w:p>
                    </w:tc>
                    <w:tc>
                      <w:tcPr>
                        <w:tcW w:w="3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认产品合格。经销商确认产品合格、账目核对</w:t>
                        </w:r>
                      </w:p>
                    </w:tc>
                  </w:tr>
                  <w:tr>
                    <w:trPr>
                      <w:trHeight w:val="312" w:hRule="exact"/>
                    </w:trPr>
                    <w:tc>
                      <w:tcPr>
                        <w:tcW w:w="1133" w:type="dxa"/>
                        <w:tcBorders>
                          <w:top w:val="nil" w:sz="6" w:space="0" w:color="auto"/>
                          <w:left w:val="single" w:sz="4" w:space="0" w:color="000000"/>
                          <w:bottom w:val="nil" w:sz="6" w:space="0" w:color="auto"/>
                          <w:right w:val="single" w:sz="4" w:space="0" w:color="000000"/>
                        </w:tcBorders>
                      </w:tcPr>
                      <w:p>
                        <w:pPr/>
                      </w:p>
                    </w:tc>
                    <w:tc>
                      <w:tcPr>
                        <w:tcW w:w="2813" w:type="dxa"/>
                        <w:tcBorders>
                          <w:top w:val="nil" w:sz="6" w:space="0" w:color="auto"/>
                          <w:left w:val="single" w:sz="4" w:space="0" w:color="000000"/>
                          <w:bottom w:val="nil" w:sz="6" w:space="0" w:color="auto"/>
                          <w:right w:val="single" w:sz="4" w:space="0" w:color="000000"/>
                        </w:tcBorders>
                      </w:tcPr>
                      <w:p>
                        <w:pPr/>
                      </w:p>
                    </w:tc>
                    <w:tc>
                      <w:tcPr>
                        <w:tcW w:w="3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并同意付款后，开具发票交付经销商，确认收</w:t>
                        </w:r>
                      </w:p>
                    </w:tc>
                  </w:tr>
                  <w:tr>
                    <w:trPr>
                      <w:trHeight w:val="328" w:hRule="exact"/>
                    </w:trPr>
                    <w:tc>
                      <w:tcPr>
                        <w:tcW w:w="1133" w:type="dxa"/>
                        <w:tcBorders>
                          <w:top w:val="nil" w:sz="6" w:space="0" w:color="auto"/>
                          <w:left w:val="single" w:sz="4" w:space="0" w:color="000000"/>
                          <w:bottom w:val="single" w:sz="4" w:space="0" w:color="000000"/>
                          <w:right w:val="single" w:sz="4" w:space="0" w:color="000000"/>
                        </w:tcBorders>
                      </w:tcPr>
                      <w:p>
                        <w:pPr/>
                      </w:p>
                    </w:tc>
                    <w:tc>
                      <w:tcPr>
                        <w:tcW w:w="2813" w:type="dxa"/>
                        <w:tcBorders>
                          <w:top w:val="nil" w:sz="6" w:space="0" w:color="auto"/>
                          <w:left w:val="single" w:sz="4" w:space="0" w:color="000000"/>
                          <w:bottom w:val="single" w:sz="4" w:space="0" w:color="000000"/>
                          <w:right w:val="single" w:sz="4" w:space="0" w:color="000000"/>
                        </w:tcBorders>
                      </w:tcPr>
                      <w:p>
                        <w:pPr/>
                      </w:p>
                    </w:tc>
                    <w:tc>
                      <w:tcPr>
                        <w:tcW w:w="38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入。</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line="321" w:lineRule="auto" w:before="35"/>
        <w:ind w:left="1145" w:right="169" w:hanging="4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、让渡资产使用权收入的确认和计量原则</w:t>
      </w:r>
      <w:r>
        <w:rPr>
          <w:rFonts w:ascii="宋体" w:hAnsi="宋体" w:cs="宋体" w:eastAsia="宋体" w:hint="default"/>
          <w:b/>
          <w:bCs/>
          <w:spacing w:val="1"/>
          <w:w w:val="99"/>
          <w:sz w:val="21"/>
          <w:szCs w:val="21"/>
        </w:rPr>
        <w:t> </w:t>
      </w:r>
      <w:r>
        <w:rPr>
          <w:rFonts w:ascii="宋体" w:hAnsi="宋体" w:cs="宋体" w:eastAsia="宋体" w:hint="default"/>
          <w:sz w:val="21"/>
          <w:szCs w:val="21"/>
        </w:rPr>
        <w:t>与交易相关的经济利益很可能流入企业，收入的金额能够可靠地计量时。分别下列情况确定让</w:t>
      </w:r>
    </w:p>
    <w:p>
      <w:pPr>
        <w:pStyle w:val="BodyText"/>
        <w:spacing w:line="240" w:lineRule="auto" w:before="122"/>
        <w:ind w:left="721" w:right="133"/>
        <w:jc w:val="left"/>
      </w:pPr>
      <w:r>
        <w:rPr/>
        <w:t>渡资产使用权收入金额：</w:t>
      </w:r>
    </w:p>
    <w:p>
      <w:pPr>
        <w:spacing w:line="240" w:lineRule="auto" w:before="10"/>
        <w:rPr>
          <w:rFonts w:ascii="宋体" w:hAnsi="宋体" w:cs="宋体" w:eastAsia="宋体" w:hint="default"/>
          <w:sz w:val="14"/>
          <w:szCs w:val="14"/>
        </w:rPr>
      </w:pPr>
    </w:p>
    <w:p>
      <w:pPr>
        <w:pStyle w:val="BodyText"/>
        <w:spacing w:line="240" w:lineRule="auto" w:before="0"/>
        <w:ind w:left="1145" w:right="133"/>
        <w:jc w:val="left"/>
      </w:pPr>
      <w:r>
        <w:rPr/>
        <w:t>①利息收入金额，按照他人使用本企业货币资金的时间和实际利率计算确定。</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left="1145" w:right="102"/>
        <w:jc w:val="left"/>
      </w:pPr>
      <w:r>
        <w:rPr/>
        <w:t>②使用费收入金额，按照有关合同或协议约定的收费时间和方法计算确定。</w:t>
      </w:r>
    </w:p>
    <w:p>
      <w:pPr>
        <w:spacing w:line="240" w:lineRule="auto" w:before="10"/>
        <w:rPr>
          <w:rFonts w:ascii="宋体" w:hAnsi="宋体" w:cs="宋体" w:eastAsia="宋体" w:hint="default"/>
          <w:sz w:val="14"/>
          <w:szCs w:val="14"/>
        </w:rPr>
      </w:pPr>
    </w:p>
    <w:p>
      <w:pPr>
        <w:spacing w:line="386" w:lineRule="auto" w:before="0"/>
        <w:ind w:left="1145" w:right="229" w:hanging="4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、按完工百分比法确认提供劳务的收入和建造合同收入的确认和计量原则</w:t>
      </w:r>
      <w:r>
        <w:rPr>
          <w:rFonts w:ascii="宋体" w:hAnsi="宋体" w:cs="宋体" w:eastAsia="宋体" w:hint="default"/>
          <w:b/>
          <w:bCs/>
          <w:w w:val="99"/>
          <w:sz w:val="21"/>
          <w:szCs w:val="21"/>
        </w:rPr>
        <w:t> </w:t>
      </w:r>
      <w:r>
        <w:rPr>
          <w:rFonts w:ascii="宋体" w:hAnsi="宋体" w:cs="宋体" w:eastAsia="宋体" w:hint="default"/>
          <w:sz w:val="21"/>
          <w:szCs w:val="21"/>
        </w:rPr>
        <w:t>在资产负债表日提供劳务交易的结果能够可靠估计的，采用完工百分比法确认提供劳务收入。</w:t>
      </w:r>
    </w:p>
    <w:p>
      <w:pPr>
        <w:pStyle w:val="BodyText"/>
        <w:spacing w:line="408" w:lineRule="auto" w:before="65"/>
        <w:ind w:left="1145" w:right="229" w:hanging="424"/>
        <w:jc w:val="left"/>
      </w:pPr>
      <w:r>
        <w:rPr/>
        <w:t>提供劳务交易的完工进度，依据已经发生的成本占估计总成本的比例确定。 按照已收或应收的合同或协议价款确定提供劳务收入总额，但已收或应收的合同或协议价款不</w:t>
      </w:r>
    </w:p>
    <w:p>
      <w:pPr>
        <w:pStyle w:val="BodyText"/>
        <w:spacing w:line="408" w:lineRule="auto"/>
        <w:ind w:left="721" w:right="250"/>
        <w:jc w:val="both"/>
      </w:pPr>
      <w:r>
        <w:rPr/>
        <w:t>公允的除外。资产负债表日按照提供劳务收入总额乘以完工进度扣除以前会计期间累计已确认提供 劳务收入后的金额，确认当期提供劳务收入；同时，按照提供劳务估计总成本乘以完工进度扣除以 前会计期间累计已确认劳务成本后的金额，结转当期劳务成本。</w:t>
      </w:r>
    </w:p>
    <w:p>
      <w:pPr>
        <w:pStyle w:val="BodyText"/>
        <w:spacing w:line="240" w:lineRule="auto"/>
        <w:ind w:left="1145" w:right="102"/>
        <w:jc w:val="left"/>
      </w:pPr>
      <w:r>
        <w:rPr/>
        <w:t>在资产负债表日提供劳务交易结果不能够可靠估计的，分别下列情况处理：</w:t>
      </w:r>
    </w:p>
    <w:p>
      <w:pPr>
        <w:spacing w:line="240" w:lineRule="auto" w:before="10"/>
        <w:rPr>
          <w:rFonts w:ascii="宋体" w:hAnsi="宋体" w:cs="宋体" w:eastAsia="宋体" w:hint="default"/>
          <w:sz w:val="14"/>
          <w:szCs w:val="14"/>
        </w:rPr>
      </w:pPr>
    </w:p>
    <w:p>
      <w:pPr>
        <w:pStyle w:val="BodyText"/>
        <w:spacing w:line="408" w:lineRule="auto" w:before="0"/>
        <w:ind w:left="721" w:right="104" w:firstLine="423"/>
        <w:jc w:val="left"/>
      </w:pPr>
      <w:r>
        <w:rPr>
          <w:spacing w:val="-2"/>
        </w:rPr>
        <w:t>①已经发生的劳务成本预计能够得到补偿的，按照已经发生的劳务成本金额确认提供劳务收入，</w:t>
      </w:r>
      <w:r>
        <w:rPr/>
        <w:t> 并按相同金额结转劳务成本。</w:t>
      </w:r>
    </w:p>
    <w:p>
      <w:pPr>
        <w:pStyle w:val="BodyText"/>
        <w:spacing w:line="408" w:lineRule="auto"/>
        <w:ind w:left="721" w:right="230" w:firstLine="423"/>
        <w:jc w:val="left"/>
      </w:pPr>
      <w:r>
        <w:rPr/>
        <w:t>②已经发生的劳务成本预计不能够得到补偿的，将已经发生的劳务成本计入当期损益，不确认 提供劳务收入。</w:t>
      </w:r>
    </w:p>
    <w:p>
      <w:pPr>
        <w:spacing w:line="240" w:lineRule="auto" w:before="8"/>
        <w:rPr>
          <w:rFonts w:ascii="宋体" w:hAnsi="宋体" w:cs="宋体" w:eastAsia="宋体" w:hint="default"/>
          <w:sz w:val="20"/>
          <w:szCs w:val="20"/>
        </w:rPr>
      </w:pPr>
    </w:p>
    <w:p>
      <w:pPr>
        <w:pStyle w:val="Heading4"/>
        <w:spacing w:line="240" w:lineRule="auto"/>
        <w:ind w:right="102"/>
        <w:jc w:val="left"/>
        <w:rPr>
          <w:b w:val="0"/>
          <w:bCs w:val="0"/>
        </w:rPr>
      </w:pPr>
      <w:r>
        <w:rPr>
          <w:rFonts w:ascii="Times New Roman" w:hAnsi="Times New Roman" w:cs="Times New Roman" w:eastAsia="Times New Roman" w:hint="default"/>
        </w:rPr>
        <w:t>26</w:t>
      </w:r>
      <w:r>
        <w:rPr/>
        <w:t>、政府补助</w:t>
      </w:r>
      <w:r>
        <w:rPr>
          <w:b w:val="0"/>
          <w:bCs w:val="0"/>
        </w:rPr>
      </w:r>
    </w:p>
    <w:p>
      <w:pPr>
        <w:spacing w:line="690" w:lineRule="exact" w:before="15"/>
        <w:ind w:left="1145" w:right="229" w:hanging="99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与资产相关的政府补助，冲减相关资产账面价值或确认为递延收益。确认为递延收益的，在相</w:t>
      </w:r>
    </w:p>
    <w:p>
      <w:pPr>
        <w:pStyle w:val="BodyText"/>
        <w:spacing w:line="408" w:lineRule="auto" w:before="84"/>
        <w:ind w:left="721" w:right="250"/>
        <w:jc w:val="both"/>
      </w:pPr>
      <w:r>
        <w:rPr/>
        <w:t>关资产使用寿命内按照合理、系统的方法分期计入当期损益（与本公司日常活动相关的，计入其他 收益；与本公司日常活动无关的，计入营业外收入）；</w:t>
      </w:r>
    </w:p>
    <w:p>
      <w:pPr>
        <w:spacing w:line="240" w:lineRule="auto" w:before="8"/>
        <w:rPr>
          <w:rFonts w:ascii="宋体" w:hAnsi="宋体" w:cs="宋体" w:eastAsia="宋体" w:hint="default"/>
          <w:sz w:val="20"/>
          <w:szCs w:val="20"/>
        </w:rPr>
      </w:pPr>
    </w:p>
    <w:p>
      <w:pPr>
        <w:pStyle w:val="Heading4"/>
        <w:spacing w:line="240" w:lineRule="auto"/>
        <w:ind w:left="153" w:right="102"/>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721" w:right="211" w:firstLine="423"/>
        <w:jc w:val="both"/>
      </w:pPr>
      <w:r>
        <w:rPr>
          <w:spacing w:val="-5"/>
        </w:rPr>
        <w:t>与收益相关的政府补助，用于补偿本公司以后期间的相关成本费用或损失的，确认为递延收益，</w:t>
      </w:r>
      <w:r>
        <w:rPr/>
        <w:t> 并在确认相关成本费用或损失的期间，计入当期损益（与本公司日常活动相关的，计入其他收益； 与本公司日常活动无关的，计入营业外收入）或冲减相关成本费用或损失；用于补偿本公司已发生 的相关成本费用或损失的，直接计入当期损益（与本公司日常活动相关的，计入其他收益；与本公 司日常活动无关的，计入营业外收入）或冲减相关成本费用或损失。</w:t>
      </w:r>
    </w:p>
    <w:p>
      <w:pPr>
        <w:spacing w:line="240" w:lineRule="auto" w:before="8"/>
        <w:rPr>
          <w:rFonts w:ascii="宋体" w:hAnsi="宋体" w:cs="宋体" w:eastAsia="宋体" w:hint="default"/>
          <w:sz w:val="20"/>
          <w:szCs w:val="20"/>
        </w:rPr>
      </w:pPr>
    </w:p>
    <w:p>
      <w:pPr>
        <w:spacing w:line="568" w:lineRule="auto" w:before="0"/>
        <w:ind w:left="1000" w:right="206" w:hanging="84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w:t>
      </w:r>
    </w:p>
    <w:p>
      <w:pPr>
        <w:spacing w:after="0" w:line="568"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580" w:right="208"/>
        <w:jc w:val="left"/>
      </w:pPr>
      <w:r>
        <w:rPr>
          <w:spacing w:val="-1"/>
        </w:rPr>
        <w:t>异的应纳税所得额为限。对于能够结转以后年度的可抵扣亏损和税款抵减，以很可能获得用来抵扣可</w:t>
      </w:r>
      <w:r>
        <w:rPr>
          <w:spacing w:val="-91"/>
        </w:rPr>
        <w:t> </w:t>
      </w:r>
      <w:r>
        <w:rPr>
          <w:spacing w:val="-91"/>
        </w:rPr>
      </w:r>
      <w:r>
        <w:rPr/>
        <w:t>抵扣亏损和税款抵减的未来应纳税所得额为限，确认相应的递延所得税资产。 对于应纳税暂时性差异，除特殊情况外，确认递延所得税负债。</w:t>
      </w:r>
    </w:p>
    <w:p>
      <w:pPr>
        <w:pStyle w:val="BodyText"/>
        <w:spacing w:line="408" w:lineRule="auto"/>
        <w:ind w:left="580" w:right="206" w:firstLine="420"/>
        <w:jc w:val="left"/>
      </w:pPr>
      <w:r>
        <w:rPr>
          <w:spacing w:val="-1"/>
        </w:rPr>
        <w:t>不确认递延所得税资产或递延所得税负债的特殊情况包括：商誉的初始确认；除企业合并以外的</w:t>
      </w:r>
      <w:r>
        <w:rPr/>
        <w:t> 发生时既不影响会计利润也不影响应纳税所得额（或可抵扣亏损）的其他交易或事项。 </w:t>
      </w:r>
      <w:r>
        <w:rPr>
          <w:spacing w:val="-1"/>
        </w:rPr>
        <w:t>当拥有以净额结算的法定权利，且意图以净额结算或取得资产、清偿负债同时进行时，当期所得税资</w:t>
      </w:r>
      <w:r>
        <w:rPr>
          <w:spacing w:val="-91"/>
        </w:rPr>
        <w:t> </w:t>
      </w:r>
      <w:r>
        <w:rPr>
          <w:spacing w:val="-91"/>
        </w:rPr>
      </w:r>
      <w:r>
        <w:rPr/>
        <w:t>产及当期所得税负债以抵销后的净额列报。</w:t>
      </w:r>
    </w:p>
    <w:p>
      <w:pPr>
        <w:pStyle w:val="BodyText"/>
        <w:spacing w:line="408" w:lineRule="auto"/>
        <w:ind w:left="580" w:right="211" w:firstLine="420"/>
        <w:jc w:val="both"/>
      </w:pPr>
      <w:r>
        <w:rPr>
          <w:spacing w:val="-1"/>
        </w:rPr>
        <w:t>当拥有以净额结算当期所得税资产及当期所得税负债的法定权利，且递延所得税资产及递延所得</w:t>
      </w:r>
      <w:r>
        <w:rPr/>
        <w:t> </w:t>
      </w:r>
      <w:r>
        <w:rPr>
          <w:spacing w:val="-1"/>
        </w:rPr>
        <w:t>税负债是与同一税收征管部门对同一纳税主体征收的所得税相关或者是对不同的纳税主体相关，但在</w:t>
      </w:r>
      <w:r>
        <w:rPr>
          <w:spacing w:val="-89"/>
        </w:rPr>
        <w:t> </w:t>
      </w:r>
      <w:r>
        <w:rPr>
          <w:spacing w:val="-89"/>
        </w:rPr>
      </w:r>
      <w:r>
        <w:rPr>
          <w:spacing w:val="-1"/>
        </w:rPr>
        <w:t>未来每一具有重要性的递延所得税资产及负债转回的期间内，涉及的纳税主体意图以净额结算当期所</w:t>
      </w:r>
      <w:r>
        <w:rPr>
          <w:spacing w:val="-89"/>
        </w:rPr>
        <w:t> </w:t>
      </w:r>
      <w:r>
        <w:rPr>
          <w:spacing w:val="-89"/>
        </w:rPr>
      </w:r>
      <w:r>
        <w:rPr>
          <w:spacing w:val="-1"/>
        </w:rPr>
        <w:t>得税资产和负债或是同时取得资产、清偿负债时，递延所得税资产及递延所得税负债以抵销后的净额</w:t>
      </w:r>
      <w:r>
        <w:rPr>
          <w:spacing w:val="-91"/>
        </w:rPr>
        <w:t> </w:t>
      </w:r>
      <w:r>
        <w:rPr>
          <w:spacing w:val="-91"/>
        </w:rPr>
      </w:r>
      <w:r>
        <w:rPr/>
        <w:t>列报。</w:t>
      </w:r>
    </w:p>
    <w:p>
      <w:pPr>
        <w:spacing w:line="240" w:lineRule="auto" w:before="8"/>
        <w:rPr>
          <w:rFonts w:ascii="宋体" w:hAnsi="宋体" w:cs="宋体" w:eastAsia="宋体" w:hint="default"/>
          <w:sz w:val="20"/>
          <w:szCs w:val="20"/>
        </w:rPr>
      </w:pPr>
    </w:p>
    <w:p>
      <w:pPr>
        <w:pStyle w:val="Heading4"/>
        <w:spacing w:line="240" w:lineRule="auto"/>
        <w:ind w:left="153" w:right="102"/>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721" w:right="211" w:firstLine="423"/>
        <w:jc w:val="both"/>
      </w:pPr>
      <w:r>
        <w:rPr>
          <w:spacing w:val="-2"/>
        </w:rPr>
        <w:t>（</w:t>
      </w:r>
      <w:r>
        <w:rPr>
          <w:rFonts w:ascii="Times New Roman" w:hAnsi="Times New Roman" w:cs="Times New Roman" w:eastAsia="Times New Roman" w:hint="default"/>
          <w:spacing w:val="-2"/>
        </w:rPr>
        <w:t>1</w:t>
      </w:r>
      <w:r>
        <w:rPr>
          <w:spacing w:val="-2"/>
        </w:rPr>
        <w:t>）公司租入资产所支付的租赁费，在不扣除免租期的整个租赁期内，按直线法进行分摊，计</w:t>
      </w:r>
      <w:r>
        <w:rPr/>
        <w:t> 入当期费用。公司支付的与租赁交易相关的初始直接费用，计入当期费用。</w:t>
      </w:r>
    </w:p>
    <w:p>
      <w:pPr>
        <w:pStyle w:val="BodyText"/>
        <w:spacing w:line="408" w:lineRule="auto" w:before="65"/>
        <w:ind w:left="721" w:right="104" w:firstLine="423"/>
        <w:jc w:val="left"/>
      </w:pPr>
      <w:r>
        <w:rPr>
          <w:spacing w:val="-2"/>
        </w:rPr>
        <w:t>资产出租方承担了应由公司承担的与租赁相关的费用时，公司将该部分费用从租金总额中扣除，</w:t>
      </w:r>
      <w:r>
        <w:rPr/>
        <w:t> 按扣除后的租金费用在租赁期内分摊，计入当期费用。</w:t>
      </w:r>
    </w:p>
    <w:p>
      <w:pPr>
        <w:pStyle w:val="BodyText"/>
        <w:spacing w:line="398" w:lineRule="auto"/>
        <w:ind w:left="721" w:right="211" w:firstLine="423"/>
        <w:jc w:val="both"/>
      </w:pPr>
      <w:r>
        <w:rPr>
          <w:spacing w:val="-2"/>
        </w:rPr>
        <w:t>（</w:t>
      </w:r>
      <w:r>
        <w:rPr>
          <w:rFonts w:ascii="Times New Roman" w:hAnsi="Times New Roman" w:cs="Times New Roman" w:eastAsia="Times New Roman" w:hint="default"/>
          <w:spacing w:val="-2"/>
        </w:rPr>
        <w:t>2</w:t>
      </w:r>
      <w:r>
        <w:rPr>
          <w:spacing w:val="-2"/>
        </w:rPr>
        <w:t>）公司出租资产所收取的租赁费，在不扣除免租期的整个租赁期内，按直线法进行分摊，确</w:t>
      </w:r>
      <w:r>
        <w:rPr/>
        <w:t> 认为租赁相关收入。公司支付的与租赁交易相关的初始直接费用，计入当期费用；如金额较大的， 则予以资本化，在整个租赁期间内按照与租赁相关收入确认相同的基础分期计入当期收益。</w:t>
      </w:r>
    </w:p>
    <w:p>
      <w:pPr>
        <w:pStyle w:val="BodyText"/>
        <w:spacing w:line="408" w:lineRule="auto" w:before="54"/>
        <w:ind w:left="721" w:right="104" w:firstLine="423"/>
        <w:jc w:val="left"/>
      </w:pPr>
      <w:r>
        <w:rPr>
          <w:spacing w:val="-2"/>
        </w:rPr>
        <w:t>公司承担了应由承租方承担的与租赁相关的费用时，公司将该部分费用从租金收入总额中扣除，</w:t>
      </w:r>
      <w:r>
        <w:rPr/>
        <w:t> 按扣除后的租金费用在租赁期内分配。</w:t>
      </w:r>
    </w:p>
    <w:p>
      <w:pPr>
        <w:spacing w:line="240" w:lineRule="auto" w:before="8"/>
        <w:rPr>
          <w:rFonts w:ascii="宋体" w:hAnsi="宋体" w:cs="宋体" w:eastAsia="宋体" w:hint="default"/>
          <w:sz w:val="20"/>
          <w:szCs w:val="20"/>
        </w:rPr>
      </w:pPr>
    </w:p>
    <w:p>
      <w:pPr>
        <w:pStyle w:val="Heading4"/>
        <w:spacing w:line="240" w:lineRule="auto"/>
        <w:ind w:left="153" w:right="102"/>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398" w:lineRule="auto" w:before="0"/>
        <w:ind w:left="721" w:right="210" w:firstLine="423"/>
        <w:jc w:val="both"/>
      </w:pPr>
      <w:r>
        <w:rPr>
          <w:spacing w:val="-2"/>
        </w:rPr>
        <w:t>（</w:t>
      </w:r>
      <w:r>
        <w:rPr>
          <w:rFonts w:ascii="Times New Roman" w:hAnsi="Times New Roman" w:cs="Times New Roman" w:eastAsia="Times New Roman" w:hint="default"/>
          <w:spacing w:val="-2"/>
        </w:rPr>
        <w:t>1</w:t>
      </w:r>
      <w:r>
        <w:rPr>
          <w:spacing w:val="-2"/>
        </w:rPr>
        <w:t>）融资租入资产：公司在承租开始日，将租赁资产公允价值与最低租赁付款额现值两者中较</w:t>
      </w:r>
      <w:r>
        <w:rPr/>
        <w:t> 低者作为租入资产的入账价值，将最低租赁付款额作为长期应付款的入账价值，其差额作为未确认 的融资费用。公司采用实际利率法对未确认的融资费用，在资产租赁期间内摊销，计入财务费用。</w:t>
      </w:r>
    </w:p>
    <w:p>
      <w:pPr>
        <w:spacing w:after="0" w:line="39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r>
        <w:rPr/>
        <w:pict>
          <v:group style="position:absolute;margin-left:216.479996pt;margin-top:389.519989pt;width:158.950pt;height:7.8pt;mso-position-horizontal-relative:page;mso-position-vertical-relative:page;z-index:-1221352" coordorigin="4330,7790" coordsize="3179,156">
            <v:shape style="position:absolute;left:4330;top:7790;width:3179;height:156" coordorigin="4330,7790" coordsize="3179,156" path="m4330,7946l7508,7946,7508,7790,4330,7790,4330,7946xe" filled="true" fillcolor="#ffffff" stroked="false">
              <v:path arrowok="t"/>
              <v:fill type="solid"/>
            </v:shape>
            <w10:wrap type="none"/>
          </v:group>
        </w:pict>
      </w:r>
    </w:p>
    <w:p>
      <w:pPr>
        <w:pStyle w:val="BodyText"/>
        <w:spacing w:line="240" w:lineRule="auto" w:before="35"/>
        <w:ind w:left="721" w:right="305"/>
        <w:jc w:val="left"/>
      </w:pPr>
      <w:r>
        <w:rPr/>
        <w:t>公司发生的初始直接费用，计入租入资产价值。</w:t>
      </w:r>
    </w:p>
    <w:p>
      <w:pPr>
        <w:spacing w:line="240" w:lineRule="auto" w:before="10"/>
        <w:rPr>
          <w:rFonts w:ascii="宋体" w:hAnsi="宋体" w:cs="宋体" w:eastAsia="宋体" w:hint="default"/>
          <w:sz w:val="14"/>
          <w:szCs w:val="14"/>
        </w:rPr>
      </w:pPr>
    </w:p>
    <w:p>
      <w:pPr>
        <w:pStyle w:val="BodyText"/>
        <w:spacing w:line="398" w:lineRule="auto" w:before="0"/>
        <w:ind w:left="721" w:right="311" w:firstLine="423"/>
        <w:jc w:val="both"/>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）融资租出资产：公司在租赁开始日，将应收融资租赁款，未担保余值之和与其现值的差额</w:t>
      </w:r>
      <w:r>
        <w:rPr/>
        <w:t> 确认为未实现融资收益，在将来收到租金的各期间内确认为租赁收入。公司发生的与出租交易相关 的初始直接费用，计入应收融资租赁款的初始计量中，并减少租赁期内确认的收益金额。</w:t>
      </w:r>
    </w:p>
    <w:p>
      <w:pPr>
        <w:spacing w:line="240" w:lineRule="auto" w:before="3"/>
        <w:rPr>
          <w:rFonts w:ascii="宋体" w:hAnsi="宋体" w:cs="宋体" w:eastAsia="宋体" w:hint="default"/>
          <w:sz w:val="21"/>
          <w:szCs w:val="21"/>
        </w:rPr>
      </w:pPr>
    </w:p>
    <w:p>
      <w:pPr>
        <w:pStyle w:val="Heading4"/>
        <w:spacing w:line="240" w:lineRule="auto"/>
        <w:ind w:left="153" w:right="305"/>
        <w:jc w:val="left"/>
        <w:rPr>
          <w:b w:val="0"/>
          <w:bCs w:val="0"/>
        </w:rPr>
      </w:pPr>
      <w:r>
        <w:rPr>
          <w:rFonts w:ascii="Times New Roman" w:hAnsi="Times New Roman" w:cs="Times New Roman" w:eastAsia="Times New Roman" w:hint="default"/>
        </w:rPr>
        <w:t>29</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305"/>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6871"/>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6871" w:firstLine="0"/>
        <w:jc w:val="left"/>
        <w:rPr>
          <w:rFonts w:ascii="宋体" w:hAnsi="宋体" w:cs="宋体" w:eastAsia="宋体" w:hint="default"/>
          <w:sz w:val="18"/>
          <w:szCs w:val="18"/>
        </w:rPr>
      </w:pPr>
      <w:r>
        <w:rPr/>
        <w:pict>
          <v:shape style="position:absolute;margin-left:165.299698pt;margin-top:88.93203pt;width:210.15pt;height:35.25pt;mso-position-horizontal-relative:page;mso-position-vertical-relative:paragraph;z-index:-1221376" type="#_x0000_t202" filled="false" stroked="false">
            <v:textbox inset="0,0,0,0">
              <w:txbxContent>
                <w:p>
                  <w:pPr>
                    <w:spacing w:line="240" w:lineRule="auto" w:before="0"/>
                    <w:rPr>
                      <w:rFonts w:ascii="宋体" w:hAnsi="宋体" w:cs="宋体" w:eastAsia="宋体"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数据不调整。</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8"/>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1</w:t>
            </w:r>
            <w:r>
              <w:rPr>
                <w:rFonts w:ascii="宋体" w:hAnsi="宋体" w:cs="宋体" w:eastAsia="宋体" w:hint="default"/>
                <w:spacing w:val="-5"/>
                <w:w w:val="99"/>
                <w:sz w:val="18"/>
                <w:szCs w:val="18"/>
              </w:rPr>
              <w:t>）在利润表中分别列示</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持续经营净利</w:t>
            </w:r>
            <w:r>
              <w:rPr>
                <w:rFonts w:ascii="宋体" w:hAnsi="宋体" w:cs="宋体" w:eastAsia="宋体" w:hint="default"/>
                <w:spacing w:val="-85"/>
                <w:w w:val="99"/>
                <w:sz w:val="18"/>
                <w:szCs w:val="18"/>
              </w:rPr>
              <w:t> </w:t>
            </w:r>
            <w:r>
              <w:rPr>
                <w:rFonts w:ascii="宋体" w:hAnsi="宋体" w:cs="宋体" w:eastAsia="宋体" w:hint="default"/>
                <w:sz w:val="18"/>
                <w:szCs w:val="18"/>
              </w:rPr>
              <w:t>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 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120,228,312.33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元；列示终止经营净利润</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本年金额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）部分与资产相关的政府补助，冲减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了相关资产账面价值。比较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right="-49"/>
              <w:jc w:val="left"/>
              <w:rPr>
                <w:rFonts w:ascii="宋体" w:hAnsi="宋体" w:cs="宋体" w:eastAsia="宋体" w:hint="default"/>
                <w:sz w:val="15"/>
                <w:szCs w:val="15"/>
              </w:rPr>
            </w:pPr>
            <w:r>
              <w:rPr>
                <w:rFonts w:ascii="宋体" w:hAnsi="宋体" w:cs="宋体" w:eastAsia="宋体" w:hint="default"/>
                <w:position w:val="-2"/>
                <w:sz w:val="15"/>
                <w:szCs w:val="15"/>
              </w:rPr>
              <w:pict>
                <v:group style="width:158.950pt;height:7.8pt;mso-position-horizontal-relative:char;mso-position-vertical-relative:line" coordorigin="0,0" coordsize="3179,156">
                  <v:group style="position:absolute;left:0;top:0;width:3179;height:156" coordorigin="0,0" coordsize="3179,156">
                    <v:shape style="position:absolute;left:0;top:0;width:3179;height:156" coordorigin="0,0" coordsize="3179,156" path="m0,156l3179,156,3179,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）部分与收益相关的政府补助，冲减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了相关成本费用。比较数据不调整。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）与本公司日常活动相关的政府补 助，计入其他收益，不再计入营业外收 入。比较数据不调整。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51,581,798.65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 目，将部分原列示为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营 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 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营业外支出本期减少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106,446.49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w:t>
            </w:r>
          </w:p>
          <w:p>
            <w:pPr>
              <w:pStyle w:val="TableParagraph"/>
              <w:spacing w:line="302"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期减少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67,928.84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元，均重分类至资产处 置收益。</w:t>
            </w:r>
          </w:p>
        </w:tc>
      </w:tr>
    </w:tbl>
    <w:p>
      <w:pPr>
        <w:spacing w:line="240" w:lineRule="auto" w:before="1"/>
        <w:rPr>
          <w:rFonts w:ascii="宋体" w:hAnsi="宋体" w:cs="宋体" w:eastAsia="宋体" w:hint="default"/>
          <w:sz w:val="14"/>
          <w:szCs w:val="14"/>
        </w:rPr>
      </w:pPr>
    </w:p>
    <w:p>
      <w:pPr>
        <w:pStyle w:val="BodyText"/>
        <w:spacing w:line="386" w:lineRule="auto" w:before="35"/>
        <w:ind w:left="578" w:right="306" w:firstLine="423"/>
        <w:jc w:val="left"/>
      </w:pPr>
      <w:r>
        <w:rPr>
          <w:spacing w:val="-1"/>
        </w:rPr>
        <w:t>执行《企业会计准则第</w:t>
      </w:r>
      <w:r>
        <w:rPr>
          <w:rFonts w:ascii="Times New Roman" w:hAnsi="Times New Roman" w:cs="Times New Roman" w:eastAsia="Times New Roman" w:hint="default"/>
          <w:spacing w:val="-1"/>
        </w:rPr>
        <w:t>42</w:t>
      </w:r>
      <w:r>
        <w:rPr>
          <w:spacing w:val="-1"/>
        </w:rPr>
        <w:t>号</w:t>
      </w:r>
      <w:r>
        <w:rPr>
          <w:rFonts w:ascii="Times New Roman" w:hAnsi="Times New Roman" w:cs="Times New Roman" w:eastAsia="Times New Roman" w:hint="default"/>
          <w:spacing w:val="-1"/>
        </w:rPr>
        <w:t>——</w:t>
      </w:r>
      <w:r>
        <w:rPr>
          <w:spacing w:val="-1"/>
        </w:rPr>
        <w:t>持有待售的非流动资产、处置组和终止经营》、《企业会计准则</w:t>
      </w:r>
      <w:r>
        <w:rPr/>
        <w:t> 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政府补助》和《财政部关于修订印发一般企业财务报表格式的通知》。</w:t>
      </w:r>
    </w:p>
    <w:p>
      <w:pPr>
        <w:pStyle w:val="BodyText"/>
        <w:spacing w:line="386" w:lineRule="auto" w:before="35"/>
        <w:ind w:left="580" w:right="94" w:firstLine="423"/>
        <w:jc w:val="left"/>
      </w:pPr>
      <w:r>
        <w:rPr>
          <w:spacing w:val="-6"/>
        </w:rPr>
        <w:t>财政部于</w:t>
      </w:r>
      <w:r>
        <w:rPr>
          <w:rFonts w:ascii="Times New Roman" w:hAnsi="Times New Roman" w:cs="Times New Roman" w:eastAsia="Times New Roman" w:hint="default"/>
          <w:spacing w:val="-6"/>
        </w:rPr>
        <w:t>2017</w:t>
      </w:r>
      <w:r>
        <w:rPr>
          <w:spacing w:val="-6"/>
        </w:rPr>
        <w:t>年度发布了《企业会计准则第</w:t>
      </w:r>
      <w:r>
        <w:rPr>
          <w:rFonts w:ascii="Times New Roman" w:hAnsi="Times New Roman" w:cs="Times New Roman" w:eastAsia="Times New Roman" w:hint="default"/>
          <w:spacing w:val="-6"/>
        </w:rPr>
        <w:t>42</w:t>
      </w:r>
      <w:r>
        <w:rPr>
          <w:spacing w:val="-6"/>
        </w:rPr>
        <w:t>号</w:t>
      </w:r>
      <w:r>
        <w:rPr>
          <w:rFonts w:ascii="Times New Roman" w:hAnsi="Times New Roman" w:cs="Times New Roman" w:eastAsia="Times New Roman" w:hint="default"/>
          <w:spacing w:val="-6"/>
        </w:rPr>
        <w:t>——</w:t>
      </w:r>
      <w:r>
        <w:rPr>
          <w:spacing w:val="-6"/>
        </w:rPr>
        <w:t>持有待售的非流动资产、处置组和终止经营》，</w:t>
      </w:r>
      <w:r>
        <w:rPr/>
        <w:t> 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日起施行，对于施行日存在的持有待售的非流动资产、处置组和终止经营，要求采用</w:t>
      </w:r>
      <w:r>
        <w:rPr>
          <w:spacing w:val="-42"/>
        </w:rPr>
        <w:t> </w:t>
      </w:r>
      <w:r>
        <w:rPr>
          <w:spacing w:val="-42"/>
        </w:rPr>
      </w:r>
      <w:r>
        <w:rPr/>
        <w:t>未来适用法处理。</w:t>
      </w:r>
    </w:p>
    <w:p>
      <w:pPr>
        <w:pStyle w:val="BodyText"/>
        <w:spacing w:line="386" w:lineRule="auto" w:before="65"/>
        <w:ind w:left="580" w:right="310" w:firstLine="423"/>
        <w:jc w:val="both"/>
      </w:pPr>
      <w:r>
        <w:rPr/>
        <w:t>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政府补助》，修订后的准则自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 </w:t>
      </w:r>
      <w:r>
        <w:rPr>
          <w:spacing w:val="-1"/>
        </w:rPr>
        <w:t>日起施行，对于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日存在的政府补助，要求采用未来适用法处理；对于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日至施行</w:t>
      </w:r>
      <w:r>
        <w:rPr>
          <w:spacing w:val="-95"/>
        </w:rPr>
        <w:t> </w:t>
      </w:r>
      <w:r>
        <w:rPr>
          <w:spacing w:val="-95"/>
        </w:rPr>
      </w:r>
      <w:r>
        <w:rPr/>
        <w:t>日新增的政府补助，也要求按照修订后的准则进行调整。</w:t>
      </w:r>
    </w:p>
    <w:p>
      <w:pPr>
        <w:pStyle w:val="BodyText"/>
        <w:spacing w:line="240" w:lineRule="auto" w:before="65"/>
        <w:ind w:left="1003" w:right="94"/>
        <w:jc w:val="left"/>
      </w:pPr>
      <w:r>
        <w:rPr/>
        <w:t>财政部于</w:t>
      </w:r>
      <w:r>
        <w:rPr>
          <w:rFonts w:ascii="Times New Roman" w:hAnsi="Times New Roman" w:cs="Times New Roman" w:eastAsia="Times New Roman" w:hint="default"/>
        </w:rPr>
        <w:t>2017</w:t>
      </w:r>
      <w:r>
        <w:rPr/>
        <w:t>年度发布了《财政部关于修订印发一般企业财务报表格式的通知》，对一般企业财</w:t>
      </w:r>
    </w:p>
    <w:p>
      <w:pPr>
        <w:spacing w:after="0" w:line="240" w:lineRule="auto"/>
        <w:jc w:val="left"/>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240" w:lineRule="auto" w:before="35"/>
        <w:ind w:left="580" w:right="133"/>
        <w:jc w:val="left"/>
      </w:pPr>
      <w:r>
        <w:rPr/>
        <w:t>务报表格式进行了修订，适用于</w:t>
      </w:r>
      <w:r>
        <w:rPr>
          <w:rFonts w:ascii="Times New Roman" w:hAnsi="Times New Roman" w:cs="Times New Roman" w:eastAsia="Times New Roman" w:hint="default"/>
        </w:rPr>
        <w:t>2017</w:t>
      </w:r>
      <w:r>
        <w:rPr/>
        <w:t>年度及以后期间的财务报表。</w:t>
      </w:r>
    </w:p>
    <w:p>
      <w:pPr>
        <w:spacing w:line="240" w:lineRule="auto" w:before="8"/>
        <w:rPr>
          <w:rFonts w:ascii="宋体" w:hAnsi="宋体" w:cs="宋体" w:eastAsia="宋体" w:hint="default"/>
          <w:sz w:val="30"/>
          <w:szCs w:val="30"/>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487" w:lineRule="auto" w:before="0"/>
        <w:ind w:left="154" w:right="79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8"/>
        <w:rPr>
          <w:rFonts w:ascii="宋体" w:hAnsi="宋体" w:cs="宋体" w:eastAsia="宋体" w:hint="default"/>
          <w:b/>
          <w:bCs/>
          <w:sz w:val="6"/>
          <w:szCs w:val="6"/>
        </w:rPr>
      </w:pPr>
    </w:p>
    <w:p>
      <w:pPr>
        <w:spacing w:before="44"/>
        <w:ind w:left="154" w:right="13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北京迪科远望科技有限公司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上海树维信息科技有限公司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福建新开普信息科技有限公司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山西新开普信息科技有限公司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郑州新开普科技有限公司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80" w:right="133"/>
        <w:jc w:val="left"/>
      </w:pPr>
      <w:r>
        <w:rPr>
          <w:rFonts w:ascii="Times New Roman" w:hAnsi="Times New Roman" w:cs="Times New Roman" w:eastAsia="Times New Roman" w:hint="default"/>
        </w:rPr>
        <w:t>1</w:t>
      </w:r>
      <w:r>
        <w:rPr/>
        <w:t>、新开普及子公司享受的增值税优惠政策</w:t>
      </w:r>
    </w:p>
    <w:p>
      <w:pPr>
        <w:pStyle w:val="BodyText"/>
        <w:spacing w:line="348" w:lineRule="auto" w:before="117"/>
        <w:ind w:left="580" w:right="148" w:firstLine="423"/>
        <w:jc w:val="left"/>
      </w:pPr>
      <w:r>
        <w:rPr>
          <w:spacing w:val="-5"/>
        </w:rPr>
        <w:t>根据《关于软件产品增值税政策的通知》（财税</w:t>
      </w:r>
      <w:r>
        <w:rPr/>
        <w:t> </w:t>
      </w:r>
      <w:r>
        <w:rPr>
          <w:rFonts w:ascii="Times New Roman" w:hAnsi="Times New Roman" w:cs="Times New Roman" w:eastAsia="Times New Roman" w:hint="default"/>
          <w:spacing w:val="-2"/>
        </w:rPr>
        <w:t>[2011]100</w:t>
      </w:r>
      <w:r>
        <w:rPr>
          <w:rFonts w:ascii="Times New Roman" w:hAnsi="Times New Roman" w:cs="Times New Roman" w:eastAsia="Times New Roman" w:hint="default"/>
          <w:spacing w:val="1"/>
        </w:rPr>
        <w:t> </w:t>
      </w:r>
      <w:r>
        <w:rPr/>
        <w:t>号）规定：增值税一般纳税人销售自 行开发生产的软件产品，按</w:t>
      </w:r>
      <w:r>
        <w:rPr>
          <w:spacing w:val="-55"/>
        </w:rPr>
        <w:t> </w:t>
      </w:r>
      <w:r>
        <w:rPr>
          <w:rFonts w:ascii="Times New Roman" w:hAnsi="Times New Roman" w:cs="Times New Roman" w:eastAsia="Times New Roman" w:hint="default"/>
        </w:rPr>
        <w:t>17%</w:t>
      </w:r>
      <w:r>
        <w:rPr/>
        <w:t>税率征收增值税后，对其增值税实际税负超过</w:t>
      </w:r>
      <w:r>
        <w:rPr>
          <w:spacing w:val="-55"/>
        </w:rPr>
        <w:t> </w:t>
      </w:r>
      <w:r>
        <w:rPr>
          <w:rFonts w:ascii="Times New Roman" w:hAnsi="Times New Roman" w:cs="Times New Roman" w:eastAsia="Times New Roman" w:hint="default"/>
        </w:rPr>
        <w:t>3%</w:t>
      </w:r>
      <w:r>
        <w:rPr/>
        <w:t>的部分实行即征即 </w:t>
      </w:r>
      <w:r>
        <w:rPr>
          <w:spacing w:val="-1"/>
        </w:rPr>
        <w:t>退政策；对增值税一般纳税人随同计算机硬件、机器设备一并销售嵌入式软件产品，如果按组成计税</w:t>
      </w:r>
      <w:r>
        <w:rPr>
          <w:spacing w:val="-91"/>
        </w:rPr>
        <w:t> </w:t>
      </w:r>
      <w:r>
        <w:rPr>
          <w:spacing w:val="-91"/>
        </w:rPr>
      </w:r>
      <w:r>
        <w:rPr>
          <w:spacing w:val="-1"/>
        </w:rPr>
        <w:t>价格计算确定计算机硬件、机器设备销售额的，应当分别核算嵌入式软件产品与计算机硬件、机器设</w:t>
      </w:r>
      <w:r>
        <w:rPr>
          <w:spacing w:val="-91"/>
        </w:rPr>
        <w:t> </w:t>
      </w:r>
      <w:r>
        <w:rPr>
          <w:spacing w:val="-91"/>
        </w:rPr>
      </w:r>
      <w:r>
        <w:rPr/>
        <w:t>备部分的成本，凡未分别核算或核算不清的，不得享受通知规定的增值税政策。 </w:t>
      </w:r>
      <w:r>
        <w:rPr>
          <w:rFonts w:ascii="Times New Roman" w:hAnsi="Times New Roman" w:cs="Times New Roman" w:eastAsia="Times New Roman" w:hint="default"/>
        </w:rPr>
        <w:t>2</w:t>
      </w:r>
      <w:r>
        <w:rPr/>
        <w:t>、新开普及子公司享受的所得税优惠政策</w:t>
      </w:r>
    </w:p>
    <w:p>
      <w:pPr>
        <w:spacing w:after="0" w:line="348" w:lineRule="auto"/>
        <w:jc w:val="left"/>
        <w:sectPr>
          <w:pgSz w:w="11910" w:h="16840"/>
          <w:pgMar w:header="877" w:footer="982" w:top="1100" w:bottom="1180" w:left="980" w:right="980"/>
        </w:sectPr>
      </w:pPr>
    </w:p>
    <w:p>
      <w:pPr>
        <w:spacing w:line="240" w:lineRule="auto" w:before="2"/>
        <w:rPr>
          <w:rFonts w:ascii="宋体" w:hAnsi="宋体" w:cs="宋体" w:eastAsia="宋体" w:hint="default"/>
          <w:sz w:val="19"/>
          <w:szCs w:val="19"/>
        </w:rPr>
      </w:pPr>
    </w:p>
    <w:p>
      <w:pPr>
        <w:pStyle w:val="BodyText"/>
        <w:spacing w:line="336" w:lineRule="auto" w:before="35"/>
        <w:ind w:left="769" w:right="150" w:firstLine="424"/>
        <w:jc w:val="both"/>
      </w:pPr>
      <w:r>
        <w:rPr/>
        <w:t>新开普电子股份有限公司于</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日被评为高新技术企业，已办理《高新技术企业批 准证书》证书编号为</w:t>
      </w:r>
      <w:r>
        <w:rPr>
          <w:spacing w:val="-58"/>
        </w:rPr>
        <w:t> </w:t>
      </w:r>
      <w:r>
        <w:rPr>
          <w:rFonts w:ascii="Times New Roman" w:hAnsi="Times New Roman" w:cs="Times New Roman" w:eastAsia="Times New Roman" w:hint="default"/>
        </w:rPr>
        <w:t>GR201741000424</w:t>
      </w:r>
      <w:r>
        <w:rPr/>
        <w:t>，本年度按</w:t>
      </w:r>
      <w:r>
        <w:rPr>
          <w:spacing w:val="-59"/>
        </w:rPr>
        <w:t> </w:t>
      </w:r>
      <w:r>
        <w:rPr>
          <w:rFonts w:ascii="Times New Roman" w:hAnsi="Times New Roman" w:cs="Times New Roman" w:eastAsia="Times New Roman" w:hint="default"/>
        </w:rPr>
        <w:t>15%</w:t>
      </w:r>
      <w:r>
        <w:rPr/>
        <w:t>税率征收企业所得税。</w:t>
      </w:r>
    </w:p>
    <w:p>
      <w:pPr>
        <w:pStyle w:val="BodyText"/>
        <w:spacing w:line="343" w:lineRule="auto" w:before="25"/>
        <w:ind w:left="769" w:right="150" w:firstLine="424"/>
        <w:jc w:val="both"/>
      </w:pPr>
      <w:r>
        <w:rPr/>
        <w:t>公司全资子公司北京迪科远望科技有限公司于 </w:t>
      </w:r>
      <w:r>
        <w:rPr>
          <w:rFonts w:ascii="Times New Roman" w:hAnsi="Times New Roman" w:cs="Times New Roman" w:eastAsia="Times New Roman" w:hint="default"/>
        </w:rPr>
        <w:t>2017</w:t>
      </w:r>
      <w:r>
        <w:rPr>
          <w:rFonts w:ascii="Times New Roman" w:hAnsi="Times New Roman" w:cs="Times New Roman" w:eastAsia="Times New Roman" w:hint="default"/>
          <w:spacing w:val="36"/>
        </w:rPr>
        <w:t> </w:t>
      </w:r>
      <w:r>
        <w:rPr/>
        <w:t>年被北京市科学技术委员会、北京市财政 </w:t>
      </w:r>
      <w:r>
        <w:rPr>
          <w:spacing w:val="-2"/>
        </w:rPr>
        <w:t>局、北京市国家税务局、北京市地方税务局认定为高新技术企业，</w:t>
      </w:r>
      <w:r>
        <w:rPr>
          <w:spacing w:val="-2"/>
          <w:position w:val="-1"/>
        </w:rPr>
        <w:t>证书编号</w:t>
      </w:r>
      <w:r>
        <w:rPr>
          <w:spacing w:val="-38"/>
          <w:position w:val="-1"/>
        </w:rPr>
        <w:t> </w:t>
      </w:r>
      <w:r>
        <w:rPr>
          <w:spacing w:val="-2"/>
          <w:position w:val="-1"/>
        </w:rPr>
        <w:t>GR201711001503</w:t>
      </w:r>
      <w:r>
        <w:rPr>
          <w:spacing w:val="-2"/>
        </w:rPr>
        <w:t>，</w:t>
      </w:r>
      <w:r>
        <w:rPr>
          <w:spacing w:val="-2"/>
          <w:position w:val="-1"/>
        </w:rPr>
        <w:t>有效</w:t>
      </w:r>
      <w:r>
        <w:rPr>
          <w:spacing w:val="-98"/>
          <w:position w:val="-1"/>
        </w:rPr>
        <w:t> </w:t>
      </w:r>
      <w:r>
        <w:rPr>
          <w:spacing w:val="-98"/>
          <w:position w:val="-1"/>
        </w:rPr>
      </w:r>
      <w:r>
        <w:rPr>
          <w:position w:val="-1"/>
        </w:rPr>
        <w:t>期为三年，</w:t>
      </w:r>
      <w:r>
        <w:rPr/>
        <w:t>本年度按</w:t>
      </w:r>
      <w:r>
        <w:rPr>
          <w:spacing w:val="-54"/>
        </w:rPr>
        <w:t> </w:t>
      </w:r>
      <w:r>
        <w:rPr>
          <w:rFonts w:ascii="Times New Roman" w:hAnsi="Times New Roman" w:cs="Times New Roman" w:eastAsia="Times New Roman" w:hint="default"/>
        </w:rPr>
        <w:t>15%</w:t>
      </w:r>
      <w:r>
        <w:rPr/>
        <w:t>税率征收企业所得税。</w:t>
      </w:r>
    </w:p>
    <w:p>
      <w:pPr>
        <w:pStyle w:val="BodyText"/>
        <w:spacing w:line="343" w:lineRule="auto" w:before="32"/>
        <w:ind w:left="769" w:right="145" w:firstLine="424"/>
        <w:jc w:val="both"/>
      </w:pPr>
      <w:r>
        <w:rPr/>
        <w:t>公司全资子公司上海树维信息科技有限公司于 </w:t>
      </w:r>
      <w:r>
        <w:rPr>
          <w:rFonts w:ascii="Times New Roman" w:hAnsi="Times New Roman" w:cs="Times New Roman" w:eastAsia="Times New Roman" w:hint="default"/>
        </w:rPr>
        <w:t>2017</w:t>
      </w:r>
      <w:r>
        <w:rPr>
          <w:rFonts w:ascii="Times New Roman" w:hAnsi="Times New Roman" w:cs="Times New Roman" w:eastAsia="Times New Roman" w:hint="default"/>
          <w:spacing w:val="36"/>
        </w:rPr>
        <w:t> </w:t>
      </w:r>
      <w:r>
        <w:rPr/>
        <w:t>年被上海市科学技术委员会、上海市财政 </w:t>
      </w:r>
      <w:r>
        <w:rPr>
          <w:spacing w:val="4"/>
        </w:rPr>
        <w:t>局、上海市国家税务局、上海市地方税务局认定为高新技术企业，</w:t>
      </w:r>
      <w:r>
        <w:rPr>
          <w:spacing w:val="4"/>
          <w:position w:val="-1"/>
        </w:rPr>
        <w:t>高新技术企业批准证书编号为</w:t>
      </w:r>
      <w:r>
        <w:rPr>
          <w:spacing w:val="-93"/>
          <w:position w:val="-1"/>
        </w:rPr>
        <w:t> </w:t>
      </w:r>
      <w:r>
        <w:rPr>
          <w:spacing w:val="-93"/>
          <w:position w:val="-1"/>
        </w:rPr>
      </w:r>
      <w:r>
        <w:rPr>
          <w:rFonts w:ascii="Times New Roman" w:hAnsi="Times New Roman" w:cs="Times New Roman" w:eastAsia="Times New Roman" w:hint="default"/>
          <w:position w:val="-1"/>
        </w:rPr>
        <w:t>“GR201731002658”</w:t>
      </w:r>
      <w:r>
        <w:rPr/>
        <w:t>，有限期为三年。本年度按</w:t>
      </w:r>
      <w:r>
        <w:rPr>
          <w:spacing w:val="-62"/>
        </w:rPr>
        <w:t> </w:t>
      </w:r>
      <w:r>
        <w:rPr>
          <w:rFonts w:ascii="Times New Roman" w:hAnsi="Times New Roman" w:cs="Times New Roman" w:eastAsia="Times New Roman" w:hint="default"/>
        </w:rPr>
        <w:t>15%</w:t>
      </w:r>
      <w:r>
        <w:rPr/>
        <w:t>税率征收企业所得税。</w:t>
      </w:r>
    </w:p>
    <w:p>
      <w:pPr>
        <w:pStyle w:val="BodyText"/>
        <w:spacing w:line="343" w:lineRule="auto" w:before="0"/>
        <w:ind w:left="769" w:right="150" w:firstLine="424"/>
        <w:jc w:val="both"/>
      </w:pPr>
      <w:r>
        <w:rPr>
          <w:position w:val="2"/>
        </w:rPr>
        <w:t>公司控股子公司福建新开普信息科技有限公司</w:t>
      </w:r>
      <w:r>
        <w:rPr/>
        <w:t>于</w:t>
      </w:r>
      <w:r>
        <w:rPr>
          <w:spacing w:val="-5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月经福建省科学技术厅、福建省财 </w:t>
      </w:r>
      <w:r>
        <w:rPr>
          <w:spacing w:val="-1"/>
        </w:rPr>
        <w:t>政厅、福建省国家税务局、福建省地方税务局批准认定为高新技术企业，高新技术企业批准证书编</w:t>
      </w:r>
      <w:r>
        <w:rPr>
          <w:spacing w:val="-71"/>
        </w:rPr>
        <w:t> </w:t>
      </w:r>
      <w:r>
        <w:rPr>
          <w:spacing w:val="-71"/>
        </w:rPr>
      </w:r>
      <w:r>
        <w:rPr/>
        <w:t>号为</w:t>
      </w:r>
      <w:r>
        <w:rPr>
          <w:rFonts w:ascii="Times New Roman" w:hAnsi="Times New Roman" w:cs="Times New Roman" w:eastAsia="Times New Roman" w:hint="default"/>
        </w:rPr>
        <w:t>“GR201635000278”</w:t>
      </w:r>
      <w:r>
        <w:rPr/>
        <w:t>。 </w:t>
      </w:r>
      <w:r>
        <w:rPr>
          <w:position w:val="2"/>
        </w:rPr>
        <w:t>本年度按</w:t>
      </w:r>
      <w:r>
        <w:rPr>
          <w:spacing w:val="-62"/>
          <w:position w:val="2"/>
        </w:rPr>
        <w:t> </w:t>
      </w:r>
      <w:r>
        <w:rPr>
          <w:rFonts w:ascii="Times New Roman" w:hAnsi="Times New Roman" w:cs="Times New Roman" w:eastAsia="Times New Roman" w:hint="default"/>
          <w:position w:val="2"/>
        </w:rPr>
        <w:t>15%</w:t>
      </w:r>
      <w:r>
        <w:rPr>
          <w:position w:val="2"/>
        </w:rPr>
        <w:t>税率征收企业所得税。</w:t>
      </w:r>
      <w:r>
        <w:rPr/>
      </w:r>
    </w:p>
    <w:p>
      <w:pPr>
        <w:spacing w:line="240" w:lineRule="auto" w:before="2"/>
        <w:rPr>
          <w:rFonts w:ascii="宋体" w:hAnsi="宋体" w:cs="宋体" w:eastAsia="宋体" w:hint="default"/>
          <w:sz w:val="25"/>
          <w:szCs w:val="25"/>
        </w:rPr>
      </w:pPr>
    </w:p>
    <w:p>
      <w:pPr>
        <w:spacing w:line="487" w:lineRule="auto" w:before="0"/>
        <w:ind w:left="154" w:right="6879"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107,673.02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225,148.19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593,240,934.34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586,072,989.01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929,960.99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1,579,960.99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594,278,568.35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587,878,098.19</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right="133"/>
        <w:jc w:val="left"/>
      </w:pPr>
      <w:r>
        <w:rPr/>
        <w:t>其中因抵押、质押或冻结等对使用有限制，以及放在境外且资金汇回受到限制的货币资金明细如下：</w:t>
      </w:r>
    </w:p>
    <w:p>
      <w:pPr>
        <w:spacing w:line="240" w:lineRule="auto" w:before="11"/>
        <w:rPr>
          <w:rFonts w:ascii="宋体" w:hAnsi="宋体" w:cs="宋体" w:eastAsia="宋体" w:hint="default"/>
          <w:sz w:val="21"/>
          <w:szCs w:val="21"/>
        </w:rPr>
      </w:pPr>
    </w:p>
    <w:tbl>
      <w:tblPr>
        <w:tblW w:w="0" w:type="auto"/>
        <w:jc w:val="left"/>
        <w:tblInd w:w="755" w:type="dxa"/>
        <w:tblLayout w:type="fixed"/>
        <w:tblCellMar>
          <w:top w:w="0" w:type="dxa"/>
          <w:left w:w="0" w:type="dxa"/>
          <w:bottom w:w="0" w:type="dxa"/>
          <w:right w:w="0" w:type="dxa"/>
        </w:tblCellMar>
        <w:tblLook w:val="01E0"/>
      </w:tblPr>
      <w:tblGrid>
        <w:gridCol w:w="3337"/>
        <w:gridCol w:w="2238"/>
        <w:gridCol w:w="2324"/>
      </w:tblGrid>
      <w:tr>
        <w:trPr>
          <w:trHeight w:val="341" w:hRule="exact"/>
        </w:trPr>
        <w:tc>
          <w:tcPr>
            <w:tcW w:w="3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1452"/>
              <w:jc w:val="right"/>
              <w:rPr>
                <w:rFonts w:ascii="宋体" w:hAnsi="宋体" w:cs="宋体" w:eastAsia="宋体" w:hint="default"/>
                <w:sz w:val="21"/>
                <w:szCs w:val="21"/>
              </w:rPr>
            </w:pPr>
            <w:r>
              <w:rPr>
                <w:rFonts w:ascii="宋体" w:hAnsi="宋体" w:cs="宋体" w:eastAsia="宋体" w:hint="default"/>
                <w:sz w:val="21"/>
                <w:szCs w:val="21"/>
              </w:rPr>
              <w:t>项目</w:t>
            </w:r>
          </w:p>
        </w:tc>
        <w:tc>
          <w:tcPr>
            <w:tcW w:w="22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69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736"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4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929,960.99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1,579,960.99</w:t>
            </w:r>
          </w:p>
        </w:tc>
      </w:tr>
      <w:tr>
        <w:trPr>
          <w:trHeight w:val="342"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452"/>
              <w:jc w:val="right"/>
              <w:rPr>
                <w:rFonts w:ascii="宋体" w:hAnsi="宋体" w:cs="宋体" w:eastAsia="宋体" w:hint="default"/>
                <w:sz w:val="21"/>
                <w:szCs w:val="21"/>
              </w:rPr>
            </w:pPr>
            <w:r>
              <w:rPr>
                <w:rFonts w:ascii="宋体" w:hAnsi="宋体" w:cs="宋体" w:eastAsia="宋体" w:hint="default"/>
                <w:sz w:val="21"/>
                <w:szCs w:val="21"/>
              </w:rPr>
              <w:t>合计</w:t>
            </w:r>
          </w:p>
        </w:tc>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929,960.99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1,579,960.99</w:t>
            </w:r>
          </w:p>
        </w:tc>
      </w:tr>
    </w:tbl>
    <w:p>
      <w:pPr>
        <w:spacing w:line="240" w:lineRule="auto" w:before="1"/>
        <w:rPr>
          <w:rFonts w:ascii="宋体" w:hAnsi="宋体" w:cs="宋体" w:eastAsia="宋体" w:hint="default"/>
          <w:sz w:val="14"/>
          <w:szCs w:val="14"/>
        </w:rPr>
      </w:pPr>
    </w:p>
    <w:p>
      <w:pPr>
        <w:pStyle w:val="BodyText"/>
        <w:spacing w:line="386" w:lineRule="auto" w:before="35"/>
        <w:ind w:left="294" w:right="133" w:firstLine="280"/>
        <w:jc w:val="left"/>
      </w:pP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日，其他货币资金中人民币</w:t>
      </w:r>
      <w:r>
        <w:rPr>
          <w:rFonts w:ascii="Times New Roman" w:hAnsi="Times New Roman" w:cs="Times New Roman" w:eastAsia="Times New Roman" w:hint="default"/>
          <w:spacing w:val="-1"/>
        </w:rPr>
        <w:t>929,960.99</w:t>
      </w:r>
      <w:r>
        <w:rPr>
          <w:spacing w:val="-1"/>
        </w:rPr>
        <w:t>元，为本公司向银行申请开具无条件、不可</w:t>
      </w:r>
      <w:r>
        <w:rPr/>
        <w:t> 撤销的履约保证金所存入的保证金存款。</w:t>
      </w:r>
    </w:p>
    <w:p>
      <w:pPr>
        <w:spacing w:after="0" w:line="386"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33"/>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575,610.00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4,316,651.50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615,610.00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4,316,651.50</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5,442,803.01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1,573,250.00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7,016,053.01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378,711,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017.68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62,487,1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97.92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316,223,8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19.76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280,029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,887.44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49,976,39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230,053,48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9.01</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center"/>
              <w:rPr>
                <w:rFonts w:ascii="Times New Roman" w:hAnsi="Times New Roman" w:cs="Times New Roman" w:eastAsia="Times New Roman" w:hint="default"/>
                <w:sz w:val="18"/>
                <w:szCs w:val="18"/>
              </w:rPr>
            </w:pPr>
            <w:r>
              <w:rPr>
                <w:rFonts w:ascii="Times New Roman"/>
                <w:sz w:val="18"/>
              </w:rPr>
              <w:t>378,711,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017.68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62,487,1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97.92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316,223,8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19.76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280,029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,887.44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49,976,39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230,053,48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9.01</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253,003,070.07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12,650,153.51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253,003,070.07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12,650,153.51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56,100,542.29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5,610,054.24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24,489,162.89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7,346,748.87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45,118,242.43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36,880,241.30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81.74%</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16,476,002.28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8,238,001.15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7,557,973.89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7,557,973.89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21,084,266.26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21,084,266.26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378,711,017.68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62,487,197.92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16.50%</w:t>
            </w:r>
            <w:r>
              <w:rPr>
                <w:rFonts w:ascii="Times New Roman"/>
                <w:sz w:val="18"/>
              </w:rPr>
            </w:r>
          </w:p>
        </w:tc>
      </w:tr>
    </w:tbl>
    <w:p>
      <w:pPr>
        <w:spacing w:line="240" w:lineRule="auto" w:before="9"/>
        <w:rPr>
          <w:rFonts w:ascii="宋体" w:hAnsi="宋体" w:cs="宋体" w:eastAsia="宋体" w:hint="default"/>
          <w:sz w:val="6"/>
          <w:szCs w:val="6"/>
        </w:rPr>
      </w:pPr>
    </w:p>
    <w:p>
      <w:pPr>
        <w:spacing w:before="44"/>
        <w:ind w:left="154" w:right="13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21"/>
          <w:szCs w:val="21"/>
        </w:rPr>
      </w:pPr>
    </w:p>
    <w:p>
      <w:pPr>
        <w:pStyle w:val="Heading4"/>
        <w:spacing w:line="240" w:lineRule="auto"/>
        <w:ind w:right="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12,510,799.49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4"/>
        <w:spacing w:line="240" w:lineRule="auto"/>
        <w:ind w:right="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671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tbl>
      <w:tblPr>
        <w:tblW w:w="0" w:type="auto"/>
        <w:jc w:val="left"/>
        <w:tblInd w:w="755" w:type="dxa"/>
        <w:tblLayout w:type="fixed"/>
        <w:tblCellMar>
          <w:top w:w="0" w:type="dxa"/>
          <w:left w:w="0" w:type="dxa"/>
          <w:bottom w:w="0" w:type="dxa"/>
          <w:right w:w="0" w:type="dxa"/>
        </w:tblCellMar>
        <w:tblLook w:val="01E0"/>
      </w:tblPr>
      <w:tblGrid>
        <w:gridCol w:w="3080"/>
        <w:gridCol w:w="1700"/>
        <w:gridCol w:w="1702"/>
        <w:gridCol w:w="1278"/>
      </w:tblGrid>
      <w:tr>
        <w:trPr>
          <w:trHeight w:val="342" w:hRule="exact"/>
        </w:trPr>
        <w:tc>
          <w:tcPr>
            <w:tcW w:w="308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54" w:hRule="exact"/>
        </w:trPr>
        <w:tc>
          <w:tcPr>
            <w:tcW w:w="3080" w:type="dxa"/>
            <w:vMerge/>
            <w:tcBorders>
              <w:left w:val="single" w:sz="4" w:space="0" w:color="000000"/>
              <w:bottom w:val="single" w:sz="4" w:space="0" w:color="000000"/>
              <w:right w:val="single" w:sz="4" w:space="0" w:color="000000"/>
            </w:tcBorders>
            <w:shd w:val="clear" w:color="auto" w:fill="D9D9D9"/>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2"/>
              <w:ind w:left="4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374" w:right="5" w:hanging="369"/>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占应收账款合计数 的比例</w:t>
            </w:r>
            <w:r>
              <w:rPr>
                <w:rFonts w:ascii="Times New Roman" w:hAnsi="Times New Roman" w:cs="Times New Roman" w:eastAsia="Times New Roman" w:hint="default"/>
                <w:sz w:val="21"/>
                <w:szCs w:val="21"/>
              </w:rPr>
              <w:t>(%)</w:t>
            </w:r>
          </w:p>
        </w:tc>
        <w:tc>
          <w:tcPr>
            <w:tcW w:w="12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2"/>
              <w:ind w:left="21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2"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中国移动通信集团北京有限公司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10,508,813.34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2.77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525,440.67</w:t>
            </w:r>
          </w:p>
        </w:tc>
      </w:tr>
      <w:tr>
        <w:trPr>
          <w:trHeight w:val="65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25"/>
              <w:jc w:val="left"/>
              <w:rPr>
                <w:rFonts w:ascii="宋体" w:hAnsi="宋体" w:cs="宋体" w:eastAsia="宋体" w:hint="default"/>
                <w:sz w:val="21"/>
                <w:szCs w:val="21"/>
              </w:rPr>
            </w:pPr>
            <w:r>
              <w:rPr>
                <w:rFonts w:ascii="宋体" w:hAnsi="宋体" w:cs="宋体" w:eastAsia="宋体" w:hint="default"/>
                <w:sz w:val="21"/>
                <w:szCs w:val="21"/>
              </w:rPr>
              <w:t>中国工商银行股份有限公司咸阳 文林路支行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7,730,201.00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2.04</w:t>
            </w:r>
            <w:r>
              <w:rPr>
                <w:rFonts w:ascii="Times New Roman"/>
                <w:sz w:val="21"/>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386,510.05</w:t>
            </w:r>
            <w:r>
              <w:rPr>
                <w:rFonts w:ascii="Times New Roman"/>
                <w:sz w:val="21"/>
              </w:rPr>
            </w:r>
          </w:p>
        </w:tc>
      </w:tr>
      <w:tr>
        <w:trPr>
          <w:trHeight w:val="342"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西安亮丽电力集团有限责任公司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5,179,618.00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1.37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325,298.75</w:t>
            </w:r>
          </w:p>
        </w:tc>
      </w:tr>
      <w:tr>
        <w:trPr>
          <w:trHeight w:val="342"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西安工业大学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4,977,777.00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1.31</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248,888.85</w:t>
            </w:r>
          </w:p>
        </w:tc>
      </w:tr>
      <w:tr>
        <w:trPr>
          <w:trHeight w:val="342"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郑州大学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3,867,162.03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1.02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193,358.10</w:t>
            </w:r>
          </w:p>
        </w:tc>
      </w:tr>
      <w:tr>
        <w:trPr>
          <w:trHeight w:val="34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32,263,571.37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8.51</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1,679,496.42</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18,044,135.36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87.42%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13,822,561.12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90.17%</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1,560,681.08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1,506,565.92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9.83%</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1,037,155.08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20,641,971.52</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15,329,127.04</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6"/>
          <w:szCs w:val="6"/>
        </w:rPr>
      </w:pPr>
    </w:p>
    <w:p>
      <w:pPr>
        <w:spacing w:before="44"/>
        <w:ind w:left="154" w:right="133"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153"/>
        <w:ind w:right="133"/>
        <w:jc w:val="left"/>
      </w:pPr>
      <w:r>
        <w:rPr/>
        <w:t>账龄超过一年的预付款项为</w:t>
      </w:r>
      <w:r>
        <w:rPr>
          <w:rFonts w:ascii="Times New Roman" w:hAnsi="Times New Roman" w:cs="Times New Roman" w:eastAsia="Times New Roman" w:hint="default"/>
        </w:rPr>
        <w:t>2,597,836.16</w:t>
      </w:r>
      <w:r>
        <w:rPr/>
        <w:t>元，主要为预付材料款项。</w:t>
      </w:r>
    </w:p>
    <w:p>
      <w:pPr>
        <w:spacing w:line="240" w:lineRule="auto" w:before="8"/>
        <w:rPr>
          <w:rFonts w:ascii="宋体" w:hAnsi="宋体" w:cs="宋体" w:eastAsia="宋体" w:hint="default"/>
          <w:sz w:val="30"/>
          <w:szCs w:val="30"/>
        </w:rPr>
      </w:pPr>
    </w:p>
    <w:p>
      <w:pPr>
        <w:pStyle w:val="Heading4"/>
        <w:spacing w:line="240" w:lineRule="auto"/>
        <w:ind w:right="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755" w:type="dxa"/>
        <w:tblLayout w:type="fixed"/>
        <w:tblCellMar>
          <w:top w:w="0" w:type="dxa"/>
          <w:left w:w="0" w:type="dxa"/>
          <w:bottom w:w="0" w:type="dxa"/>
          <w:right w:w="0" w:type="dxa"/>
        </w:tblCellMar>
        <w:tblLook w:val="01E0"/>
      </w:tblPr>
      <w:tblGrid>
        <w:gridCol w:w="3505"/>
        <w:gridCol w:w="2268"/>
        <w:gridCol w:w="2268"/>
      </w:tblGrid>
      <w:tr>
        <w:trPr>
          <w:trHeight w:val="649" w:hRule="exact"/>
        </w:trPr>
        <w:tc>
          <w:tcPr>
            <w:tcW w:w="35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预付对象</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7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603" w:right="78" w:hanging="526"/>
              <w:jc w:val="left"/>
              <w:rPr>
                <w:rFonts w:ascii="宋体" w:hAnsi="宋体" w:cs="宋体" w:eastAsia="宋体" w:hint="default"/>
                <w:sz w:val="21"/>
                <w:szCs w:val="21"/>
              </w:rPr>
            </w:pPr>
            <w:r>
              <w:rPr>
                <w:rFonts w:ascii="宋体" w:hAnsi="宋体" w:cs="宋体" w:eastAsia="宋体" w:hint="default"/>
                <w:sz w:val="21"/>
                <w:szCs w:val="21"/>
              </w:rPr>
              <w:t>占预付款项期末余额合 计数的比例</w:t>
            </w:r>
          </w:p>
        </w:tc>
      </w:tr>
      <w:tr>
        <w:trPr>
          <w:trHeight w:val="342"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北京前景无忧电子科技有限公司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796,898.46</w:t>
            </w:r>
          </w:p>
        </w:tc>
        <w:tc>
          <w:tcPr>
            <w:tcW w:w="22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Times New Roman" w:hAnsi="Times New Roman" w:cs="Times New Roman" w:eastAsia="Times New Roman" w:hint="default"/>
                <w:sz w:val="21"/>
                <w:szCs w:val="21"/>
              </w:rPr>
            </w:pPr>
            <w:r>
              <w:rPr>
                <w:rFonts w:ascii="Times New Roman"/>
                <w:spacing w:val="-1"/>
                <w:sz w:val="21"/>
              </w:rPr>
              <w:t>3.86%</w:t>
            </w:r>
          </w:p>
        </w:tc>
      </w:tr>
      <w:tr>
        <w:trPr>
          <w:trHeight w:val="342"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北京科然信息技术有限责任公司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565,768.37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2.74%</w:t>
            </w:r>
          </w:p>
        </w:tc>
      </w:tr>
      <w:tr>
        <w:trPr>
          <w:trHeight w:val="342"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信达顺通（北京）信息技术有限公司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535,719.00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2.60%</w:t>
            </w:r>
          </w:p>
        </w:tc>
      </w:tr>
      <w:tr>
        <w:trPr>
          <w:trHeight w:val="342"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北京风桥科技有限公司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480,000.00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2.33%</w:t>
            </w:r>
          </w:p>
        </w:tc>
      </w:tr>
      <w:tr>
        <w:trPr>
          <w:trHeight w:val="342"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普元信息技术股份有限公司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444,444.46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2.15%</w:t>
            </w:r>
          </w:p>
        </w:tc>
      </w:tr>
      <w:tr>
        <w:trPr>
          <w:trHeight w:val="34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2,822,830.29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13.68%</w:t>
            </w:r>
          </w:p>
        </w:tc>
      </w:tr>
    </w:tbl>
    <w:p>
      <w:pPr>
        <w:spacing w:line="240" w:lineRule="auto" w:before="2"/>
        <w:rPr>
          <w:rFonts w:ascii="宋体" w:hAnsi="宋体" w:cs="宋体" w:eastAsia="宋体" w:hint="default"/>
          <w:b/>
          <w:bCs/>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2" w:right="159"/>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60,816,8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01.92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3,211,61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57,605,18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44,725,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256.93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2,526,982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42,198,274.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60,816,8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01.92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3,211,61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57,605,18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44,725,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256.93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2,526,982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42,198,274.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10,759,519.08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537,975.96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10,759,519.08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537,975.96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2,867,652.17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286,765.22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1,134,359.77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340,307.93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2,461,280.18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2,046,568.78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83.15%</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829,422.81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414,711.41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553,705.84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553,705.84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1,078,151.53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1,078,151.53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17,222,811.20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3,211,617.89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18.65%</w:t>
            </w:r>
            <w:r>
              <w:rPr>
                <w:rFonts w:ascii="Times New Roman"/>
                <w:sz w:val="18"/>
              </w:rPr>
            </w:r>
          </w:p>
        </w:tc>
      </w:tr>
    </w:tbl>
    <w:p>
      <w:pPr>
        <w:spacing w:line="360" w:lineRule="auto" w:before="51"/>
        <w:ind w:left="153" w:right="527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39"/>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3"/>
          <w:szCs w:val="13"/>
        </w:rPr>
      </w:pPr>
    </w:p>
    <w:tbl>
      <w:tblPr>
        <w:tblW w:w="0" w:type="auto"/>
        <w:jc w:val="left"/>
        <w:tblInd w:w="755" w:type="dxa"/>
        <w:tblLayout w:type="fixed"/>
        <w:tblCellMar>
          <w:top w:w="0" w:type="dxa"/>
          <w:left w:w="0" w:type="dxa"/>
          <w:bottom w:w="0" w:type="dxa"/>
          <w:right w:w="0" w:type="dxa"/>
        </w:tblCellMar>
        <w:tblLook w:val="01E0"/>
      </w:tblPr>
      <w:tblGrid>
        <w:gridCol w:w="2112"/>
        <w:gridCol w:w="1834"/>
        <w:gridCol w:w="1834"/>
        <w:gridCol w:w="2034"/>
      </w:tblGrid>
      <w:tr>
        <w:trPr>
          <w:trHeight w:val="342" w:hRule="exact"/>
        </w:trPr>
        <w:tc>
          <w:tcPr>
            <w:tcW w:w="211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66"/>
              <w:ind w:left="629"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570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2" w:hRule="exact"/>
        </w:trPr>
        <w:tc>
          <w:tcPr>
            <w:tcW w:w="2112" w:type="dxa"/>
            <w:vMerge/>
            <w:tcBorders>
              <w:left w:val="single" w:sz="4" w:space="0" w:color="000000"/>
              <w:bottom w:val="single" w:sz="4" w:space="0" w:color="000000"/>
              <w:right w:val="single" w:sz="4" w:space="0" w:color="000000"/>
            </w:tcBorders>
            <w:shd w:val="clear" w:color="auto" w:fill="D9D9D9"/>
          </w:tcPr>
          <w:p>
            <w:pP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38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49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7" w:lineRule="exact"/>
              <w:ind w:left="29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保证金组合</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43,593,990.72</w:t>
            </w:r>
            <w:r>
              <w:rPr>
                <w:rFonts w:ascii="Times New Roman"/>
                <w:sz w:val="20"/>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4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43,593,990.72</w:t>
            </w:r>
            <w:r>
              <w:rPr>
                <w:rFonts w:ascii="Times New Roman"/>
                <w:sz w:val="20"/>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684,635.18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4,511,195.41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3,321,505.92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日常借款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2,208,992.05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3,333,486.43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14,630,838.34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5,554,052.87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39,465,776.12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32,516,211.71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60,816,801.92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44,725,256.93</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郑州瑞茂通供应链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7.89%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239,800.00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北京中医药大学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3,118,661.80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298,962.00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2,819,699.80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5.13%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西北工业大学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1,669,100.00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134,100.00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1,535,000.00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2.74%</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北京化工大学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1,328,940.80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2.19%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长江工程职业技术 学院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1,226,430.00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2.02%</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12,139,132.60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19.97%</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239,800.00</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6531"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after="0" w:line="357"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26,446,695.47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26,446,695.47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21,963,585.61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21,963,585.61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3,895,924.46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3,895,924.46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4,306,176.38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4,306,176.38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28,094,853.49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28,094,853.49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15,620,272.90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15,620,272.90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126,633,184.47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126,633,184.47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122,555,508.09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122,555,508.09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14,727,436.28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14,727,436.28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10,951,459.64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10,951,459.64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199,798,094.17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199,798,094.17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175,397,002.62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175,397,002.62</w:t>
            </w:r>
          </w:p>
        </w:tc>
      </w:tr>
    </w:tbl>
    <w:p>
      <w:pPr>
        <w:spacing w:line="338" w:lineRule="auto" w:before="51"/>
        <w:ind w:left="154" w:right="149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38" w:lineRule="auto" w:before="43"/>
        <w:ind w:left="154" w:right="59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42"/>
        <w:ind w:left="154" w:right="77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240" w:lineRule="auto" w:before="13"/>
        <w:rPr>
          <w:rFonts w:ascii="宋体" w:hAnsi="宋体" w:cs="宋体" w:eastAsia="宋体" w:hint="default"/>
          <w:sz w:val="20"/>
          <w:szCs w:val="20"/>
        </w:rPr>
      </w:pPr>
    </w:p>
    <w:p>
      <w:pPr>
        <w:pStyle w:val="Heading4"/>
        <w:spacing w:line="240" w:lineRule="auto"/>
        <w:ind w:right="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85,841.15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272,938.24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60,085,841.15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20,272,938.24</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000"/>
        <w:gridCol w:w="1196"/>
        <w:gridCol w:w="1195"/>
        <w:gridCol w:w="1196"/>
        <w:gridCol w:w="1248"/>
        <w:gridCol w:w="1367"/>
        <w:gridCol w:w="1367"/>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22,273,936.41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4,213,936.41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22,273,936.41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3,730,140.81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18,543,795.60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22,273,936.41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4,213,936.41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22,273,936.41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3,730,140.81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18,543,795.60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22,273,936.41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4,213,936.41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22,273,936.41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3,730,140.81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18,543,795.60</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上海微令 信息科技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2,768,953.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2,768,953.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2,285,157.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483,795.60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2,768,953.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河南华夏</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8"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海纳创业 投资集团</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3.12%</w:t>
            </w:r>
            <w:r>
              <w:rPr>
                <w:rFonts w:ascii="Times New Roman"/>
                <w:sz w:val="18"/>
              </w:rPr>
            </w:r>
          </w:p>
        </w:tc>
        <w:tc>
          <w:tcPr>
            <w:tcW w:w="870" w:type="dxa"/>
            <w:vMerge/>
            <w:tcBorders>
              <w:left w:val="single" w:sz="4" w:space="0" w:color="000000"/>
              <w:right w:val="single" w:sz="4" w:space="0" w:color="000000"/>
            </w:tcBorders>
          </w:tcPr>
          <w:p>
            <w:pPr/>
          </w:p>
        </w:tc>
      </w:tr>
      <w:tr>
        <w:trPr>
          <w:trHeight w:val="353"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北京新洞</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4"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察信息服 务有限责</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60,000.00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60,000.00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870" w:type="dxa"/>
            <w:vMerge/>
            <w:tcBorders>
              <w:left w:val="single" w:sz="4" w:space="0" w:color="000000"/>
              <w:right w:val="single" w:sz="4" w:space="0" w:color="000000"/>
            </w:tcBorders>
          </w:tcPr>
          <w:p>
            <w:pPr/>
          </w:p>
        </w:tc>
      </w:tr>
      <w:tr>
        <w:trPr>
          <w:trHeight w:val="357"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凯里智慧</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8"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城市通卡 管理有限</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1,444,983.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1,444,983.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1,444,983.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1,444,983.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w:t>
            </w:r>
          </w:p>
        </w:tc>
        <w:tc>
          <w:tcPr>
            <w:tcW w:w="870" w:type="dxa"/>
            <w:vMerge/>
            <w:tcBorders>
              <w:left w:val="single" w:sz="4" w:space="0" w:color="000000"/>
              <w:right w:val="single" w:sz="4" w:space="0" w:color="000000"/>
            </w:tcBorders>
          </w:tcPr>
          <w:p>
            <w:pPr/>
          </w:p>
        </w:tc>
      </w:tr>
      <w:tr>
        <w:trPr>
          <w:trHeight w:val="353"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22,273,936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22,273,936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3,730,140.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483,795.60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4,213,936.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3,730,140.81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3,730,140.81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483,795.60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483,795.60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4,213,936.41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4,213,936.41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02"/>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成都兰途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8,476,663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-490,144.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7,986,518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嘉兴丹诚</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开普股权 投资合伙 企业（有</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5,063,243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21,515,54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-3,039,54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23,539,24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5.77</w:t>
            </w: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北京乐智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3,775,547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-50,035.3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3,725,512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北京希嘉</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创智教育</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13,016,91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2,484,578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25,501,48</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0.47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9.34</w:t>
            </w:r>
          </w:p>
        </w:tc>
        <w:tc>
          <w:tcPr>
            <w:tcW w:w="798" w:type="dxa"/>
            <w:vMerge/>
            <w:tcBorders>
              <w:left w:val="single" w:sz="4" w:space="0" w:color="000000"/>
              <w:right w:val="single" w:sz="4" w:space="0" w:color="000000"/>
            </w:tcBorders>
          </w:tcPr>
          <w:p>
            <w:pPr/>
          </w:p>
        </w:tc>
      </w:tr>
      <w:tr>
        <w:trPr>
          <w:trHeight w:val="35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30,332,36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31,515,54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-1,095,14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60,752,76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6.40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30,332,36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31,515,54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-1,095,14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60,752,76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6.40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386" w:lineRule="auto" w:before="0"/>
        <w:ind w:left="153" w:right="206" w:firstLine="423"/>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年公司（有限合伙人）与北京丹诚资产管理有限公司（普通合伙人）共同成立嘉兴丹诚开普</w:t>
      </w:r>
      <w:r>
        <w:rPr>
          <w:spacing w:val="2"/>
        </w:rPr>
        <w:t> </w:t>
      </w:r>
      <w:r>
        <w:rPr>
          <w:spacing w:val="-5"/>
        </w:rPr>
        <w:t>股权投资合伙企业（有限合伙），截止</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日，公司认缴出资</w:t>
      </w:r>
      <w:r>
        <w:rPr>
          <w:rFonts w:ascii="Times New Roman" w:hAnsi="Times New Roman" w:cs="Times New Roman" w:eastAsia="Times New Roman" w:hint="default"/>
          <w:spacing w:val="-5"/>
        </w:rPr>
        <w:t>14,500.00</w:t>
      </w:r>
      <w:r>
        <w:rPr>
          <w:spacing w:val="-5"/>
        </w:rPr>
        <w:t>万元，持股比例为</w:t>
      </w:r>
      <w:r>
        <w:rPr>
          <w:rFonts w:ascii="Times New Roman" w:hAnsi="Times New Roman" w:cs="Times New Roman" w:eastAsia="Times New Roman" w:hint="default"/>
          <w:spacing w:val="-5"/>
        </w:rPr>
        <w:t>96.67%</w:t>
      </w:r>
      <w:r>
        <w:rPr>
          <w:spacing w:val="-5"/>
        </w:rPr>
        <w:t>。</w:t>
      </w:r>
      <w:r>
        <w:rPr>
          <w:spacing w:val="-76"/>
        </w:rPr>
        <w:t> </w:t>
      </w:r>
      <w:r>
        <w:rPr/>
        <w:t>按合伙协议约定，公司对丹诚开普无实际控制，仅形成重大影响。</w:t>
      </w:r>
    </w:p>
    <w:p>
      <w:pPr>
        <w:pStyle w:val="BodyText"/>
        <w:spacing w:line="393" w:lineRule="auto" w:before="65"/>
        <w:ind w:left="153" w:right="102" w:firstLine="42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月公司投资北京希嘉创智教育科技有限公司，以</w:t>
      </w:r>
      <w:r>
        <w:rPr>
          <w:rFonts w:ascii="Times New Roman" w:hAnsi="Times New Roman" w:cs="Times New Roman" w:eastAsia="Times New Roman" w:hint="default"/>
        </w:rPr>
        <w:t>1,200.00</w:t>
      </w:r>
      <w:r>
        <w:rPr/>
        <w:t>万元获得北京希嘉</w:t>
      </w:r>
      <w:r>
        <w:rPr>
          <w:rFonts w:ascii="Times New Roman" w:hAnsi="Times New Roman" w:cs="Times New Roman" w:eastAsia="Times New Roman" w:hint="default"/>
        </w:rPr>
        <w:t>20.00%</w:t>
      </w:r>
      <w:r>
        <w:rPr/>
        <w:t>股权，</w:t>
      </w:r>
      <w:r>
        <w:rPr>
          <w:spacing w:val="1"/>
        </w:rPr>
        <w:t> </w:t>
      </w:r>
      <w:r>
        <w:rPr>
          <w:spacing w:val="-3"/>
        </w:rPr>
        <w:t>对北京希嘉形成重大影响。</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日，公司与希嘉教育、希嘉教育股东希嘉科技、希嘉发展 </w:t>
      </w:r>
      <w:r>
        <w:rPr/>
        <w:t>中心、</w:t>
      </w:r>
      <w:r>
        <w:rPr>
          <w:spacing w:val="-98"/>
        </w:rPr>
        <w:t> </w:t>
      </w:r>
      <w:r>
        <w:rPr>
          <w:spacing w:val="-98"/>
        </w:rPr>
      </w:r>
      <w:r>
        <w:rPr/>
        <w:t>汪浩及希嘉科技股东签署《新开普电子股份有限公司与北京希嘉创智科技 有限公司、汪浩、北京希嘉科</w:t>
      </w:r>
      <w:r>
        <w:rPr>
          <w:spacing w:val="-39"/>
        </w:rPr>
        <w:t> </w:t>
      </w:r>
      <w:r>
        <w:rPr>
          <w:spacing w:val="-39"/>
        </w:rPr>
      </w:r>
      <w:r>
        <w:rPr/>
        <w:t>技发展中心（有限合伙）及北京希嘉创智教育科技</w:t>
      </w:r>
      <w:r>
        <w:rPr>
          <w:spacing w:val="66"/>
        </w:rPr>
        <w:t> </w:t>
      </w:r>
      <w:r>
        <w:rPr/>
        <w:t>有限公司关于北京希嘉创智教育科技有限公司之增资</w:t>
      </w:r>
    </w:p>
    <w:p>
      <w:pPr>
        <w:spacing w:after="0" w:line="393"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86" w:lineRule="auto" w:before="35"/>
        <w:ind w:left="153" w:right="150"/>
        <w:jc w:val="both"/>
      </w:pPr>
      <w:r>
        <w:rPr/>
        <w:t>协议》（以下简称</w:t>
      </w:r>
      <w:r>
        <w:rPr>
          <w:rFonts w:ascii="Times New Roman" w:hAnsi="Times New Roman" w:cs="Times New Roman" w:eastAsia="Times New Roman" w:hint="default"/>
        </w:rPr>
        <w:t>“</w:t>
      </w:r>
      <w:r>
        <w:rPr/>
        <w:t>《协议》</w:t>
      </w:r>
      <w:r>
        <w:rPr>
          <w:rFonts w:ascii="Times New Roman" w:hAnsi="Times New Roman" w:cs="Times New Roman" w:eastAsia="Times New Roman" w:hint="default"/>
        </w:rPr>
        <w:t>”</w:t>
      </w:r>
      <w:r>
        <w:rPr/>
        <w:t>）。</w:t>
      </w:r>
      <w:r>
        <w:rPr>
          <w:spacing w:val="-5"/>
        </w:rPr>
        <w:t> </w:t>
      </w:r>
      <w:r>
        <w:rPr/>
        <w:t>公司拟使用自有资金</w:t>
      </w:r>
      <w:r>
        <w:rPr>
          <w:spacing w:val="-5"/>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45"/>
        </w:rPr>
        <w:t> </w:t>
      </w:r>
      <w:r>
        <w:rPr/>
        <w:t>万元对希嘉教育进行增资，将希嘉教育</w:t>
      </w:r>
      <w:r>
        <w:rPr>
          <w:spacing w:val="-102"/>
        </w:rPr>
        <w:t> </w:t>
      </w:r>
      <w:r>
        <w:rPr>
          <w:spacing w:val="-102"/>
        </w:rPr>
      </w:r>
      <w:r>
        <w:rPr/>
        <w:t>注册资本由 </w:t>
      </w:r>
      <w:r>
        <w:rPr>
          <w:rFonts w:ascii="Times New Roman" w:hAnsi="Times New Roman" w:cs="Times New Roman" w:eastAsia="Times New Roman" w:hint="default"/>
        </w:rPr>
        <w:t>1,250.00 </w:t>
      </w:r>
      <w:r>
        <w:rPr/>
        <w:t>万元增加至人民币 </w:t>
      </w:r>
      <w:r>
        <w:rPr>
          <w:rFonts w:ascii="Times New Roman" w:hAnsi="Times New Roman" w:cs="Times New Roman" w:eastAsia="Times New Roman" w:hint="default"/>
        </w:rPr>
        <w:t>1,315.789 </w:t>
      </w:r>
      <w:r>
        <w:rPr/>
        <w:t>万元，即希嘉教育新增注册资本人民币 </w:t>
      </w:r>
      <w:r>
        <w:rPr>
          <w:rFonts w:ascii="Times New Roman" w:hAnsi="Times New Roman" w:cs="Times New Roman" w:eastAsia="Times New Roman" w:hint="default"/>
        </w:rPr>
        <w:t>65.789</w:t>
      </w:r>
      <w:r>
        <w:rPr>
          <w:rFonts w:ascii="Times New Roman" w:hAnsi="Times New Roman" w:cs="Times New Roman" w:eastAsia="Times New Roman" w:hint="default"/>
          <w:spacing w:val="13"/>
        </w:rPr>
        <w:t> </w:t>
      </w:r>
      <w:r>
        <w:rPr/>
        <w:t>万元， 剩余 </w:t>
      </w:r>
      <w:r>
        <w:rPr>
          <w:rFonts w:ascii="Times New Roman" w:hAnsi="Times New Roman" w:cs="Times New Roman" w:eastAsia="Times New Roman" w:hint="default"/>
        </w:rPr>
        <w:t>934.211 </w:t>
      </w:r>
      <w:r>
        <w:rPr/>
        <w:t>万元计入希嘉教育资本公积（以下简称</w:t>
      </w:r>
      <w:r>
        <w:rPr>
          <w:rFonts w:ascii="Times New Roman" w:hAnsi="Times New Roman" w:cs="Times New Roman" w:eastAsia="Times New Roman" w:hint="default"/>
        </w:rPr>
        <w:t>“</w:t>
      </w:r>
      <w:r>
        <w:rPr/>
        <w:t>本次增资</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spacing w:val="-3"/>
        </w:rPr>
        <w:t>或</w:t>
      </w:r>
      <w:r>
        <w:rPr>
          <w:rFonts w:ascii="Times New Roman" w:hAnsi="Times New Roman" w:cs="Times New Roman" w:eastAsia="Times New Roman" w:hint="default"/>
          <w:spacing w:val="-3"/>
        </w:rPr>
        <w:t>“</w:t>
      </w:r>
      <w:r>
        <w:rPr>
          <w:spacing w:val="-3"/>
        </w:rPr>
        <w:t>本次交易</w:t>
      </w:r>
      <w:r>
        <w:rPr>
          <w:rFonts w:ascii="Times New Roman" w:hAnsi="Times New Roman" w:cs="Times New Roman" w:eastAsia="Times New Roman" w:hint="default"/>
          <w:spacing w:val="-3"/>
        </w:rPr>
        <w:t>”</w:t>
      </w:r>
      <w:r>
        <w:rPr>
          <w:spacing w:val="-3"/>
        </w:rPr>
        <w:t>）。本次增资完成后，截止</w:t>
      </w:r>
      <w:r>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日，公司持有希嘉教育的股权比例由 </w:t>
      </w:r>
      <w:r>
        <w:rPr>
          <w:rFonts w:ascii="Times New Roman" w:hAnsi="Times New Roman" w:cs="Times New Roman" w:eastAsia="Times New Roman" w:hint="default"/>
        </w:rPr>
        <w:t>20%</w:t>
      </w:r>
      <w:r>
        <w:rPr/>
        <w:t>增加至</w:t>
      </w:r>
      <w:r>
        <w:rPr>
          <w:rFonts w:ascii="Times New Roman" w:hAnsi="Times New Roman" w:cs="Times New Roman" w:eastAsia="Times New Roman" w:hint="default"/>
        </w:rPr>
        <w:t>24% </w:t>
      </w:r>
      <w:r>
        <w:rPr/>
        <w:t>。</w:t>
      </w:r>
    </w:p>
    <w:p>
      <w:pPr>
        <w:spacing w:line="240" w:lineRule="auto" w:before="10"/>
        <w:rPr>
          <w:rFonts w:ascii="宋体" w:hAnsi="宋体" w:cs="宋体" w:eastAsia="宋体" w:hint="default"/>
          <w:sz w:val="19"/>
          <w:szCs w:val="19"/>
        </w:rPr>
      </w:pPr>
    </w:p>
    <w:p>
      <w:pPr>
        <w:pStyle w:val="Heading4"/>
        <w:spacing w:line="240" w:lineRule="auto"/>
        <w:ind w:left="153" w:right="0"/>
        <w:jc w:val="both"/>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3"/>
          <w:szCs w:val="23"/>
        </w:rPr>
      </w:pPr>
    </w:p>
    <w:p>
      <w:pPr>
        <w:spacing w:before="44"/>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25,500,252.78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25,500,252.78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2"/>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25,500,252.78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25,500,252.78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8,276,442.18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8,276,442.18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731,743.76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731,743.76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731,743.76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731,743.76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9,008,185.94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9,008,185.94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16,492,066.84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16,492,066.84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17,223,810.60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17,223,810.60</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128,346,728.97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21,735,760.32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12,816,129.21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22,886,440.39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185,785,058.89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1,059,843.03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880,295.44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7,413,302.95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9,353,441.42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902,787.12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880,295.44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7,393,547.41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9,176,629.97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157,055.91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19,755.54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176,811.45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119,777.78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198,648.00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595,342.80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913,768.58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119,777.78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198,648.00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591,197.50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909,623.28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4,145.30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128,346,728.97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22,675,825.57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13,497,776.65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29,704,400.54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194,224,731.73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9,530,745.76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7,018,907.86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6,109,630.23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14,496,140.57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37,155,424.42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3,845,890.15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2,325,462.03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1,156,553.97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3,212,746.70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10,540,652.85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3,845,890.15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2,325,462.03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1,156,553.97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3,212,746.70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10,540,652.85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86,903.96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161,952.35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544,674.79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793,531.10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86,903.96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161,952.35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544,216.29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793,072.60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458.50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13,376,635.91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9,257,465.93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7,104,231.85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17,164,212.48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46,902,546.17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114,970,093.06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13,418,359.64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6,393,544.80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12,540,188.06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147,322,185.56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118,815,983.21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14,716,852.46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6,706,498.98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8,390,299.82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148,629,634.47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3</w:t>
      </w:r>
      <w:r>
        <w:rPr/>
        <w:t>）通过融资租赁租入的固定资产情况（</w:t>
      </w:r>
      <w:r>
        <w:rPr>
          <w:rFonts w:ascii="Times New Roman" w:hAnsi="Times New Roman" w:cs="Times New Roman" w:eastAsia="Times New Roman" w:hint="default"/>
        </w:rPr>
        <w:t>4</w:t>
      </w:r>
      <w:r>
        <w:rPr/>
        <w:t>）通过经营租赁租出的固定资产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483,889.63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483,889.63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257,713.07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257,713.07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1,299,714.30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1,299,714.30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297,266.56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297,266.56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1,783,603.93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1,783,603.93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554,979.63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554,979.63</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66"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NCP910/</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NCP920</w:t>
            </w: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57"/>
              <w:jc w:val="left"/>
              <w:rPr>
                <w:rFonts w:ascii="宋体" w:hAnsi="宋体" w:cs="宋体" w:eastAsia="宋体" w:hint="default"/>
                <w:sz w:val="18"/>
                <w:szCs w:val="18"/>
              </w:rPr>
            </w:pPr>
            <w:r>
              <w:rPr>
                <w:rFonts w:ascii="宋体" w:hAnsi="宋体" w:cs="宋体" w:eastAsia="宋体" w:hint="default"/>
                <w:sz w:val="18"/>
                <w:szCs w:val="18"/>
              </w:rPr>
              <w:t>宽带载 波通信</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754,716.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754,716.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40.00%</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0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芯片模</w:t>
            </w: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具开发</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754,716.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754,716.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386" w:lineRule="auto" w:before="0"/>
        <w:ind w:left="153" w:right="151" w:firstLine="423"/>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月公司与创达特（苏州）科技有限责任公司签署</w:t>
      </w:r>
      <w:r>
        <w:rPr>
          <w:rFonts w:ascii="Times New Roman" w:hAnsi="Times New Roman" w:cs="Times New Roman" w:eastAsia="Times New Roman" w:hint="default"/>
          <w:spacing w:val="-3"/>
        </w:rPr>
        <w:t>“</w:t>
      </w:r>
      <w:r>
        <w:rPr>
          <w:spacing w:val="-3"/>
        </w:rPr>
        <w:t>宽带载波通信芯片</w:t>
      </w:r>
      <w:r>
        <w:rPr>
          <w:rFonts w:ascii="Times New Roman" w:hAnsi="Times New Roman" w:cs="Times New Roman" w:eastAsia="Times New Roman" w:hint="default"/>
          <w:spacing w:val="-3"/>
        </w:rPr>
        <w:t>”</w:t>
      </w:r>
      <w:r>
        <w:rPr>
          <w:spacing w:val="-3"/>
        </w:rPr>
        <w:t>技术开发（委托）协议，</w:t>
      </w:r>
      <w:r>
        <w:rPr/>
        <w:t> 用于委外研发的芯片生产的磨具，合同金额为</w:t>
      </w:r>
      <w:r>
        <w:rPr>
          <w:rFonts w:ascii="Times New Roman" w:hAnsi="Times New Roman" w:cs="Times New Roman" w:eastAsia="Times New Roman" w:hint="default"/>
        </w:rPr>
        <w:t>200.00</w:t>
      </w:r>
      <w:r>
        <w:rPr/>
        <w:t>万，截止</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日，已支付合同金额的</w:t>
      </w:r>
      <w:r>
        <w:rPr>
          <w:rFonts w:ascii="Times New Roman" w:hAnsi="Times New Roman" w:cs="Times New Roman" w:eastAsia="Times New Roman" w:hint="default"/>
        </w:rPr>
        <w:t>40%</w:t>
      </w:r>
      <w:r>
        <w:rPr/>
        <w:t>，含税金 额</w:t>
      </w:r>
      <w:r>
        <w:rPr>
          <w:rFonts w:ascii="Times New Roman" w:hAnsi="Times New Roman" w:cs="Times New Roman" w:eastAsia="Times New Roman" w:hint="default"/>
        </w:rPr>
        <w:t>80.00</w:t>
      </w:r>
      <w:r>
        <w:rPr/>
        <w:t>万元。</w:t>
      </w:r>
    </w:p>
    <w:p>
      <w:pPr>
        <w:spacing w:after="0" w:line="386" w:lineRule="auto"/>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33"/>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before="102"/>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3"/>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商标</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5,591,081.60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56,357,427.31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65,641,708.91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6,489,731.17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26,399,731.17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760,566.00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20,670,566.00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r>
              <w:rPr>
                <w:rFonts w:ascii="宋体" w:hAnsi="宋体" w:cs="宋体" w:eastAsia="宋体" w:hint="default"/>
                <w:sz w:val="18"/>
                <w:szCs w:val="18"/>
              </w:rPr>
              <w:t> 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5,729,165.17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5,729,165.17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5,591,081.60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62,847,158.48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92,041,440.08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642,973.88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24,540,101.28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25,183,075.16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111,821.64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1,659,166.67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9,872,915.37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11,643,903.68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111,821.64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1,659,166.67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9,872,915.37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11,643,903.68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754,795.52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1,659,166.67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34,413,016.65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36,826,978.84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4,836,286.08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18,250,833.33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3,693,200.00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28,434,141.83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55,214,461.24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4,948,107.72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3,693,200.00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31,817,326.03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40,458,633.75</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22.36%</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4"/>
        <w:spacing w:line="240" w:lineRule="auto"/>
        <w:ind w:right="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86" w:lineRule="auto" w:before="0"/>
        <w:ind w:right="149" w:firstLine="567"/>
        <w:jc w:val="both"/>
      </w:pPr>
      <w:r>
        <w:rPr>
          <w:rFonts w:ascii="Times New Roman" w:hAnsi="Times New Roman" w:cs="Times New Roman" w:eastAsia="Times New Roman" w:hint="default"/>
          <w:spacing w:val="-1"/>
        </w:rPr>
        <w:t>1</w:t>
      </w:r>
      <w:r>
        <w:rPr>
          <w:spacing w:val="-1"/>
        </w:rPr>
        <w:t>、本期计提摊销额</w:t>
      </w:r>
      <w:r>
        <w:rPr>
          <w:rFonts w:ascii="Times New Roman" w:hAnsi="Times New Roman" w:cs="Times New Roman" w:eastAsia="Times New Roman" w:hint="default"/>
          <w:spacing w:val="-1"/>
        </w:rPr>
        <w:t>11,643,903.68</w:t>
      </w:r>
      <w:r>
        <w:rPr>
          <w:spacing w:val="-1"/>
        </w:rPr>
        <w:t>元；期末无用于抵押或担保的无形资产。经测算，本期无形资产未</w:t>
      </w:r>
      <w:r>
        <w:rPr/>
        <w:t> 发生减值。</w:t>
      </w:r>
    </w:p>
    <w:p>
      <w:pPr>
        <w:pStyle w:val="BodyText"/>
        <w:spacing w:line="386" w:lineRule="auto" w:before="65"/>
        <w:ind w:right="146" w:firstLine="567"/>
        <w:jc w:val="both"/>
      </w:pPr>
      <w:r>
        <w:rPr>
          <w:rFonts w:ascii="Times New Roman" w:hAnsi="Times New Roman" w:cs="Times New Roman" w:eastAsia="Times New Roman" w:hint="default"/>
          <w:spacing w:val="-2"/>
        </w:rPr>
        <w:t>2</w:t>
      </w:r>
      <w:r>
        <w:rPr>
          <w:spacing w:val="-2"/>
        </w:rPr>
        <w:t>、为提升公司业务核心竞争力，经公司第四届董事会第四次会议审议通过，同意公司向宋继东、宋</w:t>
      </w:r>
      <w:r>
        <w:rPr/>
        <w:t> 向东购买两项实用新型专利权及一项发明专利申请权。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日，公司与交易对方签订了《专利权</w:t>
      </w:r>
      <w:r>
        <w:rPr>
          <w:spacing w:val="-36"/>
        </w:rPr>
        <w:t> </w:t>
      </w:r>
      <w:r>
        <w:rPr>
          <w:spacing w:val="-36"/>
        </w:rPr>
      </w:r>
      <w:r>
        <w:rPr>
          <w:spacing w:val="-1"/>
        </w:rPr>
        <w:t>转让合同》，并于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24</w:t>
      </w:r>
      <w:r>
        <w:rPr>
          <w:spacing w:val="-1"/>
        </w:rPr>
        <w:t>日完成过户手续，参照河南华信远大资产评估有限公司出具的</w:t>
      </w:r>
      <w:r>
        <w:rPr>
          <w:rFonts w:ascii="Times New Roman" w:hAnsi="Times New Roman" w:cs="Times New Roman" w:eastAsia="Times New Roman" w:hint="default"/>
          <w:spacing w:val="-1"/>
        </w:rPr>
        <w:t>“</w:t>
      </w:r>
      <w:r>
        <w:rPr>
          <w:spacing w:val="-1"/>
        </w:rPr>
        <w:t>豫华信远大</w:t>
      </w:r>
      <w:r>
        <w:rPr>
          <w:spacing w:val="-74"/>
        </w:rPr>
        <w:t> </w:t>
      </w:r>
      <w:r>
        <w:rPr>
          <w:spacing w:val="-10"/>
        </w:rPr>
        <w:t>评报字（</w:t>
      </w:r>
      <w:r>
        <w:rPr>
          <w:rFonts w:ascii="Times New Roman" w:hAnsi="Times New Roman" w:cs="Times New Roman" w:eastAsia="Times New Roman" w:hint="default"/>
          <w:spacing w:val="-10"/>
        </w:rPr>
        <w:t>2017</w:t>
      </w:r>
      <w:r>
        <w:rPr>
          <w:spacing w:val="-10"/>
        </w:rPr>
        <w:t>）第 </w:t>
      </w:r>
      <w:r>
        <w:rPr>
          <w:rFonts w:ascii="Times New Roman" w:hAnsi="Times New Roman" w:cs="Times New Roman" w:eastAsia="Times New Roman" w:hint="default"/>
        </w:rPr>
        <w:t>022 </w:t>
      </w:r>
      <w:r>
        <w:rPr>
          <w:spacing w:val="-3"/>
        </w:rPr>
        <w:t>号</w:t>
      </w:r>
      <w:r>
        <w:rPr>
          <w:rFonts w:ascii="Times New Roman" w:hAnsi="Times New Roman" w:cs="Times New Roman" w:eastAsia="Times New Roman" w:hint="default"/>
          <w:spacing w:val="-3"/>
        </w:rPr>
        <w:t>”</w:t>
      </w:r>
      <w:r>
        <w:rPr>
          <w:spacing w:val="-3"/>
        </w:rPr>
        <w:t>评估报告，交易标的价格为</w:t>
      </w:r>
      <w:r>
        <w:rPr>
          <w:rFonts w:ascii="Times New Roman" w:hAnsi="Times New Roman" w:cs="Times New Roman" w:eastAsia="Times New Roman" w:hint="default"/>
          <w:spacing w:val="-3"/>
        </w:rPr>
        <w:t>1,991.00</w:t>
      </w:r>
      <w:r>
        <w:rPr>
          <w:spacing w:val="-3"/>
        </w:rPr>
        <w:t>万元。专利有效期到期日为</w:t>
      </w:r>
      <w:r>
        <w:rPr>
          <w:rFonts w:ascii="Times New Roman" w:hAnsi="Times New Roman" w:cs="Times New Roman" w:eastAsia="Times New Roman" w:hint="default"/>
          <w:spacing w:val="-3"/>
        </w:rPr>
        <w:t>2022</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31</w:t>
      </w:r>
      <w:r>
        <w:rPr>
          <w:spacing w:val="-3"/>
        </w:rPr>
        <w:t>日，</w:t>
      </w:r>
      <w:r>
        <w:rPr>
          <w:spacing w:val="-97"/>
        </w:rPr>
        <w:t> </w:t>
      </w:r>
      <w:r>
        <w:rPr/>
        <w:t>剩余摊销年限</w:t>
      </w:r>
      <w:r>
        <w:rPr>
          <w:rFonts w:ascii="Times New Roman" w:hAnsi="Times New Roman" w:cs="Times New Roman" w:eastAsia="Times New Roman" w:hint="default"/>
        </w:rPr>
        <w:t>5</w:t>
      </w:r>
      <w:r>
        <w:rPr/>
        <w:t>年，当期摊销</w:t>
      </w:r>
      <w:r>
        <w:rPr>
          <w:rFonts w:ascii="Times New Roman" w:hAnsi="Times New Roman" w:cs="Times New Roman" w:eastAsia="Times New Roman" w:hint="default"/>
        </w:rPr>
        <w:t>1,659,166.67</w:t>
      </w:r>
      <w:r>
        <w:rPr/>
        <w:t>元。</w:t>
      </w:r>
    </w:p>
    <w:p>
      <w:pPr>
        <w:spacing w:line="240" w:lineRule="auto" w:before="10"/>
        <w:rPr>
          <w:rFonts w:ascii="宋体" w:hAnsi="宋体" w:cs="宋体" w:eastAsia="宋体" w:hint="default"/>
          <w:sz w:val="19"/>
          <w:szCs w:val="19"/>
        </w:rPr>
      </w:pPr>
    </w:p>
    <w:p>
      <w:pPr>
        <w:pStyle w:val="Heading4"/>
        <w:spacing w:line="240" w:lineRule="auto"/>
        <w:ind w:right="133"/>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树维校园智 能点餐软件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1,880,457.82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1,880,457.82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完美校园私 有云框架平 台软件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737,007.91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737,007.91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树维大数据 智能决策辅</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1,158,669.89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1,158,669.89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right="106"/>
              <w:jc w:val="center"/>
              <w:rPr>
                <w:rFonts w:ascii="宋体" w:hAnsi="宋体" w:cs="宋体" w:eastAsia="宋体" w:hint="default"/>
                <w:sz w:val="18"/>
                <w:szCs w:val="18"/>
              </w:rPr>
            </w:pPr>
            <w:r>
              <w:rPr>
                <w:rFonts w:ascii="宋体" w:hAnsi="宋体" w:cs="宋体" w:eastAsia="宋体" w:hint="default"/>
                <w:sz w:val="18"/>
                <w:szCs w:val="18"/>
              </w:rPr>
              <w:t>助平台软件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树维数据质 量管理平台 软件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857,187.97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857,187.97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树维校园开 放平台软件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1,095,841.58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1,095,841.58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5,729,165.17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5,729,165.17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7"/>
        <w:ind w:left="154" w:right="133" w:firstLine="0"/>
        <w:jc w:val="left"/>
        <w:rPr>
          <w:rFonts w:ascii="宋体" w:hAnsi="宋体" w:cs="宋体" w:eastAsia="宋体" w:hint="default"/>
          <w:sz w:val="18"/>
          <w:szCs w:val="18"/>
        </w:rPr>
      </w:pPr>
      <w:r>
        <w:rPr>
          <w:rFonts w:ascii="宋体" w:hAnsi="宋体" w:cs="宋体" w:eastAsia="宋体" w:hint="default"/>
          <w:sz w:val="18"/>
          <w:szCs w:val="18"/>
        </w:rPr>
        <w:t>上述项目资本化开始的时点为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日，资本化的具体依据为需求分析评审通过。</w:t>
      </w:r>
    </w:p>
    <w:p>
      <w:pPr>
        <w:spacing w:line="240" w:lineRule="auto" w:before="9"/>
        <w:rPr>
          <w:rFonts w:ascii="宋体" w:hAnsi="宋体" w:cs="宋体" w:eastAsia="宋体" w:hint="default"/>
          <w:sz w:val="25"/>
          <w:szCs w:val="25"/>
        </w:rPr>
      </w:pPr>
    </w:p>
    <w:p>
      <w:pPr>
        <w:pStyle w:val="Heading4"/>
        <w:spacing w:line="240" w:lineRule="auto"/>
        <w:ind w:right="133"/>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北京迪科远望科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280,076,227.00</w:t>
            </w:r>
          </w:p>
        </w:tc>
        <w:tc>
          <w:tcPr>
            <w:tcW w:w="2735"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280,076,227.00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上海树维信息科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189,508,612.57</w:t>
            </w:r>
          </w:p>
        </w:tc>
        <w:tc>
          <w:tcPr>
            <w:tcW w:w="2735"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189,508,612.57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469,584,839.57</w:t>
            </w:r>
          </w:p>
        </w:tc>
        <w:tc>
          <w:tcPr>
            <w:tcW w:w="2735"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469,584,839.57</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5091"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379" w:lineRule="auto" w:before="79"/>
        <w:ind w:left="153" w:right="133" w:firstLine="423"/>
        <w:jc w:val="left"/>
        <w:rPr>
          <w:rFonts w:ascii="宋体" w:hAnsi="宋体" w:cs="宋体" w:eastAsia="宋体" w:hint="default"/>
          <w:sz w:val="22"/>
          <w:szCs w:val="22"/>
        </w:rPr>
      </w:pPr>
      <w:r>
        <w:rPr>
          <w:rFonts w:ascii="宋体" w:hAnsi="宋体" w:cs="宋体" w:eastAsia="宋体" w:hint="default"/>
          <w:sz w:val="21"/>
          <w:szCs w:val="21"/>
        </w:rPr>
        <w:t>说明：</w:t>
      </w:r>
      <w:r>
        <w:rPr>
          <w:rFonts w:ascii="Times New Roman" w:hAnsi="Times New Roman" w:cs="Times New Roman" w:eastAsia="Times New Roman" w:hint="default"/>
          <w:sz w:val="21"/>
          <w:szCs w:val="21"/>
        </w:rPr>
        <w:t>1</w:t>
      </w:r>
      <w:r>
        <w:rPr>
          <w:rFonts w:ascii="宋体" w:hAnsi="宋体" w:cs="宋体" w:eastAsia="宋体" w:hint="default"/>
          <w:sz w:val="21"/>
          <w:szCs w:val="21"/>
        </w:rPr>
        <w:t>、北京迪科远望科技有限公司及上海树维信息科技有限公司</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年度均达到业绩预</w:t>
      </w:r>
      <w:r>
        <w:rPr>
          <w:rFonts w:ascii="宋体" w:hAnsi="宋体" w:cs="宋体" w:eastAsia="宋体" w:hint="default"/>
          <w:spacing w:val="2"/>
          <w:sz w:val="21"/>
          <w:szCs w:val="21"/>
        </w:rPr>
        <w:t> </w:t>
      </w:r>
      <w:r>
        <w:rPr>
          <w:rFonts w:ascii="宋体" w:hAnsi="宋体" w:cs="宋体" w:eastAsia="宋体" w:hint="default"/>
          <w:sz w:val="21"/>
          <w:szCs w:val="21"/>
        </w:rPr>
        <w:t>期，</w:t>
      </w:r>
      <w:r>
        <w:rPr>
          <w:rFonts w:ascii="宋体" w:hAnsi="宋体" w:cs="宋体" w:eastAsia="宋体" w:hint="default"/>
          <w:sz w:val="22"/>
          <w:szCs w:val="22"/>
        </w:rPr>
        <w:t>商誉的可收回金额按照资产组的预计未来现金流量的现值确定，经测算，不存在减值。</w:t>
      </w:r>
    </w:p>
    <w:p>
      <w:pPr>
        <w:spacing w:line="240" w:lineRule="auto" w:before="9"/>
        <w:rPr>
          <w:rFonts w:ascii="宋体" w:hAnsi="宋体" w:cs="宋体" w:eastAsia="宋体" w:hint="default"/>
          <w:sz w:val="21"/>
          <w:szCs w:val="21"/>
        </w:rPr>
      </w:pPr>
    </w:p>
    <w:p>
      <w:pPr>
        <w:pStyle w:val="Heading4"/>
        <w:spacing w:line="240" w:lineRule="auto"/>
        <w:ind w:left="153" w:right="133"/>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租入房屋改良支出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194,673.68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2,779,391.09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684,570.78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2,289,493.99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智能燃气表及远程 运营监控系统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车辆租赁</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法定披露及网站域 名邮箱等服务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557,627.13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1,228,130.24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710,698.71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1,075,058.66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1,472,300.81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6,007,521.33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3,705,269.49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3,774,552.65</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69,867,602.66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10,480,140.41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56,206,267.21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8,380,903.34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3,069,978.67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460,496.80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18,928,075.00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2,839,211.25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17,620,995.00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2,643,149.25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3,058,750.12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458,812.52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1,525,815.14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190,726.89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股权激励财务成本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10,802,090.25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1,620,313.54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5,687,174.65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853,076.20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105,726,496.70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15,858,974.52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81,040,252.00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12,067,855.68</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15,858,974.52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12,067,855.68</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45,149.53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27,254.74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3,742,118.79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2,220,803.86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3,787,268.32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2,248,058.60</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240" w:lineRule="auto" w:before="0"/>
        <w:ind w:left="577" w:right="0"/>
        <w:jc w:val="left"/>
      </w:pPr>
      <w:r>
        <w:rPr/>
        <w:t>未确认递延所得税资产由山西新开普信息科技有限公司产生，由于未来能否获得足够的应纳税所得额</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133"/>
        <w:jc w:val="left"/>
      </w:pPr>
      <w:r>
        <w:rPr/>
        <w:t>具有不确定性，因此没有确认递延所得税资产的可抵扣暂时性差异和可抵扣亏损。</w:t>
      </w:r>
    </w:p>
    <w:p>
      <w:pPr>
        <w:spacing w:line="240" w:lineRule="auto" w:before="0"/>
        <w:rPr>
          <w:rFonts w:ascii="宋体" w:hAnsi="宋体" w:cs="宋体" w:eastAsia="宋体" w:hint="default"/>
          <w:sz w:val="20"/>
          <w:szCs w:val="20"/>
        </w:rPr>
      </w:pPr>
    </w:p>
    <w:p>
      <w:pPr>
        <w:pStyle w:val="Heading4"/>
        <w:spacing w:line="240" w:lineRule="auto" w:before="154"/>
        <w:ind w:left="153" w:right="133"/>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145,000,000.00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0"/>
        <w:rPr>
          <w:rFonts w:ascii="宋体" w:hAnsi="宋体" w:cs="宋体" w:eastAsia="宋体" w:hint="default"/>
          <w:sz w:val="12"/>
          <w:szCs w:val="12"/>
        </w:rPr>
      </w:pPr>
    </w:p>
    <w:p>
      <w:pPr>
        <w:pStyle w:val="BodyText"/>
        <w:spacing w:line="240" w:lineRule="auto" w:before="0"/>
        <w:ind w:left="577"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日，公司与中原银行股份有限公司郑州农业路支行签订流动资金贷款合同，贷款金额</w:t>
      </w:r>
    </w:p>
    <w:p>
      <w:pPr>
        <w:pStyle w:val="BodyText"/>
        <w:spacing w:line="386" w:lineRule="auto" w:before="177"/>
        <w:ind w:left="153" w:right="151"/>
        <w:jc w:val="both"/>
      </w:pPr>
      <w:r>
        <w:rPr>
          <w:rFonts w:ascii="Times New Roman" w:hAnsi="Times New Roman" w:cs="Times New Roman" w:eastAsia="Times New Roman" w:hint="default"/>
          <w:spacing w:val="-3"/>
        </w:rPr>
        <w:t>500</w:t>
      </w:r>
      <w:r>
        <w:rPr>
          <w:spacing w:val="-3"/>
        </w:rPr>
        <w:t>万元，合同编号为中原银（总营）流贷字</w:t>
      </w:r>
      <w:r>
        <w:rPr>
          <w:rFonts w:ascii="Times New Roman" w:hAnsi="Times New Roman" w:cs="Times New Roman" w:eastAsia="Times New Roman" w:hint="default"/>
          <w:spacing w:val="-3"/>
        </w:rPr>
        <w:t>2017</w:t>
      </w:r>
      <w:r>
        <w:rPr>
          <w:spacing w:val="-3"/>
        </w:rPr>
        <w:t>第</w:t>
      </w:r>
      <w:r>
        <w:rPr>
          <w:rFonts w:ascii="Times New Roman" w:hAnsi="Times New Roman" w:cs="Times New Roman" w:eastAsia="Times New Roman" w:hint="default"/>
          <w:spacing w:val="-3"/>
        </w:rPr>
        <w:t>040080</w:t>
      </w:r>
      <w:r>
        <w:rPr>
          <w:spacing w:val="-3"/>
        </w:rPr>
        <w:t>号，保证人杨维国，担保合同编号为中原银（总</w:t>
      </w:r>
      <w:r>
        <w:rPr>
          <w:spacing w:val="-84"/>
        </w:rPr>
        <w:t> </w:t>
      </w:r>
      <w:r>
        <w:rPr>
          <w:spacing w:val="-84"/>
        </w:rPr>
      </w:r>
      <w:r>
        <w:rPr>
          <w:spacing w:val="-1"/>
        </w:rPr>
        <w:t>营）最保字</w:t>
      </w:r>
      <w:r>
        <w:rPr>
          <w:rFonts w:ascii="Times New Roman" w:hAnsi="Times New Roman" w:cs="Times New Roman" w:eastAsia="Times New Roman" w:hint="default"/>
          <w:spacing w:val="-1"/>
        </w:rPr>
        <w:t>2017</w:t>
      </w:r>
      <w:r>
        <w:rPr>
          <w:spacing w:val="-1"/>
        </w:rPr>
        <w:t>第</w:t>
      </w:r>
      <w:r>
        <w:rPr>
          <w:rFonts w:ascii="Times New Roman" w:hAnsi="Times New Roman" w:cs="Times New Roman" w:eastAsia="Times New Roman" w:hint="default"/>
          <w:spacing w:val="-1"/>
        </w:rPr>
        <w:t>040079-1</w:t>
      </w:r>
      <w:r>
        <w:rPr>
          <w:spacing w:val="-1"/>
        </w:rPr>
        <w:t>号，最高担保额</w:t>
      </w:r>
      <w:r>
        <w:rPr>
          <w:rFonts w:ascii="Times New Roman" w:hAnsi="Times New Roman" w:cs="Times New Roman" w:eastAsia="Times New Roman" w:hint="default"/>
          <w:spacing w:val="-1"/>
        </w:rPr>
        <w:t>6,000</w:t>
      </w:r>
      <w:r>
        <w:rPr>
          <w:spacing w:val="-1"/>
        </w:rPr>
        <w:t>万元。贷款期限为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日，贷款</w:t>
      </w:r>
      <w:r>
        <w:rPr/>
        <w:t> 利率为人民银行同期同档次贷款基准利率</w:t>
      </w:r>
      <w:r>
        <w:rPr>
          <w:rFonts w:ascii="Times New Roman" w:hAnsi="Times New Roman" w:cs="Times New Roman" w:eastAsia="Times New Roman" w:hint="default"/>
        </w:rPr>
        <w:t>4.35%</w:t>
      </w:r>
      <w:r>
        <w:rPr/>
        <w:t>上浮</w:t>
      </w:r>
      <w:r>
        <w:rPr>
          <w:rFonts w:ascii="Times New Roman" w:hAnsi="Times New Roman" w:cs="Times New Roman" w:eastAsia="Times New Roman" w:hint="default"/>
        </w:rPr>
        <w:t>10%</w:t>
      </w:r>
      <w:r>
        <w:rPr/>
        <w:t>。</w:t>
      </w:r>
    </w:p>
    <w:p>
      <w:pPr>
        <w:pStyle w:val="BodyText"/>
        <w:spacing w:line="386" w:lineRule="auto" w:before="35"/>
        <w:ind w:right="149" w:firstLine="423"/>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日，公司与交通银行股份有限公司河南省分行签订流动资金借款合同，贷款额度</w:t>
      </w:r>
      <w:r>
        <w:rPr>
          <w:rFonts w:ascii="Times New Roman" w:hAnsi="Times New Roman" w:cs="Times New Roman" w:eastAsia="Times New Roman" w:hint="default"/>
        </w:rPr>
        <w:t>6,000 </w:t>
      </w:r>
      <w:r>
        <w:rPr>
          <w:spacing w:val="-3"/>
        </w:rPr>
        <w:t>万元，合同编号为</w:t>
      </w:r>
      <w:r>
        <w:rPr>
          <w:rFonts w:ascii="Times New Roman" w:hAnsi="Times New Roman" w:cs="Times New Roman" w:eastAsia="Times New Roman" w:hint="default"/>
          <w:spacing w:val="-3"/>
        </w:rPr>
        <w:t>Z1706LN15678475</w:t>
      </w:r>
      <w:r>
        <w:rPr>
          <w:spacing w:val="-3"/>
        </w:rPr>
        <w:t>，保证人杨维国，担保合同</w:t>
      </w:r>
      <w:r>
        <w:rPr>
          <w:spacing w:val="64"/>
        </w:rPr>
        <w:t> </w:t>
      </w:r>
      <w:r>
        <w:rPr/>
        <w:t>编号为</w:t>
      </w:r>
      <w:r>
        <w:rPr>
          <w:rFonts w:ascii="Times New Roman" w:hAnsi="Times New Roman" w:cs="Times New Roman" w:eastAsia="Times New Roman" w:hint="default"/>
        </w:rPr>
        <w:t>C170601GR4113511</w:t>
      </w:r>
      <w:r>
        <w:rPr/>
        <w:t>，最高担保额 </w:t>
      </w:r>
      <w:r>
        <w:rPr>
          <w:rFonts w:ascii="Times New Roman" w:hAnsi="Times New Roman" w:cs="Times New Roman" w:eastAsia="Times New Roman" w:hint="default"/>
          <w:spacing w:val="-2"/>
        </w:rPr>
        <w:t>6,000</w:t>
      </w:r>
      <w:r>
        <w:rPr>
          <w:spacing w:val="-2"/>
        </w:rPr>
        <w:t>万元。授薪期限自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10</w:t>
      </w:r>
      <w:r>
        <w:rPr>
          <w:spacing w:val="-2"/>
        </w:rPr>
        <w:t>日，全部贷款的到期日不迟于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日，贷款利</w:t>
      </w:r>
      <w:r>
        <w:rPr>
          <w:spacing w:val="-83"/>
        </w:rPr>
        <w:t> </w:t>
      </w:r>
      <w:r>
        <w:rPr>
          <w:spacing w:val="-83"/>
        </w:rPr>
      </w:r>
      <w:r>
        <w:rPr/>
        <w:t>率在放款时的基准利率上加上（下）浮幅度确定。</w:t>
      </w:r>
    </w:p>
    <w:p>
      <w:pPr>
        <w:pStyle w:val="BodyText"/>
        <w:spacing w:line="386" w:lineRule="auto" w:before="65"/>
        <w:ind w:left="153" w:right="149" w:firstLine="42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日，公司与招商银行股份有限公司郑州分行签订流动资金借款合同，贷款额度</w:t>
      </w:r>
      <w:r>
        <w:rPr>
          <w:rFonts w:ascii="Times New Roman" w:hAnsi="Times New Roman" w:cs="Times New Roman" w:eastAsia="Times New Roman" w:hint="default"/>
        </w:rPr>
        <w:t>8,000 </w:t>
      </w:r>
      <w:r>
        <w:rPr/>
        <w:t>万元，合同编号为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GS3706</w:t>
      </w:r>
      <w:r>
        <w:rPr/>
        <w:t>信字第</w:t>
      </w:r>
      <w:r>
        <w:rPr>
          <w:rFonts w:ascii="Times New Roman" w:hAnsi="Times New Roman" w:cs="Times New Roman" w:eastAsia="Times New Roman" w:hint="default"/>
        </w:rPr>
        <w:t>006</w:t>
      </w:r>
      <w:r>
        <w:rPr/>
        <w:t>号，保证人杨维国，担保合同编号为</w:t>
      </w:r>
      <w:r>
        <w:rPr>
          <w:spacing w:val="-54"/>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GS3706</w:t>
      </w:r>
      <w:r>
        <w:rPr/>
        <w:t>最高额保 </w:t>
      </w:r>
      <w:r>
        <w:rPr>
          <w:spacing w:val="-2"/>
        </w:rPr>
        <w:t>字第</w:t>
      </w:r>
      <w:r>
        <w:rPr>
          <w:rFonts w:ascii="Times New Roman" w:hAnsi="Times New Roman" w:cs="Times New Roman" w:eastAsia="Times New Roman" w:hint="default"/>
          <w:spacing w:val="-2"/>
        </w:rPr>
        <w:t>006</w:t>
      </w:r>
      <w:r>
        <w:rPr>
          <w:spacing w:val="-2"/>
        </w:rPr>
        <w:t>号，最高担保额</w:t>
      </w:r>
      <w:r>
        <w:rPr>
          <w:rFonts w:ascii="Times New Roman" w:hAnsi="Times New Roman" w:cs="Times New Roman" w:eastAsia="Times New Roman" w:hint="default"/>
          <w:spacing w:val="-2"/>
        </w:rPr>
        <w:t>8,000</w:t>
      </w:r>
      <w:r>
        <w:rPr>
          <w:spacing w:val="-2"/>
        </w:rPr>
        <w:t>万元。授薪期限</w:t>
      </w:r>
      <w:r>
        <w:rPr>
          <w:rFonts w:ascii="Times New Roman" w:hAnsi="Times New Roman" w:cs="Times New Roman" w:eastAsia="Times New Roman" w:hint="default"/>
          <w:spacing w:val="-2"/>
        </w:rPr>
        <w:t>12</w:t>
      </w:r>
      <w:r>
        <w:rPr>
          <w:spacing w:val="-2"/>
        </w:rPr>
        <w:t>个月，贷款利率为人民银行同期同档次贷款基准利率</w:t>
      </w:r>
      <w:r>
        <w:rPr>
          <w:rFonts w:ascii="Times New Roman" w:hAnsi="Times New Roman" w:cs="Times New Roman" w:eastAsia="Times New Roman" w:hint="default"/>
          <w:spacing w:val="-2"/>
        </w:rPr>
        <w:t>4.35%</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上浮</w:t>
      </w:r>
      <w:r>
        <w:rPr>
          <w:rFonts w:ascii="Times New Roman" w:hAnsi="Times New Roman" w:cs="Times New Roman" w:eastAsia="Times New Roman" w:hint="default"/>
        </w:rPr>
        <w:t>12%</w:t>
      </w:r>
      <w:r>
        <w:rPr/>
        <w:t>。</w:t>
      </w:r>
    </w:p>
    <w:p>
      <w:pPr>
        <w:spacing w:line="240" w:lineRule="auto" w:before="10"/>
        <w:rPr>
          <w:rFonts w:ascii="宋体" w:hAnsi="宋体" w:cs="宋体" w:eastAsia="宋体" w:hint="default"/>
          <w:sz w:val="19"/>
          <w:szCs w:val="19"/>
        </w:rPr>
      </w:pPr>
    </w:p>
    <w:p>
      <w:pPr>
        <w:pStyle w:val="Heading4"/>
        <w:spacing w:line="240" w:lineRule="auto"/>
        <w:ind w:left="153" w:right="0"/>
        <w:jc w:val="both"/>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both"/>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应付经营货款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164,709,786.86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107,198,420.88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应付外包劳务费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10,252,431.80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6,672,611.99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174,962,218.66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113,871,032.87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北京宏通万达智能科技有限公司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9,835,502.22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尚未与对方结算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9,835,502.22</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right="133"/>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68,225,497.47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87,048,134.42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68,225,497.47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87,048,134.42</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12,212,058.95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190,654,390.30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191,071,576.79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11,794,872.46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291,870.02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14,829,795.61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14,860,559.29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261,106.34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12,503,928.97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205,484,185.91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205,932,136.08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12,055,978.80</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11,912,850.70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170,876,367.47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171,208,663.13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11,580,555.04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2,477,170.67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2,477,170.67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89,719.50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7,470,052.68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7,443,849.80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115,922.38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81,563.80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6,483,498.69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6,460,207.64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104,854.85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354,974.44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354,216.10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2,117.64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631,579.55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629,426.06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8,949.89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136,091.00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7,397,484.50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7,489,412.34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44,163.16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73,397.75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2,398,276.49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2,417,442.36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54,231.88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35,038.49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35,038.49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12,212,058.95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190,654,390.30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191,071,576.79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11,794,872.46</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276,689.66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14,230,315.92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14,260,654.65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246,350.93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15,180.36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599,479.69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599,904.64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14,755.41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291,870.02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14,829,795.61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14,860,559.29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261,106.34</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3"/>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24,383,669.51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23,309,756.03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13,587,574.66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10,345,632.79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818,362.59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1,193,476.53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1,573,824.43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1,545,629.22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346,572.61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347,175.68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681,049.78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679,864.31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459,809.14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453,242.92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38,637.30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38,820.07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44,669.16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24,362.81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41,934,169.18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37,937,960.36</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3"/>
        <w:jc w:val="left"/>
        <w:rPr>
          <w:b w:val="0"/>
          <w:bCs w:val="0"/>
        </w:rPr>
      </w:pPr>
      <w:r>
        <w:rPr>
          <w:rFonts w:ascii="Times New Roman" w:hAnsi="Times New Roman" w:cs="Times New Roman" w:eastAsia="Times New Roman" w:hint="default"/>
        </w:rPr>
        <w:t>23</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317,324.70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317,324.70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727,636.00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1,015,659.51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应付代垫款项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2,077,701.46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2,776,594.79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待付并购款项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69,528,553.80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117,420,988.00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656,482.61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80,990,373.87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194,913,242.30</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25</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46,053,400.01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35,936,666.66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46,053,400.01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35,936,666.66</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994" w:right="133"/>
        <w:jc w:val="left"/>
      </w:pPr>
      <w:r>
        <w:rPr/>
        <w:t>详见</w:t>
      </w:r>
      <w:r>
        <w:rPr>
          <w:rFonts w:ascii="Times New Roman" w:hAnsi="Times New Roman" w:cs="Times New Roman" w:eastAsia="Times New Roman" w:hint="default"/>
        </w:rPr>
        <w:t>"</w:t>
      </w:r>
      <w:r>
        <w:rPr/>
        <w:t>长期借款</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26</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804,582.90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804,582.90</w:t>
            </w:r>
          </w:p>
        </w:tc>
      </w:tr>
    </w:tbl>
    <w:p>
      <w:pPr>
        <w:spacing w:line="360" w:lineRule="auto" w:before="51"/>
        <w:ind w:left="153" w:right="7611"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 其他说明：</w:t>
      </w:r>
    </w:p>
    <w:p>
      <w:pPr>
        <w:spacing w:after="0" w:line="36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133"/>
        <w:jc w:val="left"/>
        <w:rPr>
          <w:b w:val="0"/>
          <w:bCs w:val="0"/>
        </w:rPr>
      </w:pPr>
      <w:r>
        <w:rPr>
          <w:rFonts w:ascii="Times New Roman" w:hAnsi="Times New Roman" w:cs="Times New Roman" w:eastAsia="Times New Roman" w:hint="default"/>
        </w:rPr>
        <w:t>27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69,149,900.00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96,411,666.68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69,149,900.00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96,411,666.68</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10"/>
        <w:rPr>
          <w:rFonts w:ascii="宋体" w:hAnsi="宋体" w:cs="宋体" w:eastAsia="宋体" w:hint="default"/>
          <w:sz w:val="12"/>
          <w:szCs w:val="12"/>
        </w:rPr>
      </w:pPr>
    </w:p>
    <w:p>
      <w:pPr>
        <w:pStyle w:val="BodyText"/>
        <w:spacing w:line="386" w:lineRule="auto" w:before="0"/>
        <w:ind w:right="148" w:firstLine="423"/>
        <w:jc w:val="both"/>
      </w:pPr>
      <w:r>
        <w:rPr>
          <w:rFonts w:ascii="Times New Roman" w:hAnsi="Times New Roman" w:cs="Times New Roman" w:eastAsia="Times New Roman" w:hint="default"/>
        </w:rPr>
        <w:t>1</w:t>
      </w:r>
      <w:r>
        <w:rPr/>
        <w:t>、公司以子公司上海树维信息科技有限公司</w:t>
      </w:r>
      <w:r>
        <w:rPr>
          <w:rFonts w:ascii="Times New Roman" w:hAnsi="Times New Roman" w:cs="Times New Roman" w:eastAsia="Times New Roman" w:hint="default"/>
        </w:rPr>
        <w:t>100%</w:t>
      </w:r>
      <w:r>
        <w:rPr/>
        <w:t>股权作为质押与招商银行郑州分行于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 </w:t>
      </w:r>
      <w:r>
        <w:rPr>
          <w:spacing w:val="-4"/>
        </w:rPr>
        <w:t>日签订授信协议（编号</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3725</w:t>
      </w:r>
      <w:r>
        <w:rPr>
          <w:spacing w:val="-4"/>
        </w:rPr>
        <w:t>信字第</w:t>
      </w:r>
      <w:r>
        <w:rPr>
          <w:rFonts w:ascii="Times New Roman" w:hAnsi="Times New Roman" w:cs="Times New Roman" w:eastAsia="Times New Roman" w:hint="default"/>
          <w:spacing w:val="-4"/>
        </w:rPr>
        <w:t>042</w:t>
      </w:r>
      <w:r>
        <w:rPr>
          <w:spacing w:val="-4"/>
        </w:rPr>
        <w:t>号），获得一次性额度</w:t>
      </w:r>
      <w:r>
        <w:rPr>
          <w:rFonts w:ascii="Times New Roman" w:hAnsi="Times New Roman" w:cs="Times New Roman" w:eastAsia="Times New Roman" w:hint="default"/>
          <w:spacing w:val="-4"/>
        </w:rPr>
        <w:t>9,000</w:t>
      </w:r>
      <w:r>
        <w:rPr>
          <w:spacing w:val="-4"/>
        </w:rPr>
        <w:t>万元，授信期间</w:t>
      </w:r>
      <w:r>
        <w:rPr>
          <w:rFonts w:ascii="Times New Roman" w:hAnsi="Times New Roman" w:cs="Times New Roman" w:eastAsia="Times New Roman" w:hint="default"/>
          <w:spacing w:val="-4"/>
        </w:rPr>
        <w:t>36</w:t>
      </w:r>
      <w:r>
        <w:rPr>
          <w:spacing w:val="-4"/>
        </w:rPr>
        <w:t>个月，即从</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日，同时第一大股东及法人代表杨维国对此借款额度提供保证担保。</w:t>
      </w:r>
    </w:p>
    <w:p>
      <w:pPr>
        <w:pStyle w:val="BodyText"/>
        <w:spacing w:line="386" w:lineRule="auto" w:before="35"/>
        <w:ind w:right="133" w:firstLine="423"/>
        <w:jc w:val="left"/>
      </w:pPr>
      <w:r>
        <w:rPr>
          <w:spacing w:val="-1"/>
        </w:rPr>
        <w:t>截至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日，借据金额</w:t>
      </w:r>
      <w:r>
        <w:rPr>
          <w:rFonts w:ascii="Times New Roman" w:hAnsi="Times New Roman" w:cs="Times New Roman" w:eastAsia="Times New Roman" w:hint="default"/>
          <w:spacing w:val="-1"/>
        </w:rPr>
        <w:t>7,265</w:t>
      </w:r>
      <w:r>
        <w:rPr>
          <w:spacing w:val="-1"/>
        </w:rPr>
        <w:t>万元，一年内到期的还款金额为</w:t>
      </w:r>
      <w:r>
        <w:rPr>
          <w:rFonts w:ascii="Times New Roman" w:hAnsi="Times New Roman" w:cs="Times New Roman" w:eastAsia="Times New Roman" w:hint="default"/>
          <w:spacing w:val="-1"/>
        </w:rPr>
        <w:t>28,550,000.01</w:t>
      </w:r>
      <w:r>
        <w:rPr>
          <w:spacing w:val="-1"/>
        </w:rPr>
        <w:t>元。公司于</w:t>
      </w:r>
      <w:r>
        <w:rPr>
          <w:rFonts w:ascii="Times New Roman" w:hAnsi="Times New Roman" w:cs="Times New Roman" w:eastAsia="Times New Roman" w:hint="default"/>
          <w:spacing w:val="-1"/>
        </w:rPr>
        <w:t>2017</w:t>
      </w:r>
      <w:r>
        <w:rPr>
          <w:spacing w:val="-1"/>
        </w:rPr>
        <w:t>年</w:t>
      </w:r>
      <w:r>
        <w:rPr/>
        <w:t> </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日借款</w:t>
      </w:r>
      <w:r>
        <w:rPr>
          <w:rFonts w:ascii="Times New Roman" w:hAnsi="Times New Roman" w:cs="Times New Roman" w:eastAsia="Times New Roman" w:hint="default"/>
        </w:rPr>
        <w:t>1,735</w:t>
      </w:r>
      <w:r>
        <w:rPr/>
        <w:t>万元，签订并购贷款合同（合同编号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GS3706</w:t>
      </w:r>
      <w:r>
        <w:rPr/>
        <w:t>并购字第</w:t>
      </w:r>
      <w:r>
        <w:rPr>
          <w:rFonts w:ascii="Times New Roman" w:hAnsi="Times New Roman" w:cs="Times New Roman" w:eastAsia="Times New Roman" w:hint="default"/>
        </w:rPr>
        <w:t>001</w:t>
      </w:r>
      <w:r>
        <w:rPr/>
        <w:t>号），借款期限为</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日，每</w:t>
      </w:r>
      <w:r>
        <w:rPr>
          <w:rFonts w:ascii="Times New Roman" w:hAnsi="Times New Roman" w:cs="Times New Roman" w:eastAsia="Times New Roman" w:hint="default"/>
        </w:rPr>
        <w:t>6</w:t>
      </w:r>
      <w:r>
        <w:rPr/>
        <w:t>个月还款一次，前五期每次还款金额为</w:t>
      </w:r>
      <w:r>
        <w:rPr>
          <w:rFonts w:ascii="Times New Roman" w:hAnsi="Times New Roman" w:cs="Times New Roman" w:eastAsia="Times New Roman" w:hint="default"/>
        </w:rPr>
        <w:t>2,891,700.00</w:t>
      </w:r>
      <w:r>
        <w:rPr/>
        <w:t>元，第六期还款金额 为</w:t>
      </w:r>
      <w:r>
        <w:rPr>
          <w:rFonts w:ascii="Times New Roman" w:hAnsi="Times New Roman" w:cs="Times New Roman" w:eastAsia="Times New Roman" w:hint="default"/>
        </w:rPr>
        <w:t>2,891,500.00</w:t>
      </w:r>
      <w:r>
        <w:rPr/>
        <w:t>元，利率为基准利率上浮</w:t>
      </w:r>
      <w:r>
        <w:rPr>
          <w:rFonts w:ascii="Times New Roman" w:hAnsi="Times New Roman" w:cs="Times New Roman" w:eastAsia="Times New Roman" w:hint="default"/>
        </w:rPr>
        <w:t>5%</w:t>
      </w:r>
      <w:r>
        <w:rPr/>
        <w:t>，一年内到期的还款金额为</w:t>
      </w:r>
      <w:r>
        <w:rPr>
          <w:rFonts w:ascii="Times New Roman" w:hAnsi="Times New Roman" w:cs="Times New Roman" w:eastAsia="Times New Roman" w:hint="default"/>
        </w:rPr>
        <w:t>5,783,400.00</w:t>
      </w:r>
      <w:r>
        <w:rPr/>
        <w:t>元。</w:t>
      </w:r>
    </w:p>
    <w:p>
      <w:pPr>
        <w:pStyle w:val="BodyText"/>
        <w:spacing w:line="240" w:lineRule="auto" w:before="35"/>
        <w:ind w:left="577" w:right="133"/>
        <w:jc w:val="left"/>
      </w:pPr>
      <w:r>
        <w:rPr>
          <w:rFonts w:ascii="Times New Roman" w:hAnsi="Times New Roman" w:cs="Times New Roman" w:eastAsia="Times New Roman" w:hint="default"/>
        </w:rPr>
        <w:t>2</w:t>
      </w:r>
      <w:r>
        <w:rPr/>
        <w:t>、公司以子公司北京迪科远望科技有限公司</w:t>
      </w:r>
      <w:r>
        <w:rPr>
          <w:rFonts w:ascii="Times New Roman" w:hAnsi="Times New Roman" w:cs="Times New Roman" w:eastAsia="Times New Roman" w:hint="default"/>
        </w:rPr>
        <w:t>100%</w:t>
      </w:r>
      <w:r>
        <w:rPr/>
        <w:t>股权作为质押与中国工商银行郑州南阳路支行于</w:t>
      </w:r>
    </w:p>
    <w:p>
      <w:pPr>
        <w:pStyle w:val="BodyText"/>
        <w:spacing w:line="386" w:lineRule="auto" w:before="177"/>
        <w:ind w:right="149"/>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7</w:t>
      </w:r>
      <w:r>
        <w:rPr>
          <w:spacing w:val="-1"/>
        </w:rPr>
        <w:t>日签订并购借款合同（编号</w:t>
      </w:r>
      <w:r>
        <w:rPr>
          <w:rFonts w:ascii="Times New Roman" w:hAnsi="Times New Roman" w:cs="Times New Roman" w:eastAsia="Times New Roman" w:hint="default"/>
          <w:spacing w:val="-1"/>
        </w:rPr>
        <w:t>2016</w:t>
      </w:r>
      <w:r>
        <w:rPr>
          <w:spacing w:val="-1"/>
        </w:rPr>
        <w:t>年郑工银南阳路并（借）字第</w:t>
      </w:r>
      <w:r>
        <w:rPr>
          <w:rFonts w:ascii="Times New Roman" w:hAnsi="Times New Roman" w:cs="Times New Roman" w:eastAsia="Times New Roman" w:hint="default"/>
          <w:spacing w:val="-1"/>
        </w:rPr>
        <w:t>001</w:t>
      </w:r>
      <w:r>
        <w:rPr>
          <w:spacing w:val="-1"/>
        </w:rPr>
        <w:t>号），借款</w:t>
      </w:r>
      <w:r>
        <w:rPr>
          <w:rFonts w:ascii="Times New Roman" w:hAnsi="Times New Roman" w:cs="Times New Roman" w:eastAsia="Times New Roman" w:hint="default"/>
          <w:spacing w:val="-1"/>
        </w:rPr>
        <w:t>9,800.00</w:t>
      </w:r>
      <w:r>
        <w:rPr>
          <w:spacing w:val="-1"/>
        </w:rPr>
        <w:t>万元，借</w:t>
      </w:r>
      <w:r>
        <w:rPr>
          <w:spacing w:val="-85"/>
        </w:rPr>
        <w:t> </w:t>
      </w:r>
      <w:r>
        <w:rPr>
          <w:spacing w:val="-85"/>
        </w:rPr>
      </w:r>
      <w:r>
        <w:rPr>
          <w:spacing w:val="-1"/>
        </w:rPr>
        <w:t>款期限</w:t>
      </w:r>
      <w:r>
        <w:rPr>
          <w:rFonts w:ascii="Times New Roman" w:hAnsi="Times New Roman" w:cs="Times New Roman" w:eastAsia="Times New Roman" w:hint="default"/>
          <w:spacing w:val="-1"/>
        </w:rPr>
        <w:t>84</w:t>
      </w:r>
      <w:r>
        <w:rPr>
          <w:spacing w:val="-1"/>
        </w:rPr>
        <w:t>个月，即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日至</w:t>
      </w:r>
      <w:r>
        <w:rPr>
          <w:rFonts w:ascii="Times New Roman" w:hAnsi="Times New Roman" w:cs="Times New Roman" w:eastAsia="Times New Roman" w:hint="default"/>
          <w:spacing w:val="-1"/>
        </w:rPr>
        <w:t>2023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12</w:t>
      </w:r>
      <w:r>
        <w:rPr>
          <w:spacing w:val="-1"/>
        </w:rPr>
        <w:t>日，利率为基准利率；同时第一大股东及法人代表杨维国</w:t>
      </w:r>
      <w:r>
        <w:rPr>
          <w:spacing w:val="-88"/>
        </w:rPr>
        <w:t> </w:t>
      </w:r>
      <w:r>
        <w:rPr>
          <w:spacing w:val="-88"/>
        </w:rPr>
      </w:r>
      <w:r>
        <w:rPr>
          <w:spacing w:val="-1"/>
        </w:rPr>
        <w:t>对此借款提供保证担保。</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14</w:t>
      </w:r>
      <w:r>
        <w:rPr>
          <w:spacing w:val="-1"/>
        </w:rPr>
        <w:t>日双方签订补充协议，首次提款</w:t>
      </w:r>
      <w:r>
        <w:rPr>
          <w:rFonts w:ascii="Times New Roman" w:hAnsi="Times New Roman" w:cs="Times New Roman" w:eastAsia="Times New Roman" w:hint="default"/>
          <w:spacing w:val="-1"/>
        </w:rPr>
        <w:t>8,200.00</w:t>
      </w:r>
      <w:r>
        <w:rPr>
          <w:spacing w:val="-1"/>
        </w:rPr>
        <w:t>万元，一年内到期的还款金</w:t>
      </w:r>
      <w:r>
        <w:rPr>
          <w:spacing w:val="-86"/>
        </w:rPr>
        <w:t> </w:t>
      </w:r>
      <w:r>
        <w:rPr>
          <w:spacing w:val="-86"/>
        </w:rPr>
      </w:r>
      <w:r>
        <w:rPr/>
        <w:t>额为</w:t>
      </w:r>
      <w:r>
        <w:rPr>
          <w:rFonts w:ascii="Times New Roman" w:hAnsi="Times New Roman" w:cs="Times New Roman" w:eastAsia="Times New Roman" w:hint="default"/>
        </w:rPr>
        <w:t>11,720,000.00</w:t>
      </w:r>
      <w:r>
        <w:rPr/>
        <w:t>元。</w:t>
      </w:r>
    </w:p>
    <w:p>
      <w:pPr>
        <w:pStyle w:val="BodyText"/>
        <w:spacing w:line="240" w:lineRule="auto" w:before="35"/>
        <w:ind w:left="577" w:right="133"/>
        <w:jc w:val="left"/>
      </w:pPr>
      <w:r>
        <w:rPr>
          <w:rFonts w:ascii="Times New Roman" w:hAnsi="Times New Roman" w:cs="Times New Roman" w:eastAsia="Times New Roman" w:hint="default"/>
        </w:rPr>
        <w:t>3</w:t>
      </w:r>
      <w:r>
        <w:rPr/>
        <w:t>、综上，将一年内到期的长期借款共计</w:t>
      </w:r>
      <w:r>
        <w:rPr>
          <w:rFonts w:ascii="Times New Roman" w:hAnsi="Times New Roman" w:cs="Times New Roman" w:eastAsia="Times New Roman" w:hint="default"/>
        </w:rPr>
        <w:t>46,053,400.01</w:t>
      </w:r>
      <w:r>
        <w:rPr/>
        <w:t>元转入一年内到期的非流动负债。</w:t>
      </w:r>
    </w:p>
    <w:p>
      <w:pPr>
        <w:spacing w:before="165"/>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28</w:t>
      </w:r>
      <w:r>
        <w:rPr/>
        <w:t>、递延收益</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17,620,995.00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1,012,920.00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18,928,075.00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17,620,995.00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1,012,920.00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18,928,075.00</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bl>
    <w:p>
      <w:pPr>
        <w:spacing w:after="0" w:line="30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高新区科技局研 发经费</w:t>
            </w:r>
            <w:r>
              <w:rPr>
                <w:rFonts w:ascii="Times New Roman" w:hAnsi="Times New Roman" w:cs="Times New Roman" w:eastAsia="Times New Roman" w:hint="default"/>
                <w:sz w:val="18"/>
                <w:szCs w:val="18"/>
              </w:rPr>
              <w:t>"</w:t>
            </w:r>
            <w:r>
              <w:rPr>
                <w:rFonts w:ascii="宋体" w:hAnsi="宋体" w:cs="宋体" w:eastAsia="宋体" w:hint="default"/>
                <w:sz w:val="18"/>
                <w:szCs w:val="18"/>
              </w:rPr>
              <w:t>重大科 技专项基于电信 运营的小额支付</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年郑州市第 三批技术研究与 开发经费项目： 智能卡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支 付与识别产品产 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466,666.67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266,666.67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高新区财政局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年物联网发 展专项资金款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年度信 息化发展专项资 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郑州市财政局产 业技术创新专项 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高新区管委会奖 励车辆（豫 </w:t>
            </w:r>
            <w:r>
              <w:rPr>
                <w:rFonts w:ascii="Times New Roman" w:hAnsi="Times New Roman" w:cs="Times New Roman" w:eastAsia="Times New Roman" w:hint="default"/>
                <w:sz w:val="18"/>
                <w:szCs w:val="18"/>
              </w:rPr>
              <w:t>A521GX</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87,495.00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18,420.00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69,075.00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河南省财政厅高 新技术产业化专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基于金 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卡的移动支 付信息化服务平 台与终端项目</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1,483,500.00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494,500.00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云架构的金融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卡公共服务运营 平台及终端项目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远距离射频识别 技术的终端产品 研究与开发项目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物联网通信与组 网关键技术的研 究与应用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高新区管委会技 术研究与开发经 费项目</w:t>
            </w:r>
            <w:r>
              <w:rPr>
                <w:rFonts w:ascii="Times New Roman" w:hAnsi="Times New Roman" w:cs="Times New Roman" w:eastAsia="Times New Roman" w:hint="default"/>
                <w:sz w:val="18"/>
                <w:szCs w:val="18"/>
              </w:rPr>
              <w:t>"</w:t>
            </w:r>
            <w:r>
              <w:rPr>
                <w:rFonts w:ascii="宋体" w:hAnsi="宋体" w:cs="宋体" w:eastAsia="宋体" w:hint="default"/>
                <w:sz w:val="18"/>
                <w:szCs w:val="18"/>
              </w:rPr>
              <w:t>驾校综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合管理系统研发 项目</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技术的 金融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卡移动支 付综合应用系统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郑州市信息化发 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金 融支付系统及终 端项目</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1,148,333.33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888,333.33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郑州市科技计划 经费</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 网与金融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卡的 智能终端产业化 项目</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河南省扶持企业 自主创新资金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基于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技术的 金融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卡移动支 付综合应用系统 研发及产业化项 目</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年省先进制 造业专项引导资 金</w:t>
            </w:r>
            <w:r>
              <w:rPr>
                <w:rFonts w:ascii="Times New Roman" w:hAnsi="Times New Roman" w:cs="Times New Roman" w:eastAsia="Times New Roman" w:hint="default"/>
                <w:sz w:val="18"/>
                <w:szCs w:val="18"/>
              </w:rPr>
              <w:t>"</w:t>
            </w:r>
            <w:r>
              <w:rPr>
                <w:rFonts w:ascii="宋体" w:hAnsi="宋体" w:cs="宋体" w:eastAsia="宋体" w:hint="default"/>
                <w:sz w:val="18"/>
                <w:szCs w:val="18"/>
              </w:rPr>
              <w:t>基于金融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卡智能终端产业 化项目</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基于大数据行为 分析系统的移动 校园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APP</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17,620,995.00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1,012,920.00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18,928,075.00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577" w:right="13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年郑州市第三批技术研究与开发经费项目：智能卡</w:t>
      </w:r>
      <w:r>
        <w:rPr>
          <w:rFonts w:ascii="Times New Roman" w:hAnsi="Times New Roman" w:cs="Times New Roman" w:eastAsia="Times New Roman" w:hint="default"/>
        </w:rPr>
        <w:t>RFID</w:t>
      </w:r>
      <w:r>
        <w:rPr/>
        <w:t>支付与识别产品产业化已于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p>
    <w:p>
      <w:pPr>
        <w:pStyle w:val="BodyText"/>
        <w:spacing w:line="240" w:lineRule="auto" w:before="177"/>
        <w:ind w:right="133"/>
        <w:jc w:val="left"/>
      </w:pPr>
      <w:r>
        <w:rPr/>
        <w:t>月验收合格并开始摊销，按照</w:t>
      </w:r>
      <w:r>
        <w:rPr>
          <w:rFonts w:ascii="Times New Roman" w:hAnsi="Times New Roman" w:cs="Times New Roman" w:eastAsia="Times New Roman" w:hint="default"/>
        </w:rPr>
        <w:t>5</w:t>
      </w:r>
      <w:r>
        <w:rPr/>
        <w:t>年摊销，本年摊销额</w:t>
      </w:r>
      <w:r>
        <w:rPr>
          <w:rFonts w:ascii="Times New Roman" w:hAnsi="Times New Roman" w:cs="Times New Roman" w:eastAsia="Times New Roman" w:hint="default"/>
        </w:rPr>
        <w:t>20.00</w:t>
      </w:r>
      <w:r>
        <w:rPr/>
        <w:t>万，期末余额</w:t>
      </w:r>
      <w:r>
        <w:rPr>
          <w:rFonts w:ascii="Times New Roman" w:hAnsi="Times New Roman" w:cs="Times New Roman" w:eastAsia="Times New Roman" w:hint="default"/>
        </w:rPr>
        <w:t>26.67</w:t>
      </w:r>
      <w:r>
        <w:rPr/>
        <w:t>万；</w:t>
      </w:r>
    </w:p>
    <w:p>
      <w:pPr>
        <w:pStyle w:val="BodyText"/>
        <w:spacing w:line="386" w:lineRule="auto" w:before="177"/>
        <w:ind w:right="159" w:firstLine="423"/>
        <w:jc w:val="left"/>
      </w:pPr>
      <w:r>
        <w:rPr>
          <w:rFonts w:ascii="Times New Roman" w:hAnsi="Times New Roman" w:cs="Times New Roman" w:eastAsia="Times New Roman" w:hint="default"/>
        </w:rPr>
        <w:t>2</w:t>
      </w:r>
      <w:r>
        <w:rPr/>
        <w:t>、郑州</w:t>
      </w:r>
      <w:r>
        <w:rPr>
          <w:rFonts w:ascii="Times New Roman" w:hAnsi="Times New Roman" w:cs="Times New Roman" w:eastAsia="Times New Roman" w:hint="default"/>
        </w:rPr>
        <w:t>2009</w:t>
      </w:r>
      <w:r>
        <w:rPr/>
        <w:t>年度信息化发展专项资金所开展的项目已验收合格，按照</w:t>
      </w:r>
      <w:r>
        <w:rPr>
          <w:rFonts w:ascii="Times New Roman" w:hAnsi="Times New Roman" w:cs="Times New Roman" w:eastAsia="Times New Roman" w:hint="default"/>
        </w:rPr>
        <w:t>5</w:t>
      </w:r>
      <w:r>
        <w:rPr/>
        <w:t>年摊销，本年摊销额</w:t>
      </w:r>
      <w:r>
        <w:rPr>
          <w:rFonts w:ascii="Times New Roman" w:hAnsi="Times New Roman" w:cs="Times New Roman" w:eastAsia="Times New Roman" w:hint="default"/>
        </w:rPr>
        <w:t>4.00</w:t>
      </w:r>
      <w:r>
        <w:rPr/>
        <w:t>万， 累计摊销</w:t>
      </w:r>
      <w:r>
        <w:rPr>
          <w:rFonts w:ascii="Times New Roman" w:hAnsi="Times New Roman" w:cs="Times New Roman" w:eastAsia="Times New Roman" w:hint="default"/>
        </w:rPr>
        <w:t>18.00</w:t>
      </w:r>
      <w:r>
        <w:rPr/>
        <w:t>万，期末余额</w:t>
      </w:r>
      <w:r>
        <w:rPr>
          <w:rFonts w:ascii="Times New Roman" w:hAnsi="Times New Roman" w:cs="Times New Roman" w:eastAsia="Times New Roman" w:hint="default"/>
        </w:rPr>
        <w:t>2.00</w:t>
      </w:r>
      <w:r>
        <w:rPr/>
        <w:t>万；</w:t>
      </w:r>
    </w:p>
    <w:p>
      <w:pPr>
        <w:pStyle w:val="BodyText"/>
        <w:spacing w:line="386" w:lineRule="auto" w:before="35"/>
        <w:ind w:right="133" w:firstLine="423"/>
        <w:jc w:val="left"/>
      </w:pPr>
      <w:r>
        <w:rPr>
          <w:rFonts w:ascii="Times New Roman" w:hAnsi="Times New Roman" w:cs="Times New Roman" w:eastAsia="Times New Roman" w:hint="default"/>
          <w:spacing w:val="-1"/>
        </w:rPr>
        <w:t>3</w:t>
      </w:r>
      <w:r>
        <w:rPr>
          <w:spacing w:val="-1"/>
        </w:rPr>
        <w:t>、高新区管委会奖励车辆（豫</w:t>
      </w:r>
      <w:r>
        <w:rPr>
          <w:rFonts w:ascii="Times New Roman" w:hAnsi="Times New Roman" w:cs="Times New Roman" w:eastAsia="Times New Roman" w:hint="default"/>
          <w:spacing w:val="-1"/>
        </w:rPr>
        <w:t>A521GX</w:t>
      </w:r>
      <w:r>
        <w:rPr>
          <w:spacing w:val="-1"/>
        </w:rPr>
        <w:t>）原值</w:t>
      </w:r>
      <w:r>
        <w:rPr>
          <w:rFonts w:ascii="Times New Roman" w:hAnsi="Times New Roman" w:cs="Times New Roman" w:eastAsia="Times New Roman" w:hint="default"/>
          <w:spacing w:val="-1"/>
        </w:rPr>
        <w:t>18.42</w:t>
      </w:r>
      <w:r>
        <w:rPr>
          <w:spacing w:val="-1"/>
        </w:rPr>
        <w:t>万，按照</w:t>
      </w:r>
      <w:r>
        <w:rPr>
          <w:rFonts w:ascii="Times New Roman" w:hAnsi="Times New Roman" w:cs="Times New Roman" w:eastAsia="Times New Roman" w:hint="default"/>
          <w:spacing w:val="-1"/>
        </w:rPr>
        <w:t>10</w:t>
      </w:r>
      <w:r>
        <w:rPr>
          <w:spacing w:val="-1"/>
        </w:rPr>
        <w:t>年摊销，本年摊销</w:t>
      </w:r>
      <w:r>
        <w:rPr>
          <w:rFonts w:ascii="Times New Roman" w:hAnsi="Times New Roman" w:cs="Times New Roman" w:eastAsia="Times New Roman" w:hint="default"/>
          <w:spacing w:val="-1"/>
        </w:rPr>
        <w:t>18,420.00</w:t>
      </w:r>
      <w:r>
        <w:rPr>
          <w:spacing w:val="-1"/>
        </w:rPr>
        <w:t>元</w:t>
      </w:r>
      <w:r>
        <w:rPr>
          <w:rFonts w:ascii="Times New Roman" w:hAnsi="Times New Roman" w:cs="Times New Roman" w:eastAsia="Times New Roman" w:hint="default"/>
          <w:spacing w:val="-1"/>
        </w:rPr>
        <w:t>,</w:t>
      </w:r>
      <w:r>
        <w:rPr>
          <w:spacing w:val="-1"/>
        </w:rPr>
        <w:t>累计摊</w:t>
      </w:r>
      <w:r>
        <w:rPr/>
        <w:t> 销额</w:t>
      </w:r>
      <w:r>
        <w:rPr>
          <w:rFonts w:ascii="Times New Roman" w:hAnsi="Times New Roman" w:cs="Times New Roman" w:eastAsia="Times New Roman" w:hint="default"/>
        </w:rPr>
        <w:t>115,125.00</w:t>
      </w:r>
      <w:r>
        <w:rPr/>
        <w:t>元</w:t>
      </w:r>
      <w:r>
        <w:rPr>
          <w:rFonts w:ascii="Times New Roman" w:hAnsi="Times New Roman" w:cs="Times New Roman" w:eastAsia="Times New Roman" w:hint="default"/>
        </w:rPr>
        <w:t>,</w:t>
      </w:r>
      <w:r>
        <w:rPr/>
        <w:t>期末余额</w:t>
      </w:r>
      <w:r>
        <w:rPr>
          <w:rFonts w:ascii="Times New Roman" w:hAnsi="Times New Roman" w:cs="Times New Roman" w:eastAsia="Times New Roman" w:hint="default"/>
        </w:rPr>
        <w:t>69,075.00</w:t>
      </w:r>
      <w:r>
        <w:rPr/>
        <w:t>元；</w:t>
      </w:r>
    </w:p>
    <w:p>
      <w:pPr>
        <w:spacing w:after="0" w:line="386"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right="177" w:firstLine="423"/>
        <w:jc w:val="both"/>
      </w:pPr>
      <w:r>
        <w:rPr>
          <w:rFonts w:ascii="Times New Roman" w:hAnsi="Times New Roman" w:cs="Times New Roman" w:eastAsia="Times New Roman" w:hint="default"/>
        </w:rPr>
        <w:t>4</w:t>
      </w:r>
      <w:r>
        <w:rPr/>
        <w:t>、河南省财政厅高新技术产业化专项资金：基于金融</w:t>
      </w:r>
      <w:r>
        <w:rPr>
          <w:rFonts w:ascii="Times New Roman" w:hAnsi="Times New Roman" w:cs="Times New Roman" w:eastAsia="Times New Roman" w:hint="default"/>
        </w:rPr>
        <w:t>IC</w:t>
      </w:r>
      <w:r>
        <w:rPr/>
        <w:t>卡的移动支付信息化服务平台与终端项目原 </w:t>
      </w:r>
      <w:r>
        <w:rPr>
          <w:spacing w:val="-1"/>
        </w:rPr>
        <w:t>值</w:t>
      </w:r>
      <w:r>
        <w:rPr>
          <w:rFonts w:ascii="Times New Roman" w:hAnsi="Times New Roman" w:cs="Times New Roman" w:eastAsia="Times New Roman" w:hint="default"/>
          <w:spacing w:val="-1"/>
        </w:rPr>
        <w:t>161.00</w:t>
      </w:r>
      <w:r>
        <w:rPr>
          <w:spacing w:val="-1"/>
        </w:rPr>
        <w:t>万，按照</w:t>
      </w:r>
      <w:r>
        <w:rPr>
          <w:rFonts w:ascii="Times New Roman" w:hAnsi="Times New Roman" w:cs="Times New Roman" w:eastAsia="Times New Roman" w:hint="default"/>
          <w:spacing w:val="-1"/>
        </w:rPr>
        <w:t>5</w:t>
      </w:r>
      <w:r>
        <w:rPr>
          <w:spacing w:val="-1"/>
        </w:rPr>
        <w:t>年摊销，本年摊销</w:t>
      </w:r>
      <w:r>
        <w:rPr>
          <w:rFonts w:ascii="Times New Roman" w:hAnsi="Times New Roman" w:cs="Times New Roman" w:eastAsia="Times New Roman" w:hint="default"/>
          <w:spacing w:val="-1"/>
        </w:rPr>
        <w:t>32.20</w:t>
      </w:r>
      <w:r>
        <w:rPr>
          <w:spacing w:val="-1"/>
        </w:rPr>
        <w:t>万元</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月收到郑州高新技术产业开发区财政国库集中支</w:t>
      </w:r>
      <w:r>
        <w:rPr>
          <w:spacing w:val="-64"/>
        </w:rPr>
        <w:t> </w:t>
      </w:r>
      <w:r>
        <w:rPr>
          <w:spacing w:val="-64"/>
        </w:rPr>
      </w:r>
      <w:r>
        <w:rPr/>
        <w:t>付中心拨付的河南省高新技术化项目后补资金</w:t>
      </w:r>
      <w:r>
        <w:rPr>
          <w:rFonts w:ascii="Times New Roman" w:hAnsi="Times New Roman" w:cs="Times New Roman" w:eastAsia="Times New Roman" w:hint="default"/>
        </w:rPr>
        <w:t>102</w:t>
      </w:r>
      <w:r>
        <w:rPr/>
        <w:t>号</w:t>
      </w:r>
      <w:r>
        <w:rPr>
          <w:rFonts w:ascii="Times New Roman" w:hAnsi="Times New Roman" w:cs="Times New Roman" w:eastAsia="Times New Roman" w:hint="default"/>
        </w:rPr>
        <w:t>69.00</w:t>
      </w:r>
      <w:r>
        <w:rPr/>
        <w:t>万元，按照</w:t>
      </w:r>
      <w:r>
        <w:rPr>
          <w:rFonts w:ascii="Times New Roman" w:hAnsi="Times New Roman" w:cs="Times New Roman" w:eastAsia="Times New Roman" w:hint="default"/>
        </w:rPr>
        <w:t>4</w:t>
      </w:r>
      <w:r>
        <w:rPr/>
        <w:t>年摊销，本年摊销</w:t>
      </w:r>
      <w:r>
        <w:rPr>
          <w:rFonts w:ascii="Times New Roman" w:hAnsi="Times New Roman" w:cs="Times New Roman" w:eastAsia="Times New Roman" w:hint="default"/>
        </w:rPr>
        <w:t>17.25</w:t>
      </w:r>
      <w:r>
        <w:rPr/>
        <w:t>万元；该项 目期末余额</w:t>
      </w:r>
      <w:r>
        <w:rPr>
          <w:rFonts w:ascii="Times New Roman" w:hAnsi="Times New Roman" w:cs="Times New Roman" w:eastAsia="Times New Roman" w:hint="default"/>
        </w:rPr>
        <w:t>98.90</w:t>
      </w:r>
      <w:r>
        <w:rPr/>
        <w:t>万元；</w:t>
      </w:r>
    </w:p>
    <w:p>
      <w:pPr>
        <w:pStyle w:val="BodyText"/>
        <w:spacing w:line="386" w:lineRule="auto" w:before="35"/>
        <w:ind w:right="133" w:firstLine="423"/>
        <w:jc w:val="left"/>
      </w:pPr>
      <w:r>
        <w:rPr>
          <w:rFonts w:ascii="Times New Roman" w:hAnsi="Times New Roman" w:cs="Times New Roman" w:eastAsia="Times New Roman" w:hint="default"/>
        </w:rPr>
        <w:t>5</w:t>
      </w:r>
      <w:r>
        <w:rPr/>
        <w:t>、金融支付系统及终端项目：于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日收到国家金库河南省分库拔付的共 </w:t>
      </w:r>
      <w:r>
        <w:rPr>
          <w:spacing w:val="-1"/>
        </w:rPr>
        <w:t>计</w:t>
      </w:r>
      <w:r>
        <w:rPr>
          <w:rFonts w:ascii="Times New Roman" w:hAnsi="Times New Roman" w:cs="Times New Roman" w:eastAsia="Times New Roman" w:hint="default"/>
          <w:spacing w:val="-1"/>
        </w:rPr>
        <w:t>130.00</w:t>
      </w:r>
      <w:r>
        <w:rPr>
          <w:spacing w:val="-1"/>
        </w:rPr>
        <w:t>万元的政府补助，于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月验收合格开始摊销，按照</w:t>
      </w:r>
      <w:r>
        <w:rPr>
          <w:rFonts w:ascii="Times New Roman" w:hAnsi="Times New Roman" w:cs="Times New Roman" w:eastAsia="Times New Roman" w:hint="default"/>
          <w:spacing w:val="-1"/>
        </w:rPr>
        <w:t>5</w:t>
      </w:r>
      <w:r>
        <w:rPr>
          <w:spacing w:val="-1"/>
        </w:rPr>
        <w:t>年摊销，本年摊销</w:t>
      </w:r>
      <w:r>
        <w:rPr>
          <w:rFonts w:ascii="Times New Roman" w:hAnsi="Times New Roman" w:cs="Times New Roman" w:eastAsia="Times New Roman" w:hint="default"/>
          <w:spacing w:val="-1"/>
        </w:rPr>
        <w:t>26.00</w:t>
      </w:r>
      <w:r>
        <w:rPr>
          <w:spacing w:val="-1"/>
        </w:rPr>
        <w:t>万元，累计摊销</w:t>
      </w:r>
      <w:r>
        <w:rPr>
          <w:spacing w:val="-83"/>
        </w:rPr>
        <w:t> </w:t>
      </w:r>
      <w:r>
        <w:rPr>
          <w:spacing w:val="-83"/>
        </w:rPr>
      </w:r>
      <w:r>
        <w:rPr>
          <w:rFonts w:ascii="Times New Roman" w:hAnsi="Times New Roman" w:cs="Times New Roman" w:eastAsia="Times New Roman" w:hint="default"/>
        </w:rPr>
        <w:t>41.17</w:t>
      </w:r>
      <w:r>
        <w:rPr/>
        <w:t>万元期末余额</w:t>
      </w:r>
      <w:r>
        <w:rPr>
          <w:rFonts w:ascii="Times New Roman" w:hAnsi="Times New Roman" w:cs="Times New Roman" w:eastAsia="Times New Roman" w:hint="default"/>
        </w:rPr>
        <w:t>88.83</w:t>
      </w:r>
      <w:r>
        <w:rPr/>
        <w:t>万元；</w:t>
      </w:r>
    </w:p>
    <w:p>
      <w:pPr>
        <w:pStyle w:val="BodyText"/>
        <w:spacing w:line="386" w:lineRule="auto" w:before="35"/>
        <w:ind w:right="133" w:firstLine="423"/>
        <w:jc w:val="left"/>
      </w:pPr>
      <w:r>
        <w:rPr>
          <w:rFonts w:ascii="Times New Roman" w:hAnsi="Times New Roman" w:cs="Times New Roman" w:eastAsia="Times New Roman" w:hint="default"/>
          <w:spacing w:val="-1"/>
        </w:rPr>
        <w:t>6</w:t>
      </w:r>
      <w:r>
        <w:rPr>
          <w:spacing w:val="-1"/>
        </w:rPr>
        <w:t>、郑州市科技计划经费</w:t>
      </w:r>
      <w:r>
        <w:rPr>
          <w:rFonts w:ascii="Times New Roman" w:hAnsi="Times New Roman" w:cs="Times New Roman" w:eastAsia="Times New Roman" w:hint="default"/>
          <w:spacing w:val="-1"/>
        </w:rPr>
        <w:t>“</w:t>
      </w:r>
      <w:r>
        <w:rPr>
          <w:spacing w:val="-1"/>
        </w:rPr>
        <w:t>基于物联网与金融</w:t>
      </w:r>
      <w:r>
        <w:rPr>
          <w:rFonts w:ascii="Times New Roman" w:hAnsi="Times New Roman" w:cs="Times New Roman" w:eastAsia="Times New Roman" w:hint="default"/>
          <w:spacing w:val="-1"/>
        </w:rPr>
        <w:t>IC</w:t>
      </w:r>
      <w:r>
        <w:rPr>
          <w:spacing w:val="-1"/>
        </w:rPr>
        <w:t>卡的智能终端产业化项目</w:t>
      </w:r>
      <w:r>
        <w:rPr>
          <w:rFonts w:ascii="Times New Roman" w:hAnsi="Times New Roman" w:cs="Times New Roman" w:eastAsia="Times New Roman" w:hint="default"/>
          <w:spacing w:val="-1"/>
        </w:rPr>
        <w:t>”</w:t>
      </w:r>
      <w:r>
        <w:rPr>
          <w:spacing w:val="-1"/>
        </w:rPr>
        <w:t>：于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月收到高新区财</w:t>
      </w:r>
      <w:r>
        <w:rPr/>
        <w:t> 政局</w:t>
      </w:r>
      <w:r>
        <w:rPr>
          <w:rFonts w:ascii="Times New Roman" w:hAnsi="Times New Roman" w:cs="Times New Roman" w:eastAsia="Times New Roman" w:hint="default"/>
        </w:rPr>
        <w:t>2016</w:t>
      </w:r>
      <w:r>
        <w:rPr/>
        <w:t>年第二批科技计划项目经费</w:t>
      </w:r>
      <w:r>
        <w:rPr>
          <w:rFonts w:ascii="Times New Roman" w:hAnsi="Times New Roman" w:cs="Times New Roman" w:eastAsia="Times New Roman" w:hint="default"/>
        </w:rPr>
        <w:t>100</w:t>
      </w:r>
      <w:r>
        <w:rPr/>
        <w:t>万元政府补助，因该项目未完工验收，故尚未摊销。</w:t>
      </w:r>
    </w:p>
    <w:p>
      <w:pPr>
        <w:pStyle w:val="BodyText"/>
        <w:spacing w:line="391" w:lineRule="auto" w:before="35"/>
        <w:ind w:right="133" w:firstLine="423"/>
        <w:jc w:val="left"/>
      </w:pPr>
      <w:r>
        <w:rPr>
          <w:rFonts w:ascii="Times New Roman" w:hAnsi="Times New Roman" w:cs="Times New Roman" w:eastAsia="Times New Roman" w:hint="default"/>
          <w:spacing w:val="-3"/>
        </w:rPr>
        <w:t>7</w:t>
      </w:r>
      <w:r>
        <w:rPr>
          <w:spacing w:val="-3"/>
        </w:rPr>
        <w:t>、基于大数据行为分析系统的移动校园</w:t>
      </w:r>
      <w:r>
        <w:rPr>
          <w:rFonts w:ascii="Times New Roman" w:hAnsi="Times New Roman" w:cs="Times New Roman" w:eastAsia="Times New Roman" w:hint="default"/>
          <w:spacing w:val="-3"/>
        </w:rPr>
        <w:t>APP</w:t>
      </w:r>
      <w:r>
        <w:rPr>
          <w:spacing w:val="-3"/>
        </w:rPr>
        <w:t>项目：根据上海市经济信息化委下达</w:t>
      </w:r>
      <w:r>
        <w:rPr>
          <w:rFonts w:ascii="Times New Roman" w:hAnsi="Times New Roman" w:cs="Times New Roman" w:eastAsia="Times New Roman" w:hint="default"/>
          <w:spacing w:val="-3"/>
        </w:rPr>
        <w:t>2017</w:t>
      </w:r>
      <w:r>
        <w:rPr>
          <w:spacing w:val="-3"/>
        </w:rPr>
        <w:t>年度软件和集成</w:t>
      </w:r>
      <w:r>
        <w:rPr/>
        <w:t> 电路产业发展专项资金项目计划的通知（沪经信信【</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351</w:t>
      </w:r>
      <w:r>
        <w:rPr/>
        <w:t>号），上海市经济和信息化委员会与上海 </w:t>
      </w:r>
      <w:r>
        <w:rPr>
          <w:spacing w:val="-1"/>
        </w:rPr>
        <w:t>树维信息科技有限公司签订上海市软件和集成电路产业发展专项软件和信息服务也领域项目协议书，给与</w:t>
      </w:r>
      <w:r>
        <w:rPr>
          <w:spacing w:val="-81"/>
        </w:rPr>
        <w:t> </w:t>
      </w:r>
      <w:r>
        <w:rPr>
          <w:spacing w:val="-81"/>
        </w:rPr>
      </w:r>
      <w:r>
        <w:rPr>
          <w:spacing w:val="-3"/>
        </w:rPr>
        <w:t>上海树维信息科技有限公司</w:t>
      </w:r>
      <w:r>
        <w:rPr>
          <w:rFonts w:ascii="Times New Roman" w:hAnsi="Times New Roman" w:cs="Times New Roman" w:eastAsia="Times New Roman" w:hint="default"/>
          <w:spacing w:val="-3"/>
        </w:rPr>
        <w:t>120</w:t>
      </w:r>
      <w:r>
        <w:rPr>
          <w:spacing w:val="-3"/>
        </w:rPr>
        <w:t>万元的资助，其中项目批复后拨付项目计划所确定金额的</w:t>
      </w:r>
      <w:r>
        <w:rPr>
          <w:rFonts w:ascii="Times New Roman" w:hAnsi="Times New Roman" w:cs="Times New Roman" w:eastAsia="Times New Roman" w:hint="default"/>
          <w:spacing w:val="-3"/>
        </w:rPr>
        <w:t>60%</w:t>
      </w:r>
      <w:r>
        <w:rPr>
          <w:spacing w:val="-3"/>
        </w:rPr>
        <w:t>，在规定期限</w:t>
      </w:r>
      <w:r>
        <w:rPr>
          <w:spacing w:val="-57"/>
        </w:rPr>
        <w:t> </w:t>
      </w:r>
      <w:r>
        <w:rPr>
          <w:spacing w:val="-57"/>
        </w:rPr>
      </w:r>
      <w:r>
        <w:rPr/>
        <w:t>内完成项目验收并提交验收材料后，拨付项目计划所确定金额的</w:t>
      </w:r>
      <w:r>
        <w:rPr>
          <w:rFonts w:ascii="Times New Roman" w:hAnsi="Times New Roman" w:cs="Times New Roman" w:eastAsia="Times New Roman" w:hint="default"/>
        </w:rPr>
        <w:t>40%</w:t>
      </w:r>
      <w:r>
        <w:rPr/>
        <w:t>，企业收到</w:t>
      </w:r>
      <w:r>
        <w:rPr>
          <w:rFonts w:ascii="Times New Roman" w:hAnsi="Times New Roman" w:cs="Times New Roman" w:eastAsia="Times New Roman" w:hint="default"/>
        </w:rPr>
        <w:t>72.00</w:t>
      </w:r>
      <w:r>
        <w:rPr/>
        <w:t>万元。</w:t>
      </w:r>
    </w:p>
    <w:p>
      <w:pPr>
        <w:pStyle w:val="BodyText"/>
        <w:spacing w:line="386" w:lineRule="auto" w:before="30"/>
        <w:ind w:left="153" w:right="214" w:firstLine="423"/>
        <w:jc w:val="both"/>
      </w:pPr>
      <w:r>
        <w:rPr>
          <w:rFonts w:ascii="Times New Roman" w:hAnsi="Times New Roman" w:cs="Times New Roman" w:eastAsia="Times New Roman" w:hint="default"/>
        </w:rPr>
        <w:t>8</w:t>
      </w:r>
      <w:r>
        <w:rPr/>
        <w:t>、根据上海市经济信息化委下达</w:t>
      </w:r>
      <w:r>
        <w:rPr>
          <w:rFonts w:ascii="Times New Roman" w:hAnsi="Times New Roman" w:cs="Times New Roman" w:eastAsia="Times New Roman" w:hint="default"/>
        </w:rPr>
        <w:t>2017</w:t>
      </w:r>
      <w:r>
        <w:rPr/>
        <w:t>年度软件和集成电路产业发展专项资金项目计划的通知（沪经 信信【</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351</w:t>
      </w:r>
      <w:r>
        <w:rPr/>
        <w:t>号），上海市长宁区财政局基于基于大数据行为分析系统的移动校园</w:t>
      </w:r>
      <w:r>
        <w:rPr>
          <w:rFonts w:ascii="Times New Roman" w:hAnsi="Times New Roman" w:cs="Times New Roman" w:eastAsia="Times New Roman" w:hint="default"/>
        </w:rPr>
        <w:t>APP</w:t>
      </w:r>
      <w:r>
        <w:rPr/>
        <w:t>项目给予</w:t>
      </w:r>
      <w:r>
        <w:rPr>
          <w:rFonts w:ascii="Times New Roman" w:hAnsi="Times New Roman" w:cs="Times New Roman" w:eastAsia="Times New Roman" w:hint="default"/>
        </w:rPr>
        <w:t>60.00 </w:t>
      </w:r>
      <w:r>
        <w:rPr/>
        <w:t>万元的专项补贴。</w:t>
      </w:r>
    </w:p>
    <w:p>
      <w:pPr>
        <w:spacing w:line="240" w:lineRule="auto" w:before="0"/>
        <w:rPr>
          <w:rFonts w:ascii="宋体" w:hAnsi="宋体" w:cs="宋体" w:eastAsia="宋体" w:hint="default"/>
          <w:sz w:val="22"/>
          <w:szCs w:val="22"/>
        </w:rPr>
      </w:pPr>
    </w:p>
    <w:p>
      <w:pPr>
        <w:pStyle w:val="Heading4"/>
        <w:spacing w:line="240" w:lineRule="auto"/>
        <w:ind w:right="133"/>
        <w:jc w:val="left"/>
        <w:rPr>
          <w:b w:val="0"/>
          <w:bCs w:val="0"/>
        </w:rPr>
      </w:pPr>
      <w:r>
        <w:rPr>
          <w:rFonts w:ascii="Times New Roman" w:hAnsi="Times New Roman" w:cs="Times New Roman" w:eastAsia="Times New Roman" w:hint="default"/>
        </w:rPr>
        <w:t>29</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324,587,301.00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7" w:right="0"/>
              <w:jc w:val="left"/>
              <w:rPr>
                <w:rFonts w:ascii="Times New Roman" w:hAnsi="Times New Roman" w:cs="Times New Roman" w:eastAsia="Times New Roman" w:hint="default"/>
                <w:sz w:val="18"/>
                <w:szCs w:val="18"/>
              </w:rPr>
            </w:pPr>
            <w:r>
              <w:rPr>
                <w:rFonts w:ascii="Times New Roman"/>
                <w:sz w:val="18"/>
              </w:rPr>
              <w:t>-111,800.00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5" w:right="0"/>
              <w:jc w:val="left"/>
              <w:rPr>
                <w:rFonts w:ascii="Times New Roman" w:hAnsi="Times New Roman" w:cs="Times New Roman" w:eastAsia="Times New Roman" w:hint="default"/>
                <w:sz w:val="18"/>
                <w:szCs w:val="18"/>
              </w:rPr>
            </w:pPr>
            <w:r>
              <w:rPr>
                <w:rFonts w:ascii="Times New Roman"/>
                <w:sz w:val="18"/>
              </w:rPr>
              <w:t>-111,800.00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324,475,501.00</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386" w:lineRule="auto" w:before="0"/>
        <w:ind w:left="153" w:right="140" w:firstLine="423"/>
        <w:jc w:val="both"/>
      </w:pPr>
      <w:r>
        <w:rPr/>
        <w:t>其他说明：</w:t>
      </w:r>
      <w:r>
        <w:rPr>
          <w:spacing w:val="-57"/>
        </w:rPr>
        <w:t> </w:t>
      </w:r>
      <w:r>
        <w:rPr/>
        <w:t>根据《新开普电子股份有限公司限制性股票激励计划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》，激励对象当年未能解锁部 </w:t>
      </w:r>
      <w:r>
        <w:rPr>
          <w:spacing w:val="8"/>
        </w:rPr>
        <w:t>分的限制性股票由公司回购注销。贵公司回购限制性股票申请减少注册资本人民币</w:t>
      </w:r>
      <w:r>
        <w:rPr>
          <w:rFonts w:ascii="Times New Roman" w:hAnsi="Times New Roman" w:cs="Times New Roman" w:eastAsia="Times New Roman" w:hint="default"/>
          <w:spacing w:val="8"/>
        </w:rPr>
        <w:t>111,900.00</w:t>
      </w:r>
      <w:r>
        <w:rPr>
          <w:spacing w:val="8"/>
        </w:rPr>
        <w:t>元</w:t>
      </w:r>
      <w:r>
        <w:rPr>
          <w:rFonts w:ascii="Times New Roman" w:hAnsi="Times New Roman" w:cs="Times New Roman" w:eastAsia="Times New Roman" w:hint="default"/>
          <w:spacing w:val="8"/>
        </w:rPr>
        <w:t>,</w:t>
      </w:r>
      <w:r>
        <w:rPr>
          <w:spacing w:val="8"/>
        </w:rPr>
        <w:t>其中</w:t>
      </w:r>
      <w:r>
        <w:rPr>
          <w:spacing w:val="-69"/>
        </w:rPr>
        <w:t> </w:t>
      </w:r>
      <w:r>
        <w:rPr>
          <w:rFonts w:ascii="Times New Roman" w:hAnsi="Times New Roman" w:cs="Times New Roman" w:eastAsia="Times New Roman" w:hint="default"/>
        </w:rPr>
        <w:t>37,000.00</w:t>
      </w:r>
      <w:r>
        <w:rPr/>
        <w:t>股因股票激励对象陈广等三人因离职，公司按照授予价格</w:t>
      </w:r>
      <w:r>
        <w:rPr>
          <w:rFonts w:ascii="Times New Roman" w:hAnsi="Times New Roman" w:cs="Times New Roman" w:eastAsia="Times New Roman" w:hint="default"/>
        </w:rPr>
        <w:t>12.37</w:t>
      </w:r>
      <w:r>
        <w:rPr/>
        <w:t>元</w:t>
      </w:r>
      <w:r>
        <w:rPr>
          <w:rFonts w:ascii="Times New Roman" w:hAnsi="Times New Roman" w:cs="Times New Roman" w:eastAsia="Times New Roman" w:hint="default"/>
        </w:rPr>
        <w:t>/</w:t>
      </w:r>
      <w:r>
        <w:rPr/>
        <w:t>股对已授予但尚未解锁的限制</w:t>
      </w:r>
      <w:r>
        <w:rPr>
          <w:spacing w:val="-45"/>
        </w:rPr>
        <w:t> </w:t>
      </w:r>
      <w:r>
        <w:rPr>
          <w:spacing w:val="-45"/>
        </w:rPr>
      </w:r>
      <w:r>
        <w:rPr/>
        <w:t>性股票</w:t>
      </w:r>
      <w:r>
        <w:rPr>
          <w:rFonts w:ascii="Times New Roman" w:hAnsi="Times New Roman" w:cs="Times New Roman" w:eastAsia="Times New Roman" w:hint="default"/>
        </w:rPr>
        <w:t>37,000.00</w:t>
      </w:r>
      <w:r>
        <w:rPr/>
        <w:t>股进行了回购，企业在</w:t>
      </w:r>
      <w:r>
        <w:rPr>
          <w:rFonts w:ascii="Times New Roman" w:hAnsi="Times New Roman" w:cs="Times New Roman" w:eastAsia="Times New Roman" w:hint="default"/>
        </w:rPr>
        <w:t>2016</w:t>
      </w:r>
      <w:r>
        <w:rPr/>
        <w:t>年进行减资，注销手续在</w:t>
      </w:r>
      <w:r>
        <w:rPr>
          <w:rFonts w:ascii="Times New Roman" w:hAnsi="Times New Roman" w:cs="Times New Roman" w:eastAsia="Times New Roman" w:hint="default"/>
        </w:rPr>
        <w:t>2017</w:t>
      </w:r>
      <w:r>
        <w:rPr/>
        <w:t>年办理完毕。</w:t>
      </w:r>
    </w:p>
    <w:p>
      <w:pPr>
        <w:pStyle w:val="BodyText"/>
        <w:spacing w:line="408" w:lineRule="auto" w:before="35"/>
        <w:ind w:left="153" w:right="147" w:firstLine="423"/>
        <w:jc w:val="both"/>
      </w:pPr>
      <w:r>
        <w:rPr>
          <w:spacing w:val="-1"/>
        </w:rPr>
        <w:t>根据公司第四届董事会第六次会议审议通过的《关于回购注销部分股权激励对象所持已获授权但尚未</w:t>
      </w:r>
      <w:r>
        <w:rPr/>
        <w:t> 解锁的限制性股票的议案》，贵公司回购注销原限制性股票激励对象罗旭涛、张湧峰等</w:t>
      </w:r>
      <w:r>
        <w:rPr>
          <w:rFonts w:ascii="Times New Roman" w:hAnsi="Times New Roman" w:cs="Times New Roman" w:eastAsia="Times New Roman" w:hint="default"/>
        </w:rPr>
        <w:t>6</w:t>
      </w:r>
      <w:r>
        <w:rPr/>
        <w:t>名离职人员已获</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133"/>
        <w:jc w:val="left"/>
      </w:pPr>
      <w:r>
        <w:rPr/>
        <w:t>授但尚未解锁的</w:t>
      </w:r>
      <w:r>
        <w:rPr>
          <w:rFonts w:ascii="Times New Roman" w:hAnsi="Times New Roman" w:cs="Times New Roman" w:eastAsia="Times New Roman" w:hint="default"/>
        </w:rPr>
        <w:t>36,900.00</w:t>
      </w:r>
      <w:r>
        <w:rPr/>
        <w:t>股回购限制性股票，申请减少注册资本人民币</w:t>
      </w:r>
      <w:r>
        <w:rPr>
          <w:rFonts w:ascii="Times New Roman" w:hAnsi="Times New Roman" w:cs="Times New Roman" w:eastAsia="Times New Roman" w:hint="default"/>
        </w:rPr>
        <w:t>36,900.00</w:t>
      </w:r>
      <w:r>
        <w:rPr/>
        <w:t>元。</w:t>
      </w:r>
    </w:p>
    <w:p>
      <w:pPr>
        <w:spacing w:line="240" w:lineRule="auto" w:before="8"/>
        <w:rPr>
          <w:rFonts w:ascii="宋体" w:hAnsi="宋体" w:cs="宋体" w:eastAsia="宋体" w:hint="default"/>
          <w:sz w:val="30"/>
          <w:szCs w:val="30"/>
        </w:rPr>
      </w:pPr>
    </w:p>
    <w:p>
      <w:pPr>
        <w:pStyle w:val="Heading4"/>
        <w:spacing w:line="240" w:lineRule="auto"/>
        <w:ind w:left="153" w:right="133"/>
        <w:jc w:val="left"/>
        <w:rPr>
          <w:b w:val="0"/>
          <w:bCs w:val="0"/>
        </w:rPr>
      </w:pPr>
      <w:r>
        <w:rPr>
          <w:rFonts w:ascii="Times New Roman" w:hAnsi="Times New Roman" w:cs="Times New Roman" w:eastAsia="Times New Roman" w:hint="default"/>
        </w:rPr>
        <w:t>30</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683,340,488.73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15,717,017.10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1,271,166.00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697,786,339.83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5,687,174.65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14,326,572.60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15,717,017.10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4,296,730.15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689,027,663.38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30,043,589.70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16,988,183.10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702,083,069.98</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12"/>
          <w:szCs w:val="12"/>
        </w:rPr>
      </w:pPr>
    </w:p>
    <w:p>
      <w:pPr>
        <w:pStyle w:val="BodyText"/>
        <w:spacing w:line="398" w:lineRule="auto" w:before="0"/>
        <w:ind w:left="438" w:right="150" w:firstLine="423"/>
        <w:jc w:val="both"/>
      </w:pPr>
      <w:r>
        <w:rPr>
          <w:spacing w:val="-3"/>
        </w:rPr>
        <w:t>根据公司第三届董事会第二十七次会议、第三届董事会第二十八次会议、第三届董事会第二十九次</w:t>
      </w:r>
      <w:r>
        <w:rPr/>
        <w:t> 会议、</w:t>
      </w:r>
      <w:r>
        <w:rPr>
          <w:rFonts w:ascii="Times New Roman" w:hAnsi="Times New Roman" w:cs="Times New Roman" w:eastAsia="Times New Roman" w:hint="default"/>
        </w:rPr>
        <w:t>2016</w:t>
      </w:r>
      <w:r>
        <w:rPr/>
        <w:t>年第四次临时股东大会审议通过，公司通过股权激励，发行境内上市人民币限制性流通股</w:t>
      </w:r>
      <w:r>
        <w:rPr>
          <w:spacing w:val="-15"/>
        </w:rPr>
        <w:t> </w:t>
      </w:r>
      <w:r>
        <w:rPr>
          <w:spacing w:val="-15"/>
        </w:rPr>
      </w:r>
      <w:r>
        <w:rPr>
          <w:rFonts w:ascii="Times New Roman" w:hAnsi="Times New Roman" w:cs="Times New Roman" w:eastAsia="Times New Roman" w:hint="default"/>
          <w:spacing w:val="-2"/>
        </w:rPr>
        <w:t>9,529,400.00</w:t>
      </w:r>
      <w:r>
        <w:rPr>
          <w:spacing w:val="-2"/>
        </w:rPr>
        <w:t>股。根据《新开普电子股份有限公司限制性股票激励计划</w:t>
      </w:r>
      <w:r>
        <w:rPr>
          <w:rFonts w:ascii="Times New Roman" w:hAnsi="Times New Roman" w:cs="Times New Roman" w:eastAsia="Times New Roman" w:hint="default"/>
          <w:spacing w:val="-2"/>
        </w:rPr>
        <w:t>(</w:t>
      </w:r>
      <w:r>
        <w:rPr>
          <w:spacing w:val="-2"/>
        </w:rPr>
        <w:t>草案</w:t>
      </w:r>
      <w:r>
        <w:rPr>
          <w:rFonts w:ascii="Times New Roman" w:hAnsi="Times New Roman" w:cs="Times New Roman" w:eastAsia="Times New Roman" w:hint="default"/>
          <w:spacing w:val="-2"/>
        </w:rPr>
        <w:t>)</w:t>
      </w:r>
      <w:r>
        <w:rPr>
          <w:spacing w:val="-2"/>
        </w:rPr>
        <w:t>》，本次发行定价基准日为</w:t>
      </w:r>
    </w:p>
    <w:p>
      <w:pPr>
        <w:pStyle w:val="BodyText"/>
        <w:spacing w:line="391" w:lineRule="auto" w:before="24"/>
        <w:ind w:left="438" w:right="148"/>
        <w:jc w:val="both"/>
      </w:pPr>
      <w:r>
        <w:rPr>
          <w:spacing w:val="-1"/>
        </w:rPr>
        <w:t>《新开普电子股份有限公司限制性股票激励计划</w:t>
      </w:r>
      <w:r>
        <w:rPr>
          <w:rFonts w:ascii="Times New Roman" w:hAnsi="Times New Roman" w:cs="Times New Roman" w:eastAsia="Times New Roman" w:hint="default"/>
          <w:spacing w:val="-1"/>
        </w:rPr>
        <w:t>(</w:t>
      </w:r>
      <w:r>
        <w:rPr>
          <w:spacing w:val="-1"/>
        </w:rPr>
        <w:t>草案</w:t>
      </w:r>
      <w:r>
        <w:rPr>
          <w:rFonts w:ascii="Times New Roman" w:hAnsi="Times New Roman" w:cs="Times New Roman" w:eastAsia="Times New Roman" w:hint="default"/>
          <w:spacing w:val="-1"/>
        </w:rPr>
        <w:t>)</w:t>
      </w:r>
      <w:r>
        <w:rPr>
          <w:spacing w:val="-1"/>
        </w:rPr>
        <w:t>》公告日（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9</w:t>
      </w:r>
      <w:r>
        <w:rPr>
          <w:spacing w:val="-1"/>
        </w:rPr>
        <w:t>日）。本次授予激励对象</w:t>
      </w:r>
      <w:r>
        <w:rPr>
          <w:spacing w:val="-86"/>
        </w:rPr>
        <w:t> </w:t>
      </w:r>
      <w:r>
        <w:rPr>
          <w:spacing w:val="-86"/>
        </w:rPr>
      </w:r>
      <w:r>
        <w:rPr/>
        <w:t>限制性股票价格为</w:t>
      </w:r>
      <w:r>
        <w:rPr>
          <w:rFonts w:ascii="Times New Roman" w:hAnsi="Times New Roman" w:cs="Times New Roman" w:eastAsia="Times New Roman" w:hint="default"/>
        </w:rPr>
        <w:t>12.37</w:t>
      </w:r>
      <w:r>
        <w:rPr/>
        <w:t>元</w:t>
      </w:r>
      <w:r>
        <w:rPr>
          <w:rFonts w:ascii="Times New Roman" w:hAnsi="Times New Roman" w:cs="Times New Roman" w:eastAsia="Times New Roman" w:hint="default"/>
        </w:rPr>
        <w:t>/</w:t>
      </w:r>
      <w:r>
        <w:rPr/>
        <w:t>股，为定价基准日前</w:t>
      </w:r>
      <w:r>
        <w:rPr>
          <w:rFonts w:ascii="Times New Roman" w:hAnsi="Times New Roman" w:cs="Times New Roman" w:eastAsia="Times New Roman" w:hint="default"/>
        </w:rPr>
        <w:t>20</w:t>
      </w:r>
      <w:r>
        <w:rPr/>
        <w:t>个交易日公司股票均价</w:t>
      </w:r>
      <w:r>
        <w:rPr>
          <w:rFonts w:ascii="Times New Roman" w:hAnsi="Times New Roman" w:cs="Times New Roman" w:eastAsia="Times New Roman" w:hint="default"/>
        </w:rPr>
        <w:t>(</w:t>
      </w:r>
      <w:r>
        <w:rPr/>
        <w:t>前</w:t>
      </w:r>
      <w:r>
        <w:rPr>
          <w:rFonts w:ascii="Times New Roman" w:hAnsi="Times New Roman" w:cs="Times New Roman" w:eastAsia="Times New Roman" w:hint="default"/>
        </w:rPr>
        <w:t>20</w:t>
      </w:r>
      <w:r>
        <w:rPr/>
        <w:t>个交易日股票交易总额</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spacing w:val="-1"/>
        </w:rPr>
        <w:t>前</w:t>
      </w:r>
      <w:r>
        <w:rPr>
          <w:rFonts w:ascii="Times New Roman" w:hAnsi="Times New Roman" w:cs="Times New Roman" w:eastAsia="Times New Roman" w:hint="default"/>
          <w:spacing w:val="-1"/>
        </w:rPr>
        <w:t>20</w:t>
      </w:r>
      <w:r>
        <w:rPr>
          <w:spacing w:val="-1"/>
        </w:rPr>
        <w:t>个交易日股票交易总量</w:t>
      </w:r>
      <w:r>
        <w:rPr>
          <w:rFonts w:ascii="Times New Roman" w:hAnsi="Times New Roman" w:cs="Times New Roman" w:eastAsia="Times New Roman" w:hint="default"/>
          <w:spacing w:val="-1"/>
        </w:rPr>
        <w:t>)24.73</w:t>
      </w:r>
      <w:r>
        <w:rPr>
          <w:spacing w:val="-1"/>
        </w:rPr>
        <w:t>元</w:t>
      </w:r>
      <w:r>
        <w:rPr>
          <w:rFonts w:ascii="Times New Roman" w:hAnsi="Times New Roman" w:cs="Times New Roman" w:eastAsia="Times New Roman" w:hint="default"/>
          <w:spacing w:val="-1"/>
        </w:rPr>
        <w:t>/</w:t>
      </w:r>
      <w:r>
        <w:rPr>
          <w:spacing w:val="-1"/>
        </w:rPr>
        <w:t>股的</w:t>
      </w:r>
      <w:r>
        <w:rPr>
          <w:rFonts w:ascii="Times New Roman" w:hAnsi="Times New Roman" w:cs="Times New Roman" w:eastAsia="Times New Roman" w:hint="default"/>
          <w:spacing w:val="-1"/>
        </w:rPr>
        <w:t>50%</w:t>
      </w:r>
      <w:r>
        <w:rPr>
          <w:spacing w:val="-1"/>
        </w:rPr>
        <w:t>确定。公司股票在本次发行定价基准日至激励对象完成限</w:t>
      </w:r>
      <w:r>
        <w:rPr>
          <w:spacing w:val="-94"/>
        </w:rPr>
        <w:t> </w:t>
      </w:r>
      <w:r>
        <w:rPr>
          <w:spacing w:val="-94"/>
        </w:rPr>
      </w:r>
      <w:r>
        <w:rPr>
          <w:spacing w:val="-3"/>
        </w:rPr>
        <w:t>制性股票股份登记期间未发生派息、送股、资本公积转增股本等除权、除息事项，因此发行价格无需进</w:t>
      </w:r>
      <w:r>
        <w:rPr>
          <w:spacing w:val="-66"/>
        </w:rPr>
        <w:t> </w:t>
      </w:r>
      <w:r>
        <w:rPr>
          <w:spacing w:val="-66"/>
        </w:rPr>
      </w:r>
      <w:r>
        <w:rPr>
          <w:spacing w:val="-3"/>
        </w:rPr>
        <w:t>行调整。此次发行股票由公司财务总监李玉玲、公司及公司的全资控股子公司的重要管理人员、核心技</w:t>
      </w:r>
      <w:r>
        <w:rPr>
          <w:spacing w:val="-69"/>
        </w:rPr>
        <w:t> </w:t>
      </w:r>
      <w:r>
        <w:rPr>
          <w:spacing w:val="-69"/>
        </w:rPr>
      </w:r>
      <w:r>
        <w:rPr>
          <w:spacing w:val="-1"/>
        </w:rPr>
        <w:t>术（业务）人员共计</w:t>
      </w:r>
      <w:r>
        <w:rPr>
          <w:rFonts w:ascii="Times New Roman" w:hAnsi="Times New Roman" w:cs="Times New Roman" w:eastAsia="Times New Roman" w:hint="default"/>
          <w:spacing w:val="-1"/>
        </w:rPr>
        <w:t>463</w:t>
      </w:r>
      <w:r>
        <w:rPr>
          <w:spacing w:val="-1"/>
        </w:rPr>
        <w:t>人认购。公司本次通过股权激励申请增加注册资本人民币</w:t>
      </w:r>
      <w:r>
        <w:rPr>
          <w:rFonts w:ascii="Times New Roman" w:hAnsi="Times New Roman" w:cs="Times New Roman" w:eastAsia="Times New Roman" w:hint="default"/>
          <w:spacing w:val="-1"/>
        </w:rPr>
        <w:t>9,529,400.00</w:t>
      </w:r>
      <w:r>
        <w:rPr>
          <w:spacing w:val="-1"/>
        </w:rPr>
        <w:t>元，变更</w:t>
      </w:r>
      <w:r>
        <w:rPr/>
        <w:t> </w:t>
      </w:r>
      <w:r>
        <w:rPr>
          <w:spacing w:val="-2"/>
        </w:rPr>
        <w:t>后公司注册资本为人民币</w:t>
      </w:r>
      <w:r>
        <w:rPr>
          <w:rFonts w:ascii="Times New Roman" w:hAnsi="Times New Roman" w:cs="Times New Roman" w:eastAsia="Times New Roman" w:hint="default"/>
          <w:spacing w:val="-2"/>
        </w:rPr>
        <w:t>311,624,301.00</w:t>
      </w:r>
      <w:r>
        <w:rPr>
          <w:spacing w:val="-2"/>
        </w:rPr>
        <w:t>元。截至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日止，公司已收到各股东投入的资本为人</w:t>
      </w:r>
      <w:r>
        <w:rPr>
          <w:spacing w:val="-52"/>
        </w:rPr>
        <w:t> </w:t>
      </w:r>
      <w:r>
        <w:rPr>
          <w:spacing w:val="-52"/>
        </w:rPr>
      </w:r>
      <w:r>
        <w:rPr>
          <w:spacing w:val="-1"/>
        </w:rPr>
        <w:t>民币</w:t>
      </w:r>
      <w:r>
        <w:rPr>
          <w:rFonts w:ascii="Times New Roman" w:hAnsi="Times New Roman" w:cs="Times New Roman" w:eastAsia="Times New Roman" w:hint="default"/>
          <w:spacing w:val="-1"/>
        </w:rPr>
        <w:t>117,878,678.00</w:t>
      </w:r>
      <w:r>
        <w:rPr>
          <w:spacing w:val="-1"/>
        </w:rPr>
        <w:t>元，其中计入股本</w:t>
      </w:r>
      <w:r>
        <w:rPr>
          <w:rFonts w:ascii="Times New Roman" w:hAnsi="Times New Roman" w:cs="Times New Roman" w:eastAsia="Times New Roman" w:hint="default"/>
          <w:spacing w:val="-1"/>
        </w:rPr>
        <w:t>9,529,400.00</w:t>
      </w:r>
      <w:r>
        <w:rPr>
          <w:spacing w:val="-1"/>
        </w:rPr>
        <w:t>元，余下部分</w:t>
      </w:r>
      <w:r>
        <w:rPr>
          <w:rFonts w:ascii="Times New Roman" w:hAnsi="Times New Roman" w:cs="Times New Roman" w:eastAsia="Times New Roman" w:hint="default"/>
          <w:spacing w:val="-1"/>
        </w:rPr>
        <w:t>108,349,278.00</w:t>
      </w:r>
      <w:r>
        <w:rPr>
          <w:spacing w:val="-1"/>
        </w:rPr>
        <w:t>元计入资本公积，各股东</w:t>
      </w:r>
      <w:r>
        <w:rPr/>
        <w:t> 均以货币资金出资。</w:t>
      </w:r>
    </w:p>
    <w:p>
      <w:pPr>
        <w:pStyle w:val="BodyText"/>
        <w:spacing w:line="386" w:lineRule="auto" w:before="61"/>
        <w:ind w:left="438" w:right="151" w:firstLine="423"/>
        <w:jc w:val="both"/>
      </w:pPr>
      <w:r>
        <w:rPr>
          <w:spacing w:val="-2"/>
        </w:rPr>
        <w:t>其中资本公积</w:t>
      </w:r>
      <w:r>
        <w:rPr>
          <w:rFonts w:ascii="Times New Roman" w:hAnsi="Times New Roman" w:cs="Times New Roman" w:eastAsia="Times New Roman" w:hint="default"/>
          <w:spacing w:val="-2"/>
        </w:rPr>
        <w:t>-</w:t>
      </w:r>
      <w:r>
        <w:rPr>
          <w:spacing w:val="-2"/>
        </w:rPr>
        <w:t>其他资本公积增加</w:t>
      </w:r>
      <w:r>
        <w:rPr>
          <w:rFonts w:ascii="Times New Roman" w:hAnsi="Times New Roman" w:cs="Times New Roman" w:eastAsia="Times New Roman" w:hint="default"/>
          <w:spacing w:val="-2"/>
        </w:rPr>
        <w:t>14,326,572.60</w:t>
      </w:r>
      <w:r>
        <w:rPr>
          <w:spacing w:val="-2"/>
        </w:rPr>
        <w:t>元，系本年度分摊股份支付成本，减少</w:t>
      </w:r>
      <w:r>
        <w:rPr>
          <w:rFonts w:ascii="Times New Roman" w:hAnsi="Times New Roman" w:cs="Times New Roman" w:eastAsia="Times New Roman" w:hint="default"/>
          <w:spacing w:val="-2"/>
        </w:rPr>
        <w:t>15,717,017.10</w:t>
      </w:r>
      <w:r>
        <w:rPr>
          <w:rFonts w:ascii="Times New Roman" w:hAnsi="Times New Roman" w:cs="Times New Roman" w:eastAsia="Times New Roman" w:hint="default"/>
          <w:spacing w:val="-1"/>
        </w:rPr>
        <w:t> </w:t>
      </w:r>
      <w:r>
        <w:rPr/>
        <w:t>元，系第一期股票解锁，由资本公积</w:t>
      </w:r>
      <w:r>
        <w:rPr>
          <w:rFonts w:ascii="Times New Roman" w:hAnsi="Times New Roman" w:cs="Times New Roman" w:eastAsia="Times New Roman" w:hint="default"/>
        </w:rPr>
        <w:t>-</w:t>
      </w:r>
      <w:r>
        <w:rPr/>
        <w:t>其他资本公积转入资本公积</w:t>
      </w:r>
      <w:r>
        <w:rPr>
          <w:rFonts w:ascii="Times New Roman" w:hAnsi="Times New Roman" w:cs="Times New Roman" w:eastAsia="Times New Roman" w:hint="default"/>
        </w:rPr>
        <w:t>-</w:t>
      </w:r>
      <w:r>
        <w:rPr/>
        <w:t>股本溢价所致。</w:t>
      </w:r>
    </w:p>
    <w:p>
      <w:pPr>
        <w:pStyle w:val="BodyText"/>
        <w:spacing w:line="240" w:lineRule="auto" w:before="35"/>
        <w:ind w:left="861" w:right="133"/>
        <w:jc w:val="left"/>
      </w:pPr>
      <w:r>
        <w:rPr/>
        <w:t>股本溢价减少</w:t>
      </w:r>
      <w:r>
        <w:rPr>
          <w:rFonts w:ascii="Times New Roman" w:hAnsi="Times New Roman" w:cs="Times New Roman" w:eastAsia="Times New Roman" w:hint="default"/>
        </w:rPr>
        <w:t>1,271,166.00</w:t>
      </w:r>
      <w:r>
        <w:rPr/>
        <w:t>元，系限制性股票回购导致。</w:t>
      </w:r>
    </w:p>
    <w:p>
      <w:pPr>
        <w:spacing w:line="240" w:lineRule="auto" w:before="8"/>
        <w:rPr>
          <w:rFonts w:ascii="宋体" w:hAnsi="宋体" w:cs="宋体" w:eastAsia="宋体" w:hint="default"/>
          <w:sz w:val="30"/>
          <w:szCs w:val="30"/>
        </w:rPr>
      </w:pPr>
    </w:p>
    <w:p>
      <w:pPr>
        <w:pStyle w:val="Heading4"/>
        <w:spacing w:line="240" w:lineRule="auto"/>
        <w:ind w:left="153" w:right="133"/>
        <w:jc w:val="left"/>
        <w:rPr>
          <w:b w:val="0"/>
          <w:bCs w:val="0"/>
        </w:rPr>
      </w:pPr>
      <w:r>
        <w:rPr>
          <w:rFonts w:ascii="Times New Roman" w:hAnsi="Times New Roman" w:cs="Times New Roman" w:eastAsia="Times New Roman" w:hint="default"/>
        </w:rPr>
        <w:t>31</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117,420,988.00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47,892,434.20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69,528,553.80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117,420,988.00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47,892,434.20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69,528,553.80</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right="150" w:firstLine="423"/>
        <w:jc w:val="both"/>
      </w:pPr>
      <w:r>
        <w:rPr>
          <w:rFonts w:ascii="Times New Roman" w:hAnsi="Times New Roman" w:cs="Times New Roman" w:eastAsia="Times New Roman" w:hint="default"/>
          <w:spacing w:val="-1"/>
        </w:rPr>
        <w:t>1</w:t>
      </w:r>
      <w:r>
        <w:rPr>
          <w:spacing w:val="-1"/>
        </w:rPr>
        <w:t>、公司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月对重要管理人员、核心技术（业务）人员进行限制性股票激励，收到投入的资本为</w:t>
      </w:r>
      <w:r>
        <w:rPr/>
        <w:t> 人民币</w:t>
      </w:r>
      <w:r>
        <w:rPr>
          <w:rFonts w:ascii="Times New Roman" w:hAnsi="Times New Roman" w:cs="Times New Roman" w:eastAsia="Times New Roman" w:hint="default"/>
        </w:rPr>
        <w:t>117,878,678.00</w:t>
      </w:r>
      <w:r>
        <w:rPr/>
        <w:t>元，相应确认限制性股票回购义务</w:t>
      </w:r>
      <w:r>
        <w:rPr>
          <w:rFonts w:ascii="Times New Roman" w:hAnsi="Times New Roman" w:cs="Times New Roman" w:eastAsia="Times New Roman" w:hint="default"/>
        </w:rPr>
        <w:t>117,878,678.00</w:t>
      </w:r>
      <w:r>
        <w:rPr/>
        <w:t>元；</w:t>
      </w:r>
    </w:p>
    <w:p>
      <w:pPr>
        <w:pStyle w:val="BodyText"/>
        <w:spacing w:line="386" w:lineRule="auto" w:before="35"/>
        <w:ind w:left="153" w:right="146" w:firstLine="423"/>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年股票激励对象杨海佳、苏伟强、陈广因离职，公司按照授予价格对已授予但尚未解锁的限</w:t>
      </w:r>
      <w:r>
        <w:rPr>
          <w:spacing w:val="2"/>
        </w:rPr>
        <w:t> </w:t>
      </w:r>
      <w:r>
        <w:rPr/>
        <w:t>制性股票</w:t>
      </w:r>
      <w:r>
        <w:rPr>
          <w:rFonts w:ascii="Times New Roman" w:hAnsi="Times New Roman" w:cs="Times New Roman" w:eastAsia="Times New Roman" w:hint="default"/>
        </w:rPr>
        <w:t>37,000.00</w:t>
      </w:r>
      <w:r>
        <w:rPr/>
        <w:t>股回购注销，减少限制性股票回购义务</w:t>
      </w:r>
      <w:r>
        <w:rPr>
          <w:rFonts w:ascii="Times New Roman" w:hAnsi="Times New Roman" w:cs="Times New Roman" w:eastAsia="Times New Roman" w:hint="default"/>
        </w:rPr>
        <w:t>457,690.00</w:t>
      </w:r>
      <w:r>
        <w:rPr/>
        <w:t>元。</w:t>
      </w:r>
    </w:p>
    <w:p>
      <w:pPr>
        <w:pStyle w:val="BodyText"/>
        <w:spacing w:line="386" w:lineRule="auto" w:before="35"/>
        <w:ind w:left="153" w:right="146" w:firstLine="423"/>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年股票激励对象因业绩未达标以及员工离职，公司按照授予价格对已授予但未解锁的限制性</w:t>
      </w:r>
      <w:r>
        <w:rPr>
          <w:spacing w:val="2"/>
        </w:rPr>
        <w:t> </w:t>
      </w:r>
      <w:r>
        <w:rPr/>
        <w:t>股票</w:t>
      </w:r>
      <w:r>
        <w:rPr>
          <w:rFonts w:ascii="Times New Roman" w:hAnsi="Times New Roman" w:cs="Times New Roman" w:eastAsia="Times New Roman" w:hint="default"/>
        </w:rPr>
        <w:t>111,800.00</w:t>
      </w:r>
      <w:r>
        <w:rPr/>
        <w:t>股回购注销，减少库存股</w:t>
      </w:r>
      <w:r>
        <w:rPr>
          <w:rFonts w:ascii="Times New Roman" w:hAnsi="Times New Roman" w:cs="Times New Roman" w:eastAsia="Times New Roman" w:hint="default"/>
        </w:rPr>
        <w:t>1,382,966.00</w:t>
      </w:r>
      <w:r>
        <w:rPr/>
        <w:t>元，其他减少</w:t>
      </w:r>
      <w:r>
        <w:rPr>
          <w:rFonts w:ascii="Times New Roman" w:hAnsi="Times New Roman" w:cs="Times New Roman" w:eastAsia="Times New Roman" w:hint="default"/>
        </w:rPr>
        <w:t>46,509,468.20</w:t>
      </w:r>
      <w:r>
        <w:rPr/>
        <w:t>元系公司完成</w:t>
      </w:r>
      <w:r>
        <w:rPr>
          <w:rFonts w:ascii="Times New Roman" w:hAnsi="Times New Roman" w:cs="Times New Roman" w:eastAsia="Times New Roman" w:hint="default"/>
        </w:rPr>
        <w:t>2016</w:t>
      </w:r>
      <w:r>
        <w:rPr/>
        <w:t>年业绩</w:t>
      </w:r>
      <w:r>
        <w:rPr>
          <w:spacing w:val="-53"/>
        </w:rPr>
        <w:t> </w:t>
      </w:r>
      <w:r>
        <w:rPr/>
        <w:t>承诺指标，限制性股票解锁，公司解除部分股票的回购义务。</w:t>
      </w:r>
    </w:p>
    <w:p>
      <w:pPr>
        <w:spacing w:line="240" w:lineRule="auto" w:before="0"/>
        <w:rPr>
          <w:rFonts w:ascii="宋体" w:hAnsi="宋体" w:cs="宋体" w:eastAsia="宋体" w:hint="default"/>
          <w:sz w:val="22"/>
          <w:szCs w:val="22"/>
        </w:rPr>
      </w:pPr>
    </w:p>
    <w:p>
      <w:pPr>
        <w:pStyle w:val="Heading4"/>
        <w:spacing w:line="240" w:lineRule="auto"/>
        <w:ind w:left="153" w:right="133"/>
        <w:jc w:val="left"/>
        <w:rPr>
          <w:b w:val="0"/>
          <w:bCs w:val="0"/>
        </w:rPr>
      </w:pPr>
      <w:r>
        <w:rPr>
          <w:rFonts w:ascii="Times New Roman" w:hAnsi="Times New Roman" w:cs="Times New Roman" w:eastAsia="Times New Roman" w:hint="default"/>
        </w:rPr>
        <w:t>32</w:t>
      </w:r>
      <w:r>
        <w:rPr/>
        <w:t>、盈余公积</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30,018,196.80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9,509,370.38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39,527,567.18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30,018,196.80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9,509,370.38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39,527,567.18</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right="133"/>
        <w:jc w:val="left"/>
        <w:rPr>
          <w:b w:val="0"/>
          <w:bCs w:val="0"/>
        </w:rPr>
      </w:pPr>
      <w:r>
        <w:rPr>
          <w:rFonts w:ascii="Times New Roman" w:hAnsi="Times New Roman" w:cs="Times New Roman" w:eastAsia="Times New Roman" w:hint="default"/>
        </w:rPr>
        <w:t>33</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272,739,063.88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208,078,594.09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272,739,063.88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208,078,594.09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119,671,217.16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84,850,220.15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9,509,370.38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5,085,005.31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17,854,336.56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15,104,745.05</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365,046,574.10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272,739,063.88</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right="133"/>
        <w:jc w:val="left"/>
        <w:rPr>
          <w:b w:val="0"/>
          <w:bCs w:val="0"/>
        </w:rPr>
      </w:pPr>
      <w:r>
        <w:rPr>
          <w:rFonts w:ascii="Times New Roman" w:hAnsi="Times New Roman" w:cs="Times New Roman" w:eastAsia="Times New Roman" w:hint="default"/>
        </w:rPr>
        <w:t>34</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765,260,525.85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341,236,182.70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679,148,777.49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306,539,087.73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4,359,194.18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1,081,751.89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4,339,352.27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1,119,140.20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769,619,720.03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342,317,934.59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683,488,129.76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307,658,227.93</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35</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4,459,600.21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4,667,884.29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1,942,215.23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2,032,836.67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1,610,525.85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1,256,938.24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156,559.67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117,374.06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508,682.80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196,731.49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71,283.60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1,291,313.62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1,355,224.61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55,898.42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9,971,166.64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9,755,671.38</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36</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87,071,034.91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71,833,193.61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36,997,769.50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40,093,102.72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14,446,894.08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10,400,106.25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12,660,945.46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9,672,697.61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11,842,946.96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12,276,375.91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6,413,792.23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5,308,703.54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3,616,416.39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2,749,973.91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3,128,347.68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2,801,588.81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1,616,765.32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1,284,686.33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1,031,287.61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1,150,110.65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575,195.73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440,824.95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436,700.69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286,013.36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179,838,096.56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158,297,377.65</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37</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77,542,170.48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57,104,148.50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22,211,684.04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22,010,318.14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14,326,572.60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5,687,174.65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9,342,720.45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8,372,291.58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7,791,524.95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7,382,042.95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3,555,277.73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3,173,220.96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1,660,732.82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1,512,822.49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1,484,929.57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986,052.78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1,445,265.95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1,078,897.79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技术转让费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881,004.04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1,015,086.18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878,891.58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1,265,683.51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850,487.03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731,073.49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768,626.33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292,079.77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133,185.40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148,879.14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585,895.73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144,123,072.97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112,595,667.66</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38</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9,906,635.98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8,804,841.53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4,564,134.34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596,068.41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167,220.33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159,194.55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5,509,721.97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8,367,967.67</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39</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13,195,434.66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11,150,607.95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483,795.60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287,848.23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13,679,230.26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11,438,456.18</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40</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-1,095,146.27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-3,701,896.38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-71,046.93</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丹诚开普收回对北京优才投资形成的收益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1,899,768.20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理财产品形成的收益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5,955,710.94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288,461.84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4,860,564.67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-1,584,713.27</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41</w:t>
      </w:r>
      <w:r>
        <w:rPr/>
        <w:t>、资产处置收益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-106,446.49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-67,928.84</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-106,446.49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-67,928.84</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42</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50,169,978.65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见习补贴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224,900.00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年郑州市第三批技术研究与开发经 </w:t>
            </w:r>
            <w:r>
              <w:rPr>
                <w:rFonts w:ascii="宋体" w:hAnsi="宋体" w:cs="宋体" w:eastAsia="宋体" w:hint="default"/>
                <w:spacing w:val="-10"/>
                <w:sz w:val="18"/>
                <w:szCs w:val="18"/>
              </w:rPr>
              <w:t>费项目：智能卡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支付与识别产品产 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年度信息化发展专项资金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政府奖励商务车一辆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18,420.00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基于金融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卡的移动支付信息化服务平 台与终端项目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494,500.00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3"/>
              <w:jc w:val="left"/>
              <w:rPr>
                <w:rFonts w:ascii="Times New Roman" w:hAnsi="Times New Roman" w:cs="Times New Roman" w:eastAsia="Times New Roman" w:hint="default"/>
                <w:sz w:val="18"/>
                <w:szCs w:val="18"/>
              </w:rPr>
            </w:pPr>
            <w:r>
              <w:rPr>
                <w:rFonts w:ascii="宋体" w:hAnsi="宋体" w:cs="宋体" w:eastAsia="宋体" w:hint="default"/>
                <w:sz w:val="18"/>
                <w:szCs w:val="18"/>
              </w:rPr>
              <w:t>郑州市信息化发展专项资金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金融支付 系统及终端项目</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group style="position:absolute;margin-left:110.220001pt;margin-top:551.039978pt;width:52.65pt;height:113.25pt;mso-position-horizontal-relative:page;mso-position-vertical-relative:page;z-index:-1221328" coordorigin="2204,11021" coordsize="1053,2265">
            <v:group style="position:absolute;left:2204;top:11021;width:1053;height:2265" coordorigin="2204,11021" coordsize="1053,2265">
              <v:shape style="position:absolute;left:2204;top:11021;width:1053;height:2265" coordorigin="2204,11021" coordsize="1053,2265" path="m2204,13285l3257,13285,3257,11021,2204,11021,2204,13285xe" filled="true" fillcolor="#ffffff" stroked="false">
                <v:path arrowok="t"/>
                <v:fill type="solid"/>
              </v:shape>
            </v:group>
            <v:group style="position:absolute;left:2227;top:11957;width:1007;height:393" coordorigin="2227,11957" coordsize="1007,393">
              <v:shape style="position:absolute;left:2227;top:11957;width:1007;height:393" coordorigin="2227,11957" coordsize="1007,393" path="m2227,12349l3234,12349,3234,11957,2227,11957,2227,1234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51,581,798.65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43</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2,738,348.00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25,520,479.62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2,738,348.00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86,624.43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18,632.29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86,624.43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2,824,972.43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25,539,111.91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2,824,972.43</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76" w:right="49"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软件产品增 值税退税</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21,177,249.7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个税手续费 返还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16,942.86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企业发展扶 持基金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贷款保费补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25,870.20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郑州市财政 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 新技术产业 化项目二次 补助资金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年郑州 市第三批技 术研究与开 发经费项目 智能卡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支付与识别 产品产业化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郑州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度信息化发 展专项资金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政府奖励商 务车一辆</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基于金融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卡的移动支 付信息化服 务平台与终 端项目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494,500.00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郑州市信息 化发展专项 资金</w:t>
            </w:r>
            <w:r>
              <w:rPr>
                <w:rFonts w:ascii="Times New Roman" w:hAnsi="Times New Roman" w:cs="Times New Roman" w:eastAsia="Times New Roman" w:hint="default"/>
                <w:sz w:val="18"/>
                <w:szCs w:val="18"/>
              </w:rPr>
              <w:t>"</w:t>
            </w:r>
            <w:r>
              <w:rPr>
                <w:rFonts w:ascii="宋体" w:hAnsi="宋体" w:cs="宋体" w:eastAsia="宋体" w:hint="default"/>
                <w:sz w:val="18"/>
                <w:szCs w:val="18"/>
              </w:rPr>
              <w:t>金融支 付系统及终 端项目</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河南省瞪羚 企业项目补 助经费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科技创新优 秀企业奖励</w:t>
            </w:r>
          </w:p>
          <w:p>
            <w:pPr>
              <w:pStyle w:val="TableParagraph"/>
              <w:spacing w:line="319" w:lineRule="auto" w:before="19"/>
              <w:ind w:left="22" w:right="131"/>
              <w:jc w:val="left"/>
              <w:rPr>
                <w:rFonts w:ascii="宋体" w:hAnsi="宋体" w:cs="宋体" w:eastAsia="宋体" w:hint="default"/>
                <w:sz w:val="18"/>
                <w:szCs w:val="18"/>
              </w:rPr>
            </w:pPr>
            <w:r>
              <w:rPr>
                <w:rFonts w:ascii="宋体" w:hAnsi="宋体" w:cs="宋体" w:eastAsia="宋体" w:hint="default"/>
                <w:sz w:val="18"/>
                <w:szCs w:val="18"/>
              </w:rPr>
              <w:t>（研发机构 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《企业知识 产权管理规 </w:t>
            </w:r>
            <w:r>
              <w:rPr>
                <w:rFonts w:ascii="宋体" w:hAnsi="宋体" w:cs="宋体" w:eastAsia="宋体" w:hint="default"/>
                <w:spacing w:val="-12"/>
                <w:sz w:val="18"/>
                <w:szCs w:val="18"/>
              </w:rPr>
              <w:t>范》认证资助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年高成 长企业奖励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年第二批拟 支持科技计 划项目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191,500.00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年第二批专 利申请资助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年度区 级专利申请 </w:t>
            </w:r>
            <w:r>
              <w:rPr>
                <w:rFonts w:ascii="宋体" w:hAnsi="宋体" w:cs="宋体" w:eastAsia="宋体" w:hint="default"/>
                <w:spacing w:val="-12"/>
                <w:sz w:val="18"/>
                <w:szCs w:val="18"/>
              </w:rPr>
              <w:t>资助、授权资</w:t>
            </w:r>
            <w:r>
              <w:rPr>
                <w:rFonts w:ascii="宋体" w:hAnsi="宋体" w:cs="宋体" w:eastAsia="宋体" w:hint="default"/>
                <w:sz w:val="18"/>
                <w:szCs w:val="18"/>
              </w:rPr>
              <w:t> 助及企业知 识产权管理 人员奖励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年度第一批 专利申请资 助资金的通 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年省知 识产权事业 发展专项经 费的通知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年度郑 州市信息化 发展专项资 金和两化融 合专项资金 拟支持项目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年度郑 州市电子信 息产业基地 建设专项资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104,400.00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郑州市财政 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三批省企业 技术创新引 导专项项目 经费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年度第二批 专利申请资 助资金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23,600.00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年第二批科 技计划项目 经费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124,500.00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政府贴息款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67,556.00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高新技术成 果转化补贴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科技小巨人 项目补贴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轮岗补贴资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18,792.00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高新技术企 业政府奖励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高新区商务 </w:t>
            </w:r>
            <w:r>
              <w:rPr>
                <w:rFonts w:ascii="宋体" w:hAnsi="宋体" w:cs="宋体" w:eastAsia="宋体" w:hint="default"/>
                <w:spacing w:val="-12"/>
                <w:sz w:val="18"/>
                <w:szCs w:val="18"/>
              </w:rPr>
              <w:t>局，科技计划</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项目经费项 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福州市科技 </w:t>
            </w:r>
            <w:r>
              <w:rPr>
                <w:rFonts w:ascii="宋体" w:hAnsi="宋体" w:cs="宋体" w:eastAsia="宋体" w:hint="default"/>
                <w:spacing w:val="-12"/>
                <w:sz w:val="18"/>
                <w:szCs w:val="18"/>
              </w:rPr>
              <w:t>局，科技小巨</w:t>
            </w:r>
            <w:r>
              <w:rPr>
                <w:rFonts w:ascii="宋体" w:hAnsi="宋体" w:cs="宋体" w:eastAsia="宋体" w:hint="default"/>
                <w:sz w:val="18"/>
                <w:szCs w:val="18"/>
              </w:rPr>
              <w:t> 人奖励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闽侯县政府 专利补助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创新券补助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福州市科技 局创新券补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税控系统减 免</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730.12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2,738,348.00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25,520,479.6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33"/>
        <w:jc w:val="left"/>
        <w:rPr>
          <w:b w:val="0"/>
          <w:bCs w:val="0"/>
        </w:rPr>
      </w:pPr>
      <w:r>
        <w:rPr>
          <w:rFonts w:ascii="Times New Roman" w:hAnsi="Times New Roman" w:cs="Times New Roman" w:eastAsia="Times New Roman" w:hint="default"/>
        </w:rPr>
        <w:t>44</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2"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诉讼赔款</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953,990.50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44,686.35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101,725.62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44,686.35</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45,686.35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1,105,716.12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45,686.35</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45</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16,858,506.47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15,382,230.63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-3,791,118.84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-2,861,620.34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13,067,387.63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12,520,610.29</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133,295,699.95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19,994,354.99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-176,420.56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566,492.89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-5,557,116.05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-2,056,543.96</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384,802.43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-88,182.12</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13,067,387.63</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46</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4,564,134.34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529,611.94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4,617,200.00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4,611,596.00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5,530,930.41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6,761,970.20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20,249.22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708,075.03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14,732,513.97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12,611,253.17</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21,887,941.23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17,782,149.20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16,891,680.61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13,262,428.69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14,115,827.45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11,185,520.10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37,690,397.47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41,603,199.13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7,165,590.51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6,039,777.03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2,966,601.40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2,801,588.81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1,445,265.95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1,078,897.79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3,616,416.39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3,081,445.60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1,383,770.02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1,298,989.79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1,254,927.06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732,904.72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940,199.87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1,015,086.18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技术图书资料费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1,169,883.27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试验检测鉴定费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896,356.28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834,692.28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新产品设计费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29,545.36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其他间接费用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89,098.05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262,081.76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161,923.73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158,253.50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其他及往来款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15,411,769.49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19,240,751.50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127,951,886.42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119,543,073.80</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投资理财收益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288,461.84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288,461.84</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投资理财</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财务顾问费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股权激励及非公开相关中介费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1,382,966.00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785,518.70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派息手续费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25,067.18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18,547.57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2,908,033.18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2,304,066.27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r>
        <w:rPr/>
        <w:pict>
          <v:shape style="position:absolute;margin-left:190.140594pt;margin-top:383.640015pt;width:185.55pt;height:19.6pt;mso-position-horizontal-relative:page;mso-position-vertical-relative:page;z-index:-122130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p>
      <w:pPr>
        <w:pStyle w:val="Heading4"/>
        <w:spacing w:line="240" w:lineRule="auto" w:before="35"/>
        <w:ind w:right="133"/>
        <w:jc w:val="left"/>
        <w:rPr>
          <w:b w:val="0"/>
          <w:bCs w:val="0"/>
        </w:rPr>
      </w:pPr>
      <w:r>
        <w:rPr>
          <w:rFonts w:ascii="Times New Roman" w:hAnsi="Times New Roman" w:cs="Times New Roman" w:eastAsia="Times New Roman" w:hint="default"/>
        </w:rPr>
        <w:t>47</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120,228,312.32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85,634,904.68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13,679,230.26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11,438,456.18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11,272,396.61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10,824,077.51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11,643,903.68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9,205,290.92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3,705,269.49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1,522,508.01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106,446.49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67,928.84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9,906,635.98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8,804,841.53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1,095,146.27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1,584,713.27</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-3,791,118.84</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-2,861,620.54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-32,503,871.75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-3,952,457.87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-133,053,870.26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-27,373,346.38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63,123,005.31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45,536,280.74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65,411,485.56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140,431,576.89</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52"/>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593,348,607.36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586,298,137.20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586,298,137.20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197,234,008.33</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7,050,470.16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389,064,128.87</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593,348,607.36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586,298,137.20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107,673.02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225,148.19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593,240,934.34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586,072,989.01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593,348,607.36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586,298,137.20</w:t>
            </w:r>
          </w:p>
        </w:tc>
      </w:tr>
    </w:tbl>
    <w:p>
      <w:pPr>
        <w:spacing w:line="240" w:lineRule="auto" w:before="2"/>
        <w:rPr>
          <w:rFonts w:ascii="宋体" w:hAnsi="宋体" w:cs="宋体" w:eastAsia="宋体" w:hint="default"/>
          <w:sz w:val="19"/>
          <w:szCs w:val="19"/>
        </w:rPr>
      </w:pPr>
    </w:p>
    <w:p>
      <w:pPr>
        <w:spacing w:line="547" w:lineRule="auto" w:before="35"/>
        <w:ind w:left="154" w:right="43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、所有者权益变动表项目注释</w:t>
      </w:r>
      <w:r>
        <w:rPr>
          <w:rFonts w:ascii="宋体" w:hAnsi="宋体" w:cs="宋体" w:eastAsia="宋体" w:hint="default"/>
          <w:b/>
          <w:bCs/>
          <w:spacing w:val="1"/>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929,960.99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929,960.99</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Heading2"/>
        <w:spacing w:line="240" w:lineRule="auto"/>
        <w:ind w:right="133"/>
        <w:jc w:val="left"/>
        <w:rPr>
          <w:b w:val="0"/>
          <w:bCs w:val="0"/>
        </w:rPr>
      </w:pP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6"/>
        <w:ind w:left="154" w:right="40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13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2931"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 本年度公司新设子公司郑州新开普科技有限公司，将其纳入报表合并范围内。</w:t>
      </w:r>
    </w:p>
    <w:p>
      <w:pPr>
        <w:spacing w:line="240" w:lineRule="auto" w:before="13"/>
        <w:rPr>
          <w:rFonts w:ascii="宋体" w:hAnsi="宋体" w:cs="宋体" w:eastAsia="宋体" w:hint="default"/>
          <w:sz w:val="19"/>
          <w:szCs w:val="19"/>
        </w:rPr>
      </w:pPr>
    </w:p>
    <w:p>
      <w:pPr>
        <w:spacing w:line="487" w:lineRule="auto" w:before="0"/>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北京迪科远望科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智能一卡通系统 及产品的研发、 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智能一卡通系</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上海树维信息科 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统、数字校园化 系统、教务系统</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的研发、销售</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福建新开普信息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能源监管平台系 统研发、生产与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山西新开普信息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智能一卡通系统 及产品的销售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郑州新开普科技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网络技术、计算 机软硬件技术开 发、咨询服务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b/>
          <w:bCs/>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福建新开普信息科技有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557,095.16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18,871,443.54</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福建新</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开普信 息科技 有限公</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40,605,5</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18.33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25,559,0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20.64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66,164,5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38.97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27,021,0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47.05</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27,021,0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47.05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28,621,8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29.73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25,929,1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89.98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54,551,0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19.71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17,174,7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98.53</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17,174,7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98.53</w:t>
            </w: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福建新开普 信息科技有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36,601,697.2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1,767,270.74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1,767,270.74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2,535,051.70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31,908,579.8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1,601,397.00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1,601,397.00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-3,746,327.62</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690" w:lineRule="exact" w:before="17"/>
        <w:ind w:left="1002" w:right="144" w:hanging="849"/>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b/>
          <w:bCs/>
          <w:w w:val="99"/>
          <w:sz w:val="21"/>
          <w:szCs w:val="21"/>
        </w:rPr>
        <w:t> </w:t>
      </w:r>
      <w:r>
        <w:rPr>
          <w:rFonts w:ascii="宋体" w:hAnsi="宋体" w:cs="宋体" w:eastAsia="宋体" w:hint="default"/>
          <w:spacing w:val="-1"/>
          <w:sz w:val="21"/>
          <w:szCs w:val="21"/>
        </w:rPr>
        <w:t>经过公司第四届董事会第二次会议审议通过，公司以自有资金向控股子公司福建新开普提供不超</w:t>
      </w:r>
    </w:p>
    <w:p>
      <w:pPr>
        <w:pStyle w:val="BodyText"/>
        <w:spacing w:line="398" w:lineRule="auto" w:before="84"/>
        <w:ind w:left="578" w:right="149" w:hanging="1"/>
        <w:jc w:val="both"/>
      </w:pPr>
      <w:r>
        <w:rPr>
          <w:spacing w:val="-1"/>
        </w:rPr>
        <w:t>过金额</w:t>
      </w:r>
      <w:r>
        <w:rPr>
          <w:rFonts w:ascii="Times New Roman" w:hAnsi="Times New Roman" w:cs="Times New Roman" w:eastAsia="Times New Roman" w:hint="default"/>
          <w:spacing w:val="-1"/>
        </w:rPr>
        <w:t>500</w:t>
      </w:r>
      <w:r>
        <w:rPr>
          <w:spacing w:val="-1"/>
        </w:rPr>
        <w:t>万元的财务资助，用于补充福建新开普的运营资金，福建新开普可以在</w:t>
      </w:r>
      <w:r>
        <w:rPr>
          <w:rFonts w:ascii="Times New Roman" w:hAnsi="Times New Roman" w:cs="Times New Roman" w:eastAsia="Times New Roman" w:hint="default"/>
          <w:spacing w:val="-1"/>
        </w:rPr>
        <w:t>500</w:t>
      </w:r>
      <w:r>
        <w:rPr>
          <w:spacing w:val="-1"/>
        </w:rPr>
        <w:t>万元的额度内循</w:t>
      </w:r>
      <w:r>
        <w:rPr>
          <w:spacing w:val="-92"/>
        </w:rPr>
        <w:t> </w:t>
      </w:r>
      <w:r>
        <w:rPr>
          <w:spacing w:val="-92"/>
        </w:rPr>
      </w:r>
      <w:r>
        <w:rPr>
          <w:spacing w:val="-1"/>
        </w:rPr>
        <w:t>环使用。财务资助期限为双方首次协议签署之日起一年内，资金使用费按中国人民银行同期贷款利率</w:t>
      </w:r>
      <w:r>
        <w:rPr>
          <w:spacing w:val="-90"/>
        </w:rPr>
        <w:t> </w:t>
      </w:r>
      <w:r>
        <w:rPr>
          <w:spacing w:val="-90"/>
        </w:rPr>
      </w:r>
      <w:r>
        <w:rPr/>
        <w:t>上浮</w:t>
      </w:r>
      <w:r>
        <w:rPr>
          <w:rFonts w:ascii="Times New Roman" w:hAnsi="Times New Roman" w:cs="Times New Roman" w:eastAsia="Times New Roman" w:hint="default"/>
        </w:rPr>
        <w:t>10%</w:t>
      </w:r>
      <w:r>
        <w:rPr/>
        <w:t>结算。报告期内，公司向福建新开普提供财务资助及福建新开普还款明细如下：</w:t>
      </w:r>
    </w:p>
    <w:p>
      <w:pPr>
        <w:spacing w:line="240" w:lineRule="auto" w:before="12"/>
        <w:rPr>
          <w:rFonts w:ascii="宋体" w:hAnsi="宋体" w:cs="宋体" w:eastAsia="宋体" w:hint="default"/>
          <w:sz w:val="8"/>
          <w:szCs w:val="8"/>
        </w:rPr>
      </w:pPr>
    </w:p>
    <w:tbl>
      <w:tblPr>
        <w:tblW w:w="0" w:type="auto"/>
        <w:jc w:val="left"/>
        <w:tblInd w:w="1363" w:type="dxa"/>
        <w:tblLayout w:type="fixed"/>
        <w:tblCellMar>
          <w:top w:w="0" w:type="dxa"/>
          <w:left w:w="0" w:type="dxa"/>
          <w:bottom w:w="0" w:type="dxa"/>
          <w:right w:w="0" w:type="dxa"/>
        </w:tblCellMar>
        <w:tblLook w:val="01E0"/>
      </w:tblPr>
      <w:tblGrid>
        <w:gridCol w:w="2119"/>
        <w:gridCol w:w="1642"/>
        <w:gridCol w:w="1334"/>
        <w:gridCol w:w="2114"/>
      </w:tblGrid>
      <w:tr>
        <w:trPr>
          <w:trHeight w:val="342" w:hRule="exact"/>
        </w:trPr>
        <w:tc>
          <w:tcPr>
            <w:tcW w:w="2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93" w:right="0"/>
              <w:jc w:val="left"/>
              <w:rPr>
                <w:rFonts w:ascii="宋体" w:hAnsi="宋体" w:cs="宋体" w:eastAsia="宋体" w:hint="default"/>
                <w:sz w:val="18"/>
                <w:szCs w:val="18"/>
              </w:rPr>
            </w:pPr>
            <w:r>
              <w:rPr>
                <w:rFonts w:ascii="宋体" w:hAnsi="宋体" w:cs="宋体" w:eastAsia="宋体" w:hint="default"/>
                <w:sz w:val="18"/>
                <w:szCs w:val="18"/>
              </w:rPr>
              <w:t>借款日期</w:t>
            </w:r>
          </w:p>
        </w:tc>
        <w:tc>
          <w:tcPr>
            <w:tcW w:w="16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55"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01" w:right="0"/>
              <w:jc w:val="left"/>
              <w:rPr>
                <w:rFonts w:ascii="宋体" w:hAnsi="宋体" w:cs="宋体" w:eastAsia="宋体" w:hint="default"/>
                <w:sz w:val="18"/>
                <w:szCs w:val="18"/>
              </w:rPr>
            </w:pPr>
            <w:r>
              <w:rPr>
                <w:rFonts w:ascii="宋体" w:hAnsi="宋体" w:cs="宋体" w:eastAsia="宋体" w:hint="default"/>
                <w:sz w:val="18"/>
                <w:szCs w:val="18"/>
              </w:rPr>
              <w:t>还款日期</w:t>
            </w:r>
          </w:p>
        </w:tc>
        <w:tc>
          <w:tcPr>
            <w:tcW w:w="2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92" w:right="0"/>
              <w:jc w:val="left"/>
              <w:rPr>
                <w:rFonts w:ascii="宋体" w:hAnsi="宋体" w:cs="宋体" w:eastAsia="宋体" w:hint="default"/>
                <w:sz w:val="18"/>
                <w:szCs w:val="18"/>
              </w:rPr>
            </w:pPr>
            <w:r>
              <w:rPr>
                <w:rFonts w:ascii="宋体" w:hAnsi="宋体" w:cs="宋体" w:eastAsia="宋体" w:hint="default"/>
                <w:sz w:val="18"/>
                <w:szCs w:val="18"/>
              </w:rPr>
              <w:t>还款金额</w:t>
            </w:r>
          </w:p>
        </w:tc>
      </w:tr>
      <w:tr>
        <w:trPr>
          <w:trHeight w:val="342"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42"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11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教育领域大数据</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教育领域大数据</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北京希嘉创智教 育科技有限公司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产品开发及应 用、数据服务运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产品开发及应 用、数据服务运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24.00%</w:t>
            </w:r>
            <w:r>
              <w:rPr>
                <w:rFonts w:ascii="Times New Roman"/>
                <w:sz w:val="18"/>
              </w:rPr>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5"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w:t>
            </w: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嘉兴丹诚开普股</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权投资合伙企业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w w:val="95"/>
                <w:sz w:val="18"/>
              </w:rPr>
              <w:t>96.67%</w:t>
            </w:r>
            <w:r>
              <w:rPr>
                <w:rFonts w:ascii="Times New Roman"/>
                <w:sz w:val="18"/>
              </w:rPr>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3"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成都兰途网络科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销售、集成及服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销售、集成及服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133"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right="13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154" w:right="133" w:firstLine="0"/>
        <w:jc w:val="left"/>
        <w:rPr>
          <w:rFonts w:ascii="宋体" w:hAnsi="宋体" w:cs="宋体" w:eastAsia="宋体" w:hint="default"/>
          <w:sz w:val="18"/>
          <w:szCs w:val="18"/>
        </w:rPr>
      </w:pPr>
      <w:r>
        <w:rPr>
          <w:rFonts w:ascii="宋体" w:hAnsi="宋体" w:cs="宋体" w:eastAsia="宋体" w:hint="default"/>
          <w:sz w:val="18"/>
          <w:szCs w:val="18"/>
        </w:rPr>
        <w:t>①北京希嘉创智教育科技有限公司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47,940,830.70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20,571,307.72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15,508,231.74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41,363.03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63,449,062.44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20,612,670.75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19,298,696.94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9,096,717.20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19,298,696.94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9,096,717.20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44,150,365.50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11,515,953.55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10,596,087.72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2,303,190.71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25,501,489.34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13,016,910.47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39,940,968.15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12,525,548.68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10,352,411.95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-1,273,679.08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10,352,411.95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-1,273,679.08</w:t>
            </w:r>
          </w:p>
        </w:tc>
      </w:tr>
    </w:tbl>
    <w:p>
      <w:pPr>
        <w:spacing w:line="240" w:lineRule="auto" w:before="10"/>
        <w:rPr>
          <w:rFonts w:ascii="宋体" w:hAnsi="宋体" w:cs="宋体" w:eastAsia="宋体" w:hint="default"/>
          <w:sz w:val="15"/>
          <w:szCs w:val="15"/>
        </w:rPr>
      </w:pPr>
    </w:p>
    <w:p>
      <w:pPr>
        <w:spacing w:before="44"/>
        <w:ind w:left="154" w:right="133" w:firstLine="0"/>
        <w:jc w:val="left"/>
        <w:rPr>
          <w:rFonts w:ascii="宋体" w:hAnsi="宋体" w:cs="宋体" w:eastAsia="宋体" w:hint="default"/>
          <w:sz w:val="18"/>
          <w:szCs w:val="18"/>
        </w:rPr>
      </w:pPr>
      <w:r>
        <w:rPr>
          <w:rFonts w:ascii="宋体" w:hAnsi="宋体" w:cs="宋体" w:eastAsia="宋体" w:hint="default"/>
          <w:sz w:val="18"/>
          <w:szCs w:val="18"/>
        </w:rPr>
        <w:t>②成都兰途网络科技有限公司</w:t>
      </w:r>
    </w:p>
    <w:p>
      <w:pPr>
        <w:spacing w:before="7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3128"/>
        <w:gridCol w:w="3260"/>
        <w:gridCol w:w="3260"/>
      </w:tblGrid>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37"/>
              <w:ind w:left="88" w:right="0"/>
              <w:jc w:val="center"/>
              <w:rPr>
                <w:rFonts w:ascii="宋体" w:hAnsi="宋体" w:cs="宋体" w:eastAsia="宋体" w:hint="default"/>
                <w:sz w:val="18"/>
                <w:szCs w:val="18"/>
              </w:rPr>
            </w:pPr>
            <w:r>
              <w:rPr>
                <w:rFonts w:ascii="宋体"/>
                <w:sz w:val="18"/>
              </w:rPr>
              <w:t> </w:t>
            </w:r>
          </w:p>
        </w:tc>
        <w:tc>
          <w:tcPr>
            <w:tcW w:w="3260"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7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 </w:t>
            </w:r>
          </w:p>
        </w:tc>
        <w:tc>
          <w:tcPr>
            <w:tcW w:w="3260"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78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 </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流动资产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6,914,669.78</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7,547,091.15</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非流动资产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119,200.00</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120,000.00</w:t>
            </w:r>
          </w:p>
        </w:tc>
      </w:tr>
      <w:tr>
        <w:trPr>
          <w:trHeight w:val="390"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资产合计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7,033,869.78</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7,667,091.15</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流动负债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1,415,032.65</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z w:val="18"/>
              </w:rPr>
              <w:t>647,841.45</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非流动负债 </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负债合计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1,415,032.65</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z w:val="18"/>
              </w:rPr>
              <w:t>647,841.45</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少数股东权益 </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归属于母公司股东权益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5,618,837.13</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7,019,249.70</w:t>
            </w:r>
          </w:p>
        </w:tc>
      </w:tr>
      <w:tr>
        <w:trPr>
          <w:trHeight w:val="390"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1,966,593.00</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2,456,737.40</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调整事项 </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0"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3"/>
          <w:szCs w:val="23"/>
        </w:rPr>
      </w:pPr>
    </w:p>
    <w:tbl>
      <w:tblPr>
        <w:tblW w:w="0" w:type="auto"/>
        <w:jc w:val="left"/>
        <w:tblInd w:w="134" w:type="dxa"/>
        <w:tblLayout w:type="fixed"/>
        <w:tblCellMar>
          <w:top w:w="0" w:type="dxa"/>
          <w:left w:w="0" w:type="dxa"/>
          <w:bottom w:w="0" w:type="dxa"/>
          <w:right w:w="0" w:type="dxa"/>
        </w:tblCellMar>
        <w:tblLook w:val="01E0"/>
      </w:tblPr>
      <w:tblGrid>
        <w:gridCol w:w="3128"/>
        <w:gridCol w:w="3260"/>
        <w:gridCol w:w="3260"/>
      </w:tblGrid>
      <w:tr>
        <w:trPr>
          <w:trHeight w:val="380" w:hRule="exact"/>
        </w:trPr>
        <w:tc>
          <w:tcPr>
            <w:tcW w:w="3128" w:type="dxa"/>
            <w:tcBorders>
              <w:top w:val="nil" w:sz="6" w:space="0" w:color="auto"/>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 </w:t>
            </w:r>
          </w:p>
        </w:tc>
        <w:tc>
          <w:tcPr>
            <w:tcW w:w="32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7,986,518.92</w:t>
            </w:r>
          </w:p>
        </w:tc>
        <w:tc>
          <w:tcPr>
            <w:tcW w:w="32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8,476,663.32</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营业收入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7,886,813.37</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4,251,247.96</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净利润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-1,400,412.57</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-1,400,709.99</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终止经营的净利润 </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0"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其他综合收益 </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综合收益总额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-1,400,412.57</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-1,400,709.99</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6"/>
              <w:jc w:val="right"/>
              <w:rPr>
                <w:rFonts w:ascii="宋体" w:hAnsi="宋体" w:cs="宋体" w:eastAsia="宋体" w:hint="default"/>
                <w:sz w:val="18"/>
                <w:szCs w:val="18"/>
              </w:rPr>
            </w:pPr>
            <w:r>
              <w:rPr>
                <w:rFonts w:ascii="宋体"/>
                <w:sz w:val="18"/>
              </w:rPr>
              <w:t>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6"/>
              <w:jc w:val="right"/>
              <w:rPr>
                <w:rFonts w:ascii="宋体" w:hAnsi="宋体" w:cs="宋体" w:eastAsia="宋体" w:hint="default"/>
                <w:sz w:val="18"/>
                <w:szCs w:val="18"/>
              </w:rPr>
            </w:pPr>
            <w:r>
              <w:rPr>
                <w:rFonts w:ascii="宋体"/>
                <w:sz w:val="18"/>
              </w:rPr>
              <w:t> </w:t>
            </w:r>
          </w:p>
        </w:tc>
      </w:tr>
    </w:tbl>
    <w:p>
      <w:pPr>
        <w:spacing w:line="240" w:lineRule="auto" w:before="11"/>
        <w:rPr>
          <w:rFonts w:ascii="宋体" w:hAnsi="宋体" w:cs="宋体" w:eastAsia="宋体" w:hint="default"/>
          <w:sz w:val="15"/>
          <w:szCs w:val="15"/>
        </w:rPr>
      </w:pPr>
    </w:p>
    <w:p>
      <w:pPr>
        <w:spacing w:before="44"/>
        <w:ind w:left="154" w:right="133" w:firstLine="0"/>
        <w:jc w:val="left"/>
        <w:rPr>
          <w:rFonts w:ascii="宋体" w:hAnsi="宋体" w:cs="宋体" w:eastAsia="宋体" w:hint="default"/>
          <w:sz w:val="18"/>
          <w:szCs w:val="18"/>
        </w:rPr>
      </w:pPr>
      <w:r>
        <w:rPr/>
        <w:pict>
          <v:group style="position:absolute;margin-left:56.700001pt;margin-top:-166.748001pt;width:155.5pt;height:155.4pt;mso-position-horizontal-relative:page;mso-position-vertical-relative:paragraph;z-index:-1221280" coordorigin="1134,-3335" coordsize="3110,3108">
            <v:group style="position:absolute;left:1134;top:-3335;width:3110;height:371" coordorigin="1134,-3335" coordsize="3110,371">
              <v:shape style="position:absolute;left:1134;top:-3335;width:3110;height:371" coordorigin="1134,-3335" coordsize="3110,371" path="m1134,-2964l4243,-2964,4243,-3335,1134,-3335,1134,-2964xe" filled="true" fillcolor="#d3d3d3" stroked="false">
                <v:path arrowok="t"/>
                <v:fill type="solid"/>
              </v:shape>
            </v:group>
            <v:group style="position:absolute;left:1232;top:-3305;width:2913;height:312" coordorigin="1232,-3305" coordsize="2913,312">
              <v:shape style="position:absolute;left:1232;top:-3305;width:2913;height:312" coordorigin="1232,-3305" coordsize="2913,312" path="m1232,-2993l4145,-2993,4145,-3305,1232,-3305,1232,-2993xe" filled="true" fillcolor="#d3d3d3" stroked="false">
                <v:path arrowok="t"/>
                <v:fill type="solid"/>
              </v:shape>
            </v:group>
            <v:group style="position:absolute;left:1134;top:-2944;width:3110;height:371" coordorigin="1134,-2944" coordsize="3110,371">
              <v:shape style="position:absolute;left:1134;top:-2944;width:3110;height:371" coordorigin="1134,-2944" coordsize="3110,371" path="m1134,-2573l4243,-2573,4243,-2944,1134,-2944,1134,-2573xe" filled="true" fillcolor="#d3d3d3" stroked="false">
                <v:path arrowok="t"/>
                <v:fill type="solid"/>
              </v:shape>
            </v:group>
            <v:group style="position:absolute;left:1232;top:-2944;width:2913;height:312" coordorigin="1232,-2944" coordsize="2913,312">
              <v:shape style="position:absolute;left:1232;top:-2944;width:2913;height:312" coordorigin="1232,-2944" coordsize="2913,312" path="m1232,-2632l4145,-2632,4145,-2944,1232,-2944,1232,-2632xe" filled="true" fillcolor="#d3d3d3" stroked="false">
                <v:path arrowok="t"/>
                <v:fill type="solid"/>
              </v:shape>
            </v:group>
            <v:group style="position:absolute;left:1232;top:-2602;width:2913;height:2" coordorigin="1232,-2602" coordsize="2913,2">
              <v:shape style="position:absolute;left:1232;top:-2602;width:2913;height:2" coordorigin="1232,-2602" coordsize="2913,0" path="m1232,-2602l4145,-2602e" filled="false" stroked="true" strokeweight="2.9401pt" strokecolor="#d3d3d3">
                <v:path arrowok="t"/>
              </v:shape>
            </v:group>
            <v:group style="position:absolute;left:1134;top:-2553;width:3110;height:371" coordorigin="1134,-2553" coordsize="3110,371">
              <v:shape style="position:absolute;left:1134;top:-2553;width:3110;height:371" coordorigin="1134,-2553" coordsize="3110,371" path="m1134,-2182l4243,-2182,4243,-2553,1134,-2553,1134,-2182xe" filled="true" fillcolor="#d3d3d3" stroked="false">
                <v:path arrowok="t"/>
                <v:fill type="solid"/>
              </v:shape>
            </v:group>
            <v:group style="position:absolute;left:1232;top:-2524;width:2913;height:312" coordorigin="1232,-2524" coordsize="2913,312">
              <v:shape style="position:absolute;left:1232;top:-2524;width:2913;height:312" coordorigin="1232,-2524" coordsize="2913,312" path="m1232,-2212l4145,-2212,4145,-2524,1232,-2524,1232,-2212xe" filled="true" fillcolor="#d3d3d3" stroked="false">
                <v:path arrowok="t"/>
                <v:fill type="solid"/>
              </v:shape>
            </v:group>
            <v:group style="position:absolute;left:1134;top:-2161;width:3110;height:371" coordorigin="1134,-2161" coordsize="3110,371">
              <v:shape style="position:absolute;left:1134;top:-2161;width:3110;height:371" coordorigin="1134,-2161" coordsize="3110,371" path="m1134,-1791l4243,-1791,4243,-2161,1134,-2161,1134,-1791xe" filled="true" fillcolor="#d3d3d3" stroked="false">
                <v:path arrowok="t"/>
                <v:fill type="solid"/>
              </v:shape>
            </v:group>
            <v:group style="position:absolute;left:1232;top:-2133;width:2913;height:312" coordorigin="1232,-2133" coordsize="2913,312">
              <v:shape style="position:absolute;left:1232;top:-2133;width:2913;height:312" coordorigin="1232,-2133" coordsize="2913,312" path="m1232,-1821l4145,-1821,4145,-2133,1232,-2133,1232,-1821xe" filled="true" fillcolor="#d3d3d3" stroked="false">
                <v:path arrowok="t"/>
                <v:fill type="solid"/>
              </v:shape>
            </v:group>
            <v:group style="position:absolute;left:1134;top:-1771;width:3110;height:372" coordorigin="1134,-1771" coordsize="3110,372">
              <v:shape style="position:absolute;left:1134;top:-1771;width:3110;height:372" coordorigin="1134,-1771" coordsize="3110,372" path="m1134,-1399l4243,-1399,4243,-1771,1134,-1771,1134,-1399xe" filled="true" fillcolor="#d3d3d3" stroked="false">
                <v:path arrowok="t"/>
                <v:fill type="solid"/>
              </v:shape>
            </v:group>
            <v:group style="position:absolute;left:1232;top:-1741;width:2913;height:312" coordorigin="1232,-1741" coordsize="2913,312">
              <v:shape style="position:absolute;left:1232;top:-1741;width:2913;height:312" coordorigin="1232,-1741" coordsize="2913,312" path="m1232,-1429l4145,-1429,4145,-1741,1232,-1741,1232,-1429xe" filled="true" fillcolor="#d3d3d3" stroked="false">
                <v:path arrowok="t"/>
                <v:fill type="solid"/>
              </v:shape>
            </v:group>
            <v:group style="position:absolute;left:1134;top:-1380;width:3110;height:371" coordorigin="1134,-1380" coordsize="3110,371">
              <v:shape style="position:absolute;left:1134;top:-1380;width:3110;height:371" coordorigin="1134,-1380" coordsize="3110,371" path="m1134,-1009l4243,-1009,4243,-1380,1134,-1380,1134,-1009xe" filled="true" fillcolor="#d3d3d3" stroked="false">
                <v:path arrowok="t"/>
                <v:fill type="solid"/>
              </v:shape>
            </v:group>
            <v:group style="position:absolute;left:1232;top:-1350;width:2913;height:312" coordorigin="1232,-1350" coordsize="2913,312">
              <v:shape style="position:absolute;left:1232;top:-1350;width:2913;height:312" coordorigin="1232,-1350" coordsize="2913,312" path="m1232,-1038l4145,-1038,4145,-1350,1232,-1350,1232,-1038xe" filled="true" fillcolor="#d3d3d3" stroked="false">
                <v:path arrowok="t"/>
                <v:fill type="solid"/>
              </v:shape>
            </v:group>
            <v:group style="position:absolute;left:1134;top:-989;width:3110;height:371" coordorigin="1134,-989" coordsize="3110,371">
              <v:shape style="position:absolute;left:1134;top:-989;width:3110;height:371" coordorigin="1134,-989" coordsize="3110,371" path="m1134,-618l4243,-618,4243,-989,1134,-989,1134,-618xe" filled="true" fillcolor="#d3d3d3" stroked="false">
                <v:path arrowok="t"/>
                <v:fill type="solid"/>
              </v:shape>
            </v:group>
            <v:group style="position:absolute;left:1232;top:-959;width:2913;height:312" coordorigin="1232,-959" coordsize="2913,312">
              <v:shape style="position:absolute;left:1232;top:-959;width:2913;height:312" coordorigin="1232,-959" coordsize="2913,312" path="m1232,-647l4145,-647,4145,-959,1232,-959,1232,-647xe" filled="true" fillcolor="#d3d3d3" stroked="false">
                <v:path arrowok="t"/>
                <v:fill type="solid"/>
              </v:shape>
            </v:group>
            <v:group style="position:absolute;left:1134;top:-598;width:3110;height:371" coordorigin="1134,-598" coordsize="3110,371">
              <v:shape style="position:absolute;left:1134;top:-598;width:3110;height:371" coordorigin="1134,-598" coordsize="3110,371" path="m1134,-227l4243,-227,4243,-598,1134,-598,1134,-227xe" filled="true" fillcolor="#d3d3d3" stroked="false">
                <v:path arrowok="t"/>
                <v:fill type="solid"/>
              </v:shape>
            </v:group>
            <v:group style="position:absolute;left:1232;top:-569;width:2913;height:312" coordorigin="1232,-569" coordsize="2913,312">
              <v:shape style="position:absolute;left:1232;top:-569;width:2913;height:312" coordorigin="1232,-569" coordsize="2913,312" path="m1232,-257l4145,-257,4145,-569,1232,-569,1232,-257xe" filled="true" fillcolor="#d3d3d3" stroked="false">
                <v:path arrowok="t"/>
                <v:fill type="solid"/>
              </v:shape>
            </v:group>
            <w10:wrap type="none"/>
          </v:group>
        </w:pict>
      </w:r>
      <w:r>
        <w:rPr>
          <w:rFonts w:ascii="宋体" w:hAnsi="宋体" w:cs="宋体" w:eastAsia="宋体" w:hint="default"/>
          <w:sz w:val="18"/>
          <w:szCs w:val="18"/>
        </w:rPr>
        <w:t>③嘉兴丹诚开普股权投资合伙企业（有限合伙）</w:t>
      </w:r>
    </w:p>
    <w:p>
      <w:pPr>
        <w:spacing w:before="7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3128"/>
        <w:gridCol w:w="3260"/>
        <w:gridCol w:w="3260"/>
      </w:tblGrid>
      <w:tr>
        <w:trPr>
          <w:trHeight w:val="33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8"/>
              <w:ind w:left="88" w:right="0"/>
              <w:jc w:val="center"/>
              <w:rPr>
                <w:rFonts w:ascii="宋体" w:hAnsi="宋体" w:cs="宋体" w:eastAsia="宋体" w:hint="default"/>
                <w:sz w:val="18"/>
                <w:szCs w:val="18"/>
              </w:rPr>
            </w:pPr>
            <w:r>
              <w:rPr>
                <w:rFonts w:ascii="宋体"/>
                <w:sz w:val="18"/>
              </w:rPr>
              <w:t> </w:t>
            </w:r>
          </w:p>
        </w:tc>
        <w:tc>
          <w:tcPr>
            <w:tcW w:w="3260"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10"/>
              <w:ind w:left="7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 </w:t>
            </w:r>
          </w:p>
        </w:tc>
        <w:tc>
          <w:tcPr>
            <w:tcW w:w="3260"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10"/>
              <w:ind w:left="78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 </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流动资产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2,456,209.25</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2,752,294.51</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非流动资产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22,800,000.00</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32,242,768.20</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资产合计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25,256,209.25</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34,995,062.71</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流动负债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4,341,225.60</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z w:val="18"/>
              </w:rPr>
              <w:t>14,310.00</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非流动负债 </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0"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负债合计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4,341,225.60</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14,310.00</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少数股东权益 </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归属于母公司股东权益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20,914,983.65</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34,980,752.71</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20,218,514.69</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33,815,893.64</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调整事项 </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0"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23,539,245.77</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5,063,243.14</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营业收入 </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净利润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-3,144,248.86</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-4,245,480.59</w:t>
            </w:r>
          </w:p>
        </w:tc>
      </w:tr>
      <w:tr>
        <w:trPr>
          <w:trHeight w:val="390"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终止经营的净利润 </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其他综合收益 </w:t>
            </w:r>
          </w:p>
        </w:tc>
        <w:tc>
          <w:tcPr>
            <w:tcW w:w="3260"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综合收益总额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-3,144,248.86</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right"/>
              <w:rPr>
                <w:rFonts w:ascii="Times New Roman" w:hAnsi="Times New Roman" w:cs="Times New Roman" w:eastAsia="Times New Roman" w:hint="default"/>
                <w:sz w:val="18"/>
                <w:szCs w:val="18"/>
              </w:rPr>
            </w:pPr>
            <w:r>
              <w:rPr>
                <w:rFonts w:ascii="Times New Roman"/>
                <w:spacing w:val="-1"/>
                <w:sz w:val="18"/>
              </w:rPr>
              <w:t>-4,245,480.59</w:t>
            </w:r>
          </w:p>
        </w:tc>
      </w:tr>
      <w:tr>
        <w:trPr>
          <w:trHeight w:val="391" w:hRule="exact"/>
        </w:trPr>
        <w:tc>
          <w:tcPr>
            <w:tcW w:w="3128" w:type="dxa"/>
            <w:tcBorders>
              <w:top w:val="single" w:sz="8" w:space="0" w:color="000000"/>
              <w:left w:val="single" w:sz="8" w:space="0" w:color="000000"/>
              <w:bottom w:val="single" w:sz="8" w:space="0" w:color="000000"/>
              <w:right w:val="single" w:sz="8" w:space="0" w:color="000000"/>
            </w:tcBorders>
            <w:shd w:val="clear" w:color="auto" w:fill="D3D3D3"/>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6"/>
              <w:jc w:val="right"/>
              <w:rPr>
                <w:rFonts w:ascii="宋体" w:hAnsi="宋体" w:cs="宋体" w:eastAsia="宋体" w:hint="default"/>
                <w:sz w:val="18"/>
                <w:szCs w:val="18"/>
              </w:rPr>
            </w:pPr>
            <w:r>
              <w:rPr>
                <w:rFonts w:ascii="宋体"/>
                <w:sz w:val="18"/>
              </w:rPr>
              <w:t> </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6"/>
              <w:jc w:val="right"/>
              <w:rPr>
                <w:rFonts w:ascii="宋体" w:hAnsi="宋体" w:cs="宋体" w:eastAsia="宋体" w:hint="default"/>
                <w:sz w:val="18"/>
                <w:szCs w:val="18"/>
              </w:rPr>
            </w:pPr>
            <w:r>
              <w:rPr>
                <w:rFonts w:ascii="宋体"/>
                <w:sz w:val="18"/>
              </w:rPr>
              <w:t> </w:t>
            </w:r>
          </w:p>
        </w:tc>
      </w:tr>
    </w:tbl>
    <w:p>
      <w:pPr>
        <w:spacing w:line="240" w:lineRule="auto" w:before="4"/>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3,725,512.37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3,775,547.74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-50,035.37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-124,452.26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-50,035.37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-124,452.26</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33"/>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80" w:right="151" w:firstLine="423"/>
        <w:jc w:val="both"/>
      </w:pPr>
      <w:r>
        <w:rPr>
          <w:spacing w:val="-1"/>
        </w:rPr>
        <w:t>本公司在经营过程中面临各种金融风险：信用风险、市场风险和流动性风险。公司董事会全面负</w:t>
      </w:r>
      <w:r>
        <w:rPr/>
        <w:t> </w:t>
      </w:r>
      <w:r>
        <w:rPr>
          <w:spacing w:val="-1"/>
        </w:rPr>
        <w:t>责风险管理目标和政策的确定，并对风险管理目标和政策承担最终责任，但是董事会已授权本公司财</w:t>
      </w:r>
      <w:r>
        <w:rPr>
          <w:spacing w:val="-91"/>
        </w:rPr>
        <w:t> </w:t>
      </w:r>
      <w:r>
        <w:rPr>
          <w:spacing w:val="-91"/>
        </w:rPr>
      </w:r>
      <w:r>
        <w:rPr>
          <w:spacing w:val="-1"/>
        </w:rPr>
        <w:t>务部门设计和实施能确保风险管理目标和政策得以有效执行的程序。董事会通过财务部门主管递交的</w:t>
      </w:r>
      <w:r>
        <w:rPr>
          <w:spacing w:val="-89"/>
        </w:rPr>
        <w:t> </w:t>
      </w:r>
      <w:r>
        <w:rPr>
          <w:spacing w:val="-89"/>
        </w:rPr>
      </w:r>
      <w:r>
        <w:rPr>
          <w:spacing w:val="-1"/>
        </w:rPr>
        <w:t>月度报告来审查已执行程序的有效性以及风险管理目标和政策的合理性。本公司的内部审计师也会审</w:t>
      </w:r>
      <w:r>
        <w:rPr>
          <w:spacing w:val="-89"/>
        </w:rPr>
        <w:t> </w:t>
      </w:r>
      <w:r>
        <w:rPr>
          <w:spacing w:val="-89"/>
        </w:rPr>
      </w:r>
      <w:r>
        <w:rPr/>
        <w:t>计风险管理的政策和程序，并且将有关发现汇报给审计委员会。</w:t>
      </w:r>
    </w:p>
    <w:p>
      <w:pPr>
        <w:pStyle w:val="BodyText"/>
        <w:spacing w:line="408" w:lineRule="auto"/>
        <w:ind w:left="580" w:right="151" w:firstLine="423"/>
        <w:jc w:val="both"/>
      </w:pPr>
      <w:r>
        <w:rPr>
          <w:spacing w:val="-1"/>
        </w:rPr>
        <w:t>本公司风险管理的总体目标是在不过度影响公司竞争力和应变力的情况下，制定尽可能降低风险</w:t>
      </w:r>
      <w:r>
        <w:rPr/>
        <w:t> 的风险管理政策。</w:t>
      </w:r>
    </w:p>
    <w:p>
      <w:pPr>
        <w:pStyle w:val="Heading4"/>
        <w:spacing w:line="240" w:lineRule="auto" w:before="46"/>
        <w:ind w:left="451" w:right="8398"/>
        <w:jc w:val="center"/>
        <w:rPr>
          <w:b w:val="0"/>
          <w:bCs w:val="0"/>
        </w:rPr>
      </w:pPr>
      <w:r>
        <w:rPr/>
        <w:t>1.信用风险</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80" w:right="151" w:firstLine="423"/>
        <w:jc w:val="both"/>
      </w:pPr>
      <w:r>
        <w:rPr>
          <w:spacing w:val="-1"/>
        </w:rPr>
        <w:t>信用风险是指金融工具的一方不履行义务，造成另一方发生财务损失的风险。本公司主要面临赊</w:t>
      </w:r>
      <w:r>
        <w:rPr/>
        <w:t> </w:t>
      </w:r>
      <w:r>
        <w:rPr>
          <w:spacing w:val="-1"/>
        </w:rPr>
        <w:t>销导致的客户信用风险。在签订新合同之前，本公司会对新客户的信用风险进行评估，包括外部信用</w:t>
      </w:r>
      <w:r>
        <w:rPr>
          <w:spacing w:val="-91"/>
        </w:rPr>
        <w:t> </w:t>
      </w:r>
      <w:r>
        <w:rPr>
          <w:spacing w:val="-91"/>
        </w:rPr>
      </w:r>
      <w:r>
        <w:rPr>
          <w:spacing w:val="-1"/>
        </w:rPr>
        <w:t>评级和在某些情况下的银行资信证明（当此信息可获取时）。公司对每一客户均设置了赊销限额，该</w:t>
      </w:r>
      <w:r>
        <w:rPr>
          <w:spacing w:val="-93"/>
        </w:rPr>
        <w:t> </w:t>
      </w:r>
      <w:r>
        <w:rPr>
          <w:spacing w:val="-93"/>
        </w:rPr>
      </w:r>
      <w:r>
        <w:rPr/>
        <w:t>限额为无需获得额外批准的最大额度。</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93" w:lineRule="auto" w:before="35"/>
        <w:ind w:left="580" w:right="281" w:firstLine="423"/>
        <w:jc w:val="left"/>
      </w:pPr>
      <w:r>
        <w:rPr/>
        <w:t>公司通过对已有客户信用评级的季度监控以及应收账款账龄分析的月度审核来确保公司的整体 信用风险在可控的范围内。在监控客户的信用风险时，按照客户的信用特征对其分组。被评为</w:t>
      </w:r>
      <w:r>
        <w:rPr>
          <w:rFonts w:ascii="Times New Roman" w:hAnsi="Times New Roman" w:cs="Times New Roman" w:eastAsia="Times New Roman" w:hint="default"/>
        </w:rPr>
        <w:t>“</w:t>
      </w:r>
      <w:r>
        <w:rPr/>
        <w:t>高风 险</w:t>
      </w:r>
      <w:r>
        <w:rPr>
          <w:rFonts w:ascii="Times New Roman" w:hAnsi="Times New Roman" w:cs="Times New Roman" w:eastAsia="Times New Roman" w:hint="default"/>
        </w:rPr>
        <w:t>”</w:t>
      </w:r>
      <w:r>
        <w:rPr/>
        <w:t>级别的客户会放在受限制客户名单里，并且只有在额外批准的前提下，公司才可在未来期间内对 其赊销，否则必须要求其提前支付相应款项。</w:t>
      </w:r>
    </w:p>
    <w:p>
      <w:pPr>
        <w:pStyle w:val="Heading4"/>
        <w:spacing w:line="240" w:lineRule="auto" w:before="59"/>
        <w:ind w:left="576" w:right="0"/>
        <w:jc w:val="both"/>
        <w:rPr>
          <w:b w:val="0"/>
          <w:bCs w:val="0"/>
        </w:rPr>
      </w:pPr>
      <w:r>
        <w:rPr/>
        <w:t>2.市场风险</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80" w:right="203" w:firstLine="423"/>
        <w:jc w:val="left"/>
      </w:pPr>
      <w:r>
        <w:rPr>
          <w:spacing w:val="-1"/>
        </w:rPr>
        <w:t>金融工具的市场风险，是指金融工具的公允价值或未来现金流量因市场价格变动而发生波动的风</w:t>
      </w:r>
      <w:r>
        <w:rPr/>
        <w:t> 险，包括汇率风险、利率风险和其他价格风险。</w:t>
      </w:r>
    </w:p>
    <w:p>
      <w:pPr>
        <w:pStyle w:val="BodyText"/>
        <w:spacing w:line="386" w:lineRule="auto"/>
        <w:ind w:left="1003" w:right="371" w:hanging="1"/>
        <w:jc w:val="left"/>
      </w:pPr>
      <w:r>
        <w:rPr/>
        <w:t>（</w:t>
      </w:r>
      <w:r>
        <w:rPr>
          <w:rFonts w:ascii="Times New Roman" w:hAnsi="Times New Roman" w:cs="Times New Roman" w:eastAsia="Times New Roman" w:hint="default"/>
        </w:rPr>
        <w:t>1</w:t>
      </w:r>
      <w:r>
        <w:rPr/>
        <w:t>）利率风险 利率风险，是指金融工具的公允价值或未来现金流量因市场利率变动而发生波动的风险。截至</w:t>
      </w:r>
    </w:p>
    <w:p>
      <w:pPr>
        <w:pStyle w:val="BodyText"/>
        <w:spacing w:line="240" w:lineRule="auto" w:before="65"/>
        <w:ind w:left="580" w:right="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日，本公司不存在利率风险。</w:t>
      </w:r>
    </w:p>
    <w:p>
      <w:pPr>
        <w:pStyle w:val="BodyText"/>
        <w:spacing w:line="386" w:lineRule="auto" w:before="177"/>
        <w:ind w:left="1003" w:right="203" w:hanging="1"/>
        <w:jc w:val="left"/>
      </w:pPr>
      <w:r>
        <w:rPr/>
        <w:t>（</w:t>
      </w:r>
      <w:r>
        <w:rPr>
          <w:rFonts w:ascii="Times New Roman" w:hAnsi="Times New Roman" w:cs="Times New Roman" w:eastAsia="Times New Roman" w:hint="default"/>
        </w:rPr>
        <w:t>2</w:t>
      </w:r>
      <w:r>
        <w:rPr/>
        <w:t>）外汇风险 </w:t>
      </w:r>
      <w:r>
        <w:rPr>
          <w:spacing w:val="-1"/>
        </w:rPr>
        <w:t>外汇风险，是指金融工具的公允价值或未来现金流量因外汇汇率变动而发生波动的风险。本公司</w:t>
      </w:r>
    </w:p>
    <w:p>
      <w:pPr>
        <w:pStyle w:val="BodyText"/>
        <w:spacing w:line="398" w:lineRule="auto" w:before="65"/>
        <w:ind w:left="580" w:right="211"/>
        <w:jc w:val="both"/>
      </w:pPr>
      <w:r>
        <w:rPr>
          <w:spacing w:val="-1"/>
        </w:rPr>
        <w:t>尽可能将外币收入与外币支出相匹配以降低外汇风险。此外，公司还可能签署远期外汇合约或货币互</w:t>
      </w:r>
      <w:r>
        <w:rPr>
          <w:spacing w:val="-91"/>
        </w:rPr>
        <w:t> </w:t>
      </w:r>
      <w:r>
        <w:rPr>
          <w:spacing w:val="-91"/>
        </w:rPr>
      </w:r>
      <w:r>
        <w:rPr>
          <w:spacing w:val="-1"/>
        </w:rPr>
        <w:t>换合约以达到规避外汇风险的目的。截至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日，本公司未签署任何远期外汇合约或货币互</w:t>
      </w:r>
      <w:r>
        <w:rPr>
          <w:spacing w:val="-93"/>
        </w:rPr>
        <w:t> </w:t>
      </w:r>
      <w:r>
        <w:rPr>
          <w:spacing w:val="-93"/>
        </w:rPr>
      </w:r>
      <w:r>
        <w:rPr/>
        <w:t>换合约。</w:t>
      </w:r>
    </w:p>
    <w:p>
      <w:pPr>
        <w:pStyle w:val="BodyText"/>
        <w:spacing w:line="386" w:lineRule="auto" w:before="54"/>
        <w:ind w:left="1003" w:right="2681" w:hanging="1"/>
        <w:jc w:val="left"/>
      </w:pPr>
      <w:r>
        <w:rPr/>
        <w:t>（</w:t>
      </w:r>
      <w:r>
        <w:rPr>
          <w:rFonts w:ascii="Times New Roman" w:hAnsi="Times New Roman" w:cs="Times New Roman" w:eastAsia="Times New Roman" w:hint="default"/>
        </w:rPr>
        <w:t>3</w:t>
      </w:r>
      <w:r>
        <w:rPr/>
        <w:t>）其他价格风险 本公司未持有其他上市公司的权益投资，因而不存在其他价格风险。</w:t>
      </w:r>
    </w:p>
    <w:p>
      <w:pPr>
        <w:pStyle w:val="Heading4"/>
        <w:spacing w:line="240" w:lineRule="auto" w:before="65"/>
        <w:ind w:left="576" w:right="0"/>
        <w:jc w:val="both"/>
        <w:rPr>
          <w:b w:val="0"/>
          <w:bCs w:val="0"/>
        </w:rPr>
      </w:pPr>
      <w:r>
        <w:rPr/>
        <w:t>3.流动性风险</w:t>
      </w:r>
      <w:r>
        <w:rPr>
          <w:b w:val="0"/>
          <w:bCs w:val="0"/>
        </w:rPr>
      </w:r>
    </w:p>
    <w:p>
      <w:pPr>
        <w:spacing w:line="240" w:lineRule="auto" w:before="10"/>
        <w:rPr>
          <w:rFonts w:ascii="宋体" w:hAnsi="宋体" w:cs="宋体" w:eastAsia="宋体" w:hint="default"/>
          <w:b/>
          <w:bCs/>
          <w:sz w:val="14"/>
          <w:szCs w:val="14"/>
        </w:rPr>
      </w:pPr>
    </w:p>
    <w:p>
      <w:pPr>
        <w:pStyle w:val="BodyText"/>
        <w:spacing w:line="400" w:lineRule="auto" w:before="0"/>
        <w:ind w:left="580" w:right="89" w:firstLine="424"/>
        <w:jc w:val="left"/>
      </w:pPr>
      <w:r>
        <w:rPr/>
        <w:t>流动性风险，是指企业在履行以交付现金或其他金融资产的方式结算的义务时发生资金短缺的风 </w:t>
      </w:r>
      <w:r>
        <w:rPr>
          <w:spacing w:val="-3"/>
        </w:rPr>
        <w:t>险。本公司的政策是确保拥有充足的现金以偿还到期债务。流动性风险由本公司的财务部门集中控制。</w:t>
      </w:r>
      <w:r>
        <w:rPr>
          <w:spacing w:val="-102"/>
        </w:rPr>
        <w:t> </w:t>
      </w:r>
      <w:r>
        <w:rPr>
          <w:spacing w:val="-102"/>
        </w:rPr>
      </w:r>
      <w:r>
        <w:rPr/>
        <w:t>财务部门通过监控现金余额、可随时变现的有价证券以及对未来</w:t>
      </w:r>
      <w:r>
        <w:rPr>
          <w:rFonts w:ascii="Times New Roman" w:hAnsi="Times New Roman" w:cs="Times New Roman" w:eastAsia="Times New Roman" w:hint="default"/>
        </w:rPr>
        <w:t>12</w:t>
      </w:r>
      <w:r>
        <w:rPr/>
        <w:t>个月现金流量的滚动预测，确保公 司在所有合理预测的情况下拥有充足的资金偿还债务。</w:t>
      </w:r>
    </w:p>
    <w:p>
      <w:pPr>
        <w:spacing w:after="0" w:line="400" w:lineRule="auto"/>
        <w:jc w:val="left"/>
        <w:sectPr>
          <w:pgSz w:w="11910" w:h="16840"/>
          <w:pgMar w:header="877" w:footer="982" w:top="1100" w:bottom="1180" w:left="980" w:right="920"/>
        </w:sectPr>
      </w:pPr>
    </w:p>
    <w:p>
      <w:pPr>
        <w:spacing w:line="240" w:lineRule="auto" w:before="9"/>
        <w:rPr>
          <w:rFonts w:ascii="宋体" w:hAnsi="宋体" w:cs="宋体" w:eastAsia="宋体" w:hint="default"/>
          <w:sz w:val="19"/>
          <w:szCs w:val="19"/>
        </w:rPr>
      </w:pPr>
    </w:p>
    <w:p>
      <w:pPr>
        <w:pStyle w:val="Heading2"/>
        <w:spacing w:line="240" w:lineRule="auto" w:before="26"/>
        <w:ind w:right="133"/>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360" w:lineRule="auto" w:before="108"/>
        <w:ind w:left="153" w:right="7611"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 其他说明：</w:t>
      </w:r>
    </w:p>
    <w:p>
      <w:pPr>
        <w:pStyle w:val="BodyText"/>
        <w:spacing w:line="386" w:lineRule="auto" w:before="77"/>
        <w:ind w:right="133" w:firstLine="423"/>
        <w:jc w:val="left"/>
      </w:pP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日，杨维国持有（包括直接和间接持有）公司</w:t>
      </w:r>
      <w:r>
        <w:rPr>
          <w:rFonts w:ascii="Times New Roman" w:hAnsi="Times New Roman" w:cs="Times New Roman" w:eastAsia="Times New Roman" w:hint="default"/>
          <w:spacing w:val="-2"/>
        </w:rPr>
        <w:t>20.29%</w:t>
      </w:r>
      <w:r>
        <w:rPr>
          <w:spacing w:val="-2"/>
        </w:rPr>
        <w:t>的股权，为公司控股股东、实</w:t>
      </w:r>
      <w:r>
        <w:rPr/>
        <w:t> 际控制人。其担任本公司董事长兼总经理。</w:t>
      </w:r>
    </w:p>
    <w:p>
      <w:pPr>
        <w:spacing w:line="240" w:lineRule="auto" w:before="0"/>
        <w:rPr>
          <w:rFonts w:ascii="宋体" w:hAnsi="宋体" w:cs="宋体" w:eastAsia="宋体" w:hint="default"/>
          <w:sz w:val="22"/>
          <w:szCs w:val="22"/>
        </w:rPr>
      </w:pPr>
    </w:p>
    <w:p>
      <w:pPr>
        <w:pStyle w:val="Heading4"/>
        <w:spacing w:line="240" w:lineRule="auto"/>
        <w:ind w:right="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w:t>
      </w:r>
    </w:p>
    <w:p>
      <w:pPr>
        <w:spacing w:line="240" w:lineRule="auto" w:before="10"/>
        <w:rPr>
          <w:rFonts w:ascii="宋体" w:hAnsi="宋体" w:cs="宋体" w:eastAsia="宋体" w:hint="default"/>
          <w:sz w:val="26"/>
          <w:szCs w:val="26"/>
        </w:rPr>
      </w:pPr>
    </w:p>
    <w:p>
      <w:pPr>
        <w:pStyle w:val="Heading4"/>
        <w:spacing w:line="240" w:lineRule="auto"/>
        <w:ind w:right="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1311"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p>
      <w:pPr>
        <w:spacing w:line="240" w:lineRule="auto" w:before="7"/>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凯里智慧城市通卡管理有限公司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参股企业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上海微令信息科技有限公司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参股企业</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成都兰途网络科技有限公司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参股企业</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北京乐智科技有限公司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嘉兴丹诚开普股权投资合伙企业（有限合伙）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河南华夏海纳创业投资集团有限公司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北京希嘉创智教育科技有限公司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北京新洞察信息服务有限责任公司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参股企业</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马冬丽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实际控制人配偶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漫时尚品（北京）电子商务有限公司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实际控制人担任董事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郑州佳辰企业管理咨询中心（有限合伙）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实际控制人及其一致行动人设立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河南瑞弘企业管理咨询中心（有限合伙）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董事会秘书、副总经理华梦阳担任普通合伙人</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河南佳弘信诚企业管理咨询中心（有限合伙）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董事、副总经理尚卫国担任普通合伙人</w:t>
            </w:r>
          </w:p>
        </w:tc>
      </w:tr>
    </w:tbl>
    <w:p>
      <w:pPr>
        <w:spacing w:line="240" w:lineRule="auto" w:before="2"/>
        <w:rPr>
          <w:rFonts w:ascii="宋体" w:hAnsi="宋体" w:cs="宋体" w:eastAsia="宋体" w:hint="default"/>
          <w:b/>
          <w:bCs/>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133"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上海微令信息科技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与日常经营相关 的关联交易</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155,145.63</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北京乐智科技有限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与日常经营相关 的关联交易</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21,645.63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成都兰途网络科技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与日常经营相关 的关联交易</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863,418.80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387,179.48</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凯里智慧城市通卡管理有限公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与日常经营相关的关联交易</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124,435.91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成都兰途网络科技有限公司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center"/>
              <w:rPr>
                <w:rFonts w:ascii="宋体" w:hAnsi="宋体" w:cs="宋体" w:eastAsia="宋体" w:hint="default"/>
                <w:sz w:val="18"/>
                <w:szCs w:val="18"/>
              </w:rPr>
            </w:pPr>
            <w:r>
              <w:rPr>
                <w:rFonts w:ascii="宋体" w:hAnsi="宋体" w:cs="宋体" w:eastAsia="宋体" w:hint="default"/>
                <w:sz w:val="18"/>
                <w:szCs w:val="18"/>
              </w:rPr>
              <w:t>与日常经营相关的关联交易</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41,452.99</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北京希嘉创智教育科技有限公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与日常经营相关的关联交易</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2,494,276.95</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38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 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6"/>
        <w:rPr>
          <w:rFonts w:ascii="宋体" w:hAnsi="宋体" w:cs="宋体" w:eastAsia="宋体" w:hint="default"/>
          <w:sz w:val="19"/>
          <w:szCs w:val="19"/>
        </w:rPr>
      </w:pPr>
    </w:p>
    <w:p>
      <w:pPr>
        <w:pStyle w:val="Heading4"/>
        <w:spacing w:line="240" w:lineRule="auto"/>
        <w:ind w:right="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本公司作为担保方 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775" w:space="70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杨维国</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2"/>
        <w:rPr>
          <w:rFonts w:ascii="宋体" w:hAnsi="宋体" w:cs="宋体" w:eastAsia="宋体" w:hint="default"/>
          <w:sz w:val="12"/>
          <w:szCs w:val="12"/>
        </w:rPr>
      </w:pPr>
    </w:p>
    <w:p>
      <w:pPr>
        <w:pStyle w:val="BodyText"/>
        <w:spacing w:line="240" w:lineRule="auto" w:before="0"/>
        <w:ind w:left="580" w:right="133"/>
        <w:jc w:val="left"/>
      </w:pPr>
      <w:r>
        <w:rPr/>
        <w:t>关联担保情况说明：详见七（十八）短期借款。</w:t>
      </w:r>
    </w:p>
    <w:p>
      <w:pPr>
        <w:spacing w:line="240" w:lineRule="auto" w:before="0"/>
        <w:rPr>
          <w:rFonts w:ascii="宋体" w:hAnsi="宋体" w:cs="宋体" w:eastAsia="宋体" w:hint="default"/>
          <w:sz w:val="20"/>
          <w:szCs w:val="20"/>
        </w:rPr>
      </w:pPr>
    </w:p>
    <w:p>
      <w:pPr>
        <w:pStyle w:val="Heading4"/>
        <w:spacing w:line="240" w:lineRule="auto" w:before="154"/>
        <w:ind w:left="153" w:right="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3,146,724.56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2,940,407.87</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成都兰途网络科技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2" w:right="0"/>
              <w:jc w:val="left"/>
              <w:rPr>
                <w:rFonts w:ascii="Times New Roman" w:hAnsi="Times New Roman" w:cs="Times New Roman" w:eastAsia="Times New Roman" w:hint="default"/>
                <w:sz w:val="18"/>
                <w:szCs w:val="18"/>
              </w:rPr>
            </w:pPr>
            <w:r>
              <w:rPr>
                <w:rFonts w:ascii="Times New Roman"/>
                <w:sz w:val="18"/>
              </w:rPr>
              <w:t>4,850.00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北京希嘉创智教育 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2,918,304.00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145,915.20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北京乐智科技有限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50,551.46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50,551.46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成都兰途网络科技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45,120.70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45,120.70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2"/>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成都兰途网络科技有限公司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740,567.61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361,538.46</w:t>
            </w:r>
          </w:p>
        </w:tc>
      </w:tr>
    </w:tbl>
    <w:p>
      <w:pPr>
        <w:spacing w:line="240" w:lineRule="auto" w:before="2"/>
        <w:rPr>
          <w:rFonts w:ascii="宋体" w:hAnsi="宋体" w:cs="宋体" w:eastAsia="宋体" w:hint="default"/>
          <w:sz w:val="19"/>
          <w:szCs w:val="19"/>
        </w:rPr>
      </w:pPr>
    </w:p>
    <w:p>
      <w:pPr>
        <w:pStyle w:val="Heading4"/>
        <w:spacing w:line="240" w:lineRule="auto" w:before="35"/>
        <w:ind w:right="102"/>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8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2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46,509,468.20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1,382,966.00</w:t>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577" w:right="102"/>
        <w:jc w:val="left"/>
      </w:pPr>
      <w:r>
        <w:rPr/>
        <w:t>公司期末其他权益工具行权价格的范围和合同剩余期限：公司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日授予限制性股票数量为</w:t>
      </w:r>
    </w:p>
    <w:p>
      <w:pPr>
        <w:pStyle w:val="BodyText"/>
        <w:spacing w:line="240" w:lineRule="auto" w:before="177"/>
        <w:ind w:left="153" w:right="102"/>
        <w:jc w:val="left"/>
      </w:pPr>
      <w:r>
        <w:rPr>
          <w:rFonts w:ascii="Times New Roman" w:hAnsi="Times New Roman" w:cs="Times New Roman" w:eastAsia="Times New Roman" w:hint="default"/>
        </w:rPr>
        <w:t>952.94</w:t>
      </w:r>
      <w:r>
        <w:rPr/>
        <w:t>万股，向</w:t>
      </w:r>
      <w:r>
        <w:rPr>
          <w:rFonts w:ascii="Times New Roman" w:hAnsi="Times New Roman" w:cs="Times New Roman" w:eastAsia="Times New Roman" w:hint="default"/>
        </w:rPr>
        <w:t>463</w:t>
      </w:r>
      <w:r>
        <w:rPr/>
        <w:t>名激励对象进行授予，授予价格为</w:t>
      </w:r>
      <w:r>
        <w:rPr>
          <w:rFonts w:ascii="Times New Roman" w:hAnsi="Times New Roman" w:cs="Times New Roman" w:eastAsia="Times New Roman" w:hint="default"/>
        </w:rPr>
        <w:t>12.37</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月完成登记后的</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24</w:t>
      </w:r>
      <w:r>
        <w:rPr/>
        <w:t>个月、</w:t>
      </w:r>
    </w:p>
    <w:p>
      <w:pPr>
        <w:pStyle w:val="BodyText"/>
        <w:spacing w:line="240" w:lineRule="auto" w:before="177"/>
        <w:ind w:left="153" w:right="102"/>
        <w:jc w:val="left"/>
      </w:pPr>
      <w:r>
        <w:rPr>
          <w:rFonts w:ascii="Times New Roman" w:hAnsi="Times New Roman" w:cs="Times New Roman" w:eastAsia="Times New Roman" w:hint="default"/>
        </w:rPr>
        <w:t>36</w:t>
      </w:r>
      <w:r>
        <w:rPr/>
        <w:t>个月后分三次解除限售。每次解除限售的限制性股票比例为授予总量的</w:t>
      </w:r>
      <w:r>
        <w:rPr>
          <w:rFonts w:ascii="Times New Roman" w:hAnsi="Times New Roman" w:cs="Times New Roman" w:eastAsia="Times New Roman" w:hint="default"/>
        </w:rPr>
        <w:t>40%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p>
    <w:p>
      <w:pPr>
        <w:spacing w:line="240" w:lineRule="auto" w:before="8"/>
        <w:rPr>
          <w:rFonts w:ascii="宋体" w:hAnsi="宋体" w:cs="宋体" w:eastAsia="宋体" w:hint="default"/>
          <w:sz w:val="30"/>
          <w:szCs w:val="30"/>
        </w:rPr>
      </w:pPr>
    </w:p>
    <w:p>
      <w:pPr>
        <w:pStyle w:val="Heading4"/>
        <w:spacing w:line="240" w:lineRule="auto"/>
        <w:ind w:left="153" w:right="102"/>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2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模型</w:t>
            </w:r>
          </w:p>
        </w:tc>
      </w:tr>
      <w:tr>
        <w:trPr>
          <w:trHeight w:val="674"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9"/>
              <w:jc w:val="left"/>
              <w:rPr>
                <w:rFonts w:ascii="宋体" w:hAnsi="宋体" w:cs="宋体" w:eastAsia="宋体" w:hint="default"/>
                <w:sz w:val="18"/>
                <w:szCs w:val="18"/>
              </w:rPr>
            </w:pPr>
            <w:r>
              <w:rPr>
                <w:rFonts w:ascii="宋体" w:hAnsi="宋体" w:cs="宋体" w:eastAsia="宋体" w:hint="default"/>
                <w:sz w:val="18"/>
                <w:szCs w:val="18"/>
              </w:rPr>
              <w:t>在等待期内的每个资产负债表日，根据最新取得的可行权 职工人数变动等后续信息做出最佳估计，修正预计可行权</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4983"/>
        <w:gridCol w:w="4585"/>
      </w:tblGrid>
      <w:tr>
        <w:trPr>
          <w:trHeight w:val="36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的权益工具数量；</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20,013,747.25</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14,326,572.60</w:t>
            </w:r>
          </w:p>
        </w:tc>
      </w:tr>
    </w:tbl>
    <w:p>
      <w:pPr>
        <w:spacing w:before="51"/>
        <w:ind w:left="2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214"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214" w:right="70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spacing w:line="487" w:lineRule="auto" w:before="123"/>
        <w:ind w:left="214" w:right="74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21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89"/>
        <w:ind w:left="214" w:right="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8"/>
        <w:rPr>
          <w:rFonts w:ascii="宋体" w:hAnsi="宋体" w:cs="宋体" w:eastAsia="宋体" w:hint="default"/>
          <w:sz w:val="24"/>
          <w:szCs w:val="24"/>
        </w:rPr>
      </w:pPr>
    </w:p>
    <w:p>
      <w:pPr>
        <w:pStyle w:val="Heading4"/>
        <w:spacing w:line="240" w:lineRule="auto"/>
        <w:ind w:left="213"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13"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13"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214" w:right="69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4"/>
        <w:spacing w:line="240" w:lineRule="auto" w:before="84"/>
        <w:ind w:left="214"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927"/>
        <w:gridCol w:w="4927"/>
      </w:tblGrid>
      <w:tr>
        <w:trPr>
          <w:trHeight w:val="402" w:hRule="exact"/>
        </w:trPr>
        <w:tc>
          <w:tcPr>
            <w:tcW w:w="4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19,468,530.06</w:t>
            </w:r>
          </w:p>
        </w:tc>
      </w:tr>
      <w:tr>
        <w:trPr>
          <w:trHeight w:val="402" w:hRule="exact"/>
        </w:trPr>
        <w:tc>
          <w:tcPr>
            <w:tcW w:w="4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19,468,530.06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20" w:right="900"/>
        </w:sectPr>
      </w:pPr>
    </w:p>
    <w:p>
      <w:pPr>
        <w:spacing w:line="240" w:lineRule="auto" w:before="9"/>
        <w:rPr>
          <w:rFonts w:ascii="宋体" w:hAnsi="宋体" w:cs="宋体" w:eastAsia="宋体" w:hint="default"/>
          <w:sz w:val="26"/>
          <w:szCs w:val="26"/>
        </w:rPr>
      </w:pPr>
    </w:p>
    <w:p>
      <w:pPr>
        <w:pStyle w:val="BodyText"/>
        <w:spacing w:line="400" w:lineRule="auto" w:before="35"/>
        <w:ind w:right="102" w:firstLine="423"/>
        <w:jc w:val="left"/>
      </w:pPr>
      <w:r>
        <w:rPr/>
        <w:t>考虑到公司业务持续发展，且经营现金流同步增长，在符合利润分配原则、保证公司正常经营和长远 发展的前提下，为了更好的兼顾股东的即期利益和长远利益，使公司的价值能够更加公允、客观的体现，</w:t>
      </w:r>
      <w:r>
        <w:rPr>
          <w:spacing w:val="-34"/>
        </w:rPr>
        <w:t> </w:t>
      </w:r>
      <w:r>
        <w:rPr>
          <w:spacing w:val="-34"/>
        </w:rPr>
      </w:r>
      <w:r>
        <w:rPr/>
        <w:t>从长远角度回报投资者，使全体股东分享公司成长的经营成果，</w:t>
      </w: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t>年度公司利润分配预案如下：以截止 </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 </w:t>
      </w:r>
      <w:r>
        <w:rPr>
          <w:spacing w:val="-1"/>
        </w:rPr>
        <w:t>日公司总股本</w:t>
      </w:r>
      <w:r>
        <w:rPr>
          <w:spacing w:val="-51"/>
        </w:rPr>
        <w:t> </w:t>
      </w:r>
      <w:r>
        <w:rPr>
          <w:rFonts w:ascii="Times New Roman" w:hAnsi="Times New Roman" w:cs="Times New Roman" w:eastAsia="Times New Roman" w:hint="default"/>
          <w:spacing w:val="-1"/>
        </w:rPr>
        <w:t>324,475,501</w:t>
      </w:r>
      <w:r>
        <w:rPr>
          <w:rFonts w:ascii="Times New Roman" w:hAnsi="Times New Roman" w:cs="Times New Roman" w:eastAsia="Times New Roman" w:hint="default"/>
          <w:spacing w:val="2"/>
        </w:rPr>
        <w:t> </w:t>
      </w:r>
      <w:r>
        <w:rPr>
          <w:spacing w:val="-6"/>
        </w:rPr>
        <w:t>股为基数，向全体股东每</w:t>
      </w:r>
      <w:r>
        <w:rPr>
          <w:spacing w:val="-51"/>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 </w:t>
      </w:r>
      <w:r>
        <w:rPr>
          <w:spacing w:val="-1"/>
        </w:rPr>
        <w:t>股派发现金</w:t>
      </w:r>
      <w:r>
        <w:rPr>
          <w:spacing w:val="-51"/>
        </w:rPr>
        <w:t> </w:t>
      </w:r>
      <w:r>
        <w:rPr>
          <w:rFonts w:ascii="Times New Roman" w:hAnsi="Times New Roman" w:cs="Times New Roman" w:eastAsia="Times New Roman" w:hint="default"/>
          <w:spacing w:val="-1"/>
        </w:rPr>
        <w:t>0.6</w:t>
      </w:r>
      <w:r>
        <w:rPr>
          <w:rFonts w:ascii="Times New Roman" w:hAnsi="Times New Roman" w:cs="Times New Roman" w:eastAsia="Times New Roman" w:hint="default"/>
          <w:spacing w:val="1"/>
        </w:rPr>
        <w:t> </w:t>
      </w:r>
      <w:r>
        <w:rPr>
          <w:spacing w:val="-19"/>
        </w:rPr>
        <w:t>元人民币（含税），</w:t>
      </w:r>
    </w:p>
    <w:p>
      <w:pPr>
        <w:pStyle w:val="BodyText"/>
        <w:spacing w:line="240" w:lineRule="auto" w:before="21"/>
        <w:ind w:left="153" w:right="0"/>
        <w:jc w:val="both"/>
      </w:pPr>
      <w:r>
        <w:rPr/>
        <w:t>合计派发现金股利为人民币</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
        </w:rPr>
        <w:t>6</w:t>
      </w:r>
      <w:r>
        <w:rPr>
          <w:rFonts w:ascii="Times New Roman" w:hAnsi="Times New Roman" w:cs="Times New Roman" w:eastAsia="Times New Roman" w:hint="default"/>
        </w:rPr>
        <w:t>8</w:t>
      </w:r>
      <w:r>
        <w:rPr>
          <w:rFonts w:ascii="Times New Roman" w:hAnsi="Times New Roman" w:cs="Times New Roman" w:eastAsia="Times New Roman" w:hint="default"/>
          <w:spacing w:val="-1"/>
        </w:rPr>
        <w:t>,5</w:t>
      </w:r>
      <w:r>
        <w:rPr>
          <w:rFonts w:ascii="Times New Roman" w:hAnsi="Times New Roman" w:cs="Times New Roman" w:eastAsia="Times New Roman" w:hint="default"/>
        </w:rPr>
        <w:t>30</w:t>
      </w:r>
      <w:r>
        <w:rPr>
          <w:rFonts w:ascii="Times New Roman" w:hAnsi="Times New Roman" w:cs="Times New Roman" w:eastAsia="Times New Roman" w:hint="default"/>
          <w:spacing w:val="-1"/>
        </w:rPr>
        <w:t>.</w:t>
      </w:r>
      <w:r>
        <w:rPr>
          <w:rFonts w:ascii="Times New Roman" w:hAnsi="Times New Roman" w:cs="Times New Roman" w:eastAsia="Times New Roman" w:hint="default"/>
        </w:rPr>
        <w:t>06</w:t>
      </w:r>
      <w:r>
        <w:rPr>
          <w:rFonts w:ascii="Times New Roman" w:hAnsi="Times New Roman" w:cs="Times New Roman" w:eastAsia="Times New Roman" w:hint="default"/>
          <w:spacing w:val="5"/>
        </w:rPr>
        <w:t> </w:t>
      </w:r>
      <w:r>
        <w:rPr/>
        <w:t>元（</w:t>
      </w:r>
      <w:r>
        <w:rPr>
          <w:spacing w:val="-2"/>
        </w:rPr>
        <w:t>含</w:t>
      </w:r>
      <w:r>
        <w:rPr/>
        <w:t>税</w:t>
      </w:r>
      <w:r>
        <w:rPr>
          <w:spacing w:val="-105"/>
        </w:rPr>
        <w:t>）</w:t>
      </w:r>
      <w:r>
        <w:rPr/>
        <w:t>。同时</w:t>
      </w:r>
      <w:r>
        <w:rPr>
          <w:spacing w:val="-2"/>
        </w:rPr>
        <w:t>，</w:t>
      </w:r>
      <w:r>
        <w:rPr/>
        <w:t>以资本公积金向全体股东每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w:t>
      </w:r>
      <w:r>
        <w:rPr>
          <w:spacing w:val="-2"/>
        </w:rPr>
        <w:t>转</w:t>
      </w:r>
      <w:r>
        <w:rPr/>
        <w:t>增</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股，</w:t>
      </w:r>
    </w:p>
    <w:p>
      <w:pPr>
        <w:pStyle w:val="BodyText"/>
        <w:spacing w:line="240" w:lineRule="auto" w:before="178"/>
        <w:ind w:left="153" w:right="0"/>
        <w:jc w:val="both"/>
      </w:pPr>
      <w:r>
        <w:rPr/>
        <w:t>共计转增</w:t>
      </w:r>
      <w:r>
        <w:rPr>
          <w:spacing w:val="-56"/>
        </w:rPr>
        <w:t> </w:t>
      </w:r>
      <w:r>
        <w:rPr>
          <w:rFonts w:ascii="Times New Roman" w:hAnsi="Times New Roman" w:cs="Times New Roman" w:eastAsia="Times New Roman" w:hint="default"/>
        </w:rPr>
        <w:t>162,237,751</w:t>
      </w:r>
      <w:r>
        <w:rPr>
          <w:rFonts w:ascii="Times New Roman" w:hAnsi="Times New Roman" w:cs="Times New Roman" w:eastAsia="Times New Roman" w:hint="default"/>
          <w:spacing w:val="-3"/>
        </w:rPr>
        <w:t> </w:t>
      </w:r>
      <w:r>
        <w:rPr/>
        <w:t>股，转增后公司总股本增加至</w:t>
      </w:r>
      <w:r>
        <w:rPr>
          <w:spacing w:val="-56"/>
        </w:rPr>
        <w:t> </w:t>
      </w:r>
      <w:r>
        <w:rPr>
          <w:rFonts w:ascii="Times New Roman" w:hAnsi="Times New Roman" w:cs="Times New Roman" w:eastAsia="Times New Roman" w:hint="default"/>
        </w:rPr>
        <w:t>486,713,252</w:t>
      </w:r>
      <w:r>
        <w:rPr>
          <w:rFonts w:ascii="Times New Roman" w:hAnsi="Times New Roman" w:cs="Times New Roman" w:eastAsia="Times New Roman" w:hint="default"/>
          <w:spacing w:val="-3"/>
        </w:rPr>
        <w:t> </w:t>
      </w:r>
      <w:r>
        <w:rPr/>
        <w:t>股。</w:t>
      </w:r>
    </w:p>
    <w:p>
      <w:pPr>
        <w:spacing w:line="240" w:lineRule="auto" w:before="6"/>
        <w:rPr>
          <w:rFonts w:ascii="宋体" w:hAnsi="宋体" w:cs="宋体" w:eastAsia="宋体" w:hint="default"/>
          <w:sz w:val="16"/>
          <w:szCs w:val="16"/>
        </w:rPr>
      </w:pPr>
    </w:p>
    <w:p>
      <w:pPr>
        <w:pStyle w:val="BodyText"/>
        <w:spacing w:line="240" w:lineRule="auto" w:before="0"/>
        <w:ind w:left="577" w:right="102"/>
        <w:jc w:val="left"/>
      </w:pPr>
      <w:r>
        <w:rPr/>
        <w:t>由于公司于</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日召开的第四届董事会第九次会议及第四届监事会第八次会议审议通过了</w:t>
      </w:r>
    </w:p>
    <w:p>
      <w:pPr>
        <w:pStyle w:val="BodyText"/>
        <w:spacing w:line="240" w:lineRule="auto" w:before="177"/>
        <w:ind w:left="153" w:right="0"/>
        <w:jc w:val="both"/>
      </w:pPr>
      <w:r>
        <w:rPr/>
        <w:t>《关于回购注销不符合激励条件的激励对象所持已获授但尚未解锁的限制性股票的议案</w:t>
      </w:r>
      <w:r>
        <w:rPr>
          <w:spacing w:val="-105"/>
        </w:rPr>
        <w:t>》</w:t>
      </w:r>
      <w:r>
        <w:rPr>
          <w:spacing w:val="-126"/>
        </w:rPr>
        <w:t>、</w:t>
      </w:r>
      <w:r>
        <w:rPr>
          <w:spacing w:val="-2"/>
        </w:rPr>
        <w:t>《</w:t>
      </w:r>
      <w:r>
        <w:rPr/>
        <w:t>关于终止实施</w:t>
      </w:r>
    </w:p>
    <w:p>
      <w:pPr>
        <w:spacing w:line="240" w:lineRule="auto" w:before="10"/>
        <w:rPr>
          <w:rFonts w:ascii="宋体" w:hAnsi="宋体" w:cs="宋体" w:eastAsia="宋体" w:hint="default"/>
          <w:sz w:val="14"/>
          <w:szCs w:val="14"/>
        </w:rPr>
      </w:pPr>
    </w:p>
    <w:p>
      <w:pPr>
        <w:pStyle w:val="BodyText"/>
        <w:spacing w:line="240" w:lineRule="auto" w:before="0"/>
        <w:ind w:left="153"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16 </w:t>
      </w:r>
      <w:r>
        <w:rPr/>
        <w:t>年限</w:t>
      </w:r>
      <w:r>
        <w:rPr>
          <w:spacing w:val="-2"/>
        </w:rPr>
        <w:t>制</w:t>
      </w:r>
      <w:r>
        <w:rPr/>
        <w:t>性股票激励计划暨回购注销已获授但尚未解锁的限制性股票的议案</w:t>
      </w:r>
      <w:r>
        <w:rPr>
          <w:spacing w:val="-105"/>
        </w:rPr>
        <w:t>》</w:t>
      </w:r>
      <w:r>
        <w:rPr>
          <w:spacing w:val="-179"/>
        </w:rPr>
        <w:t>、</w:t>
      </w:r>
      <w:r>
        <w:rPr>
          <w:spacing w:val="-2"/>
        </w:rPr>
        <w:t>《</w:t>
      </w:r>
      <w:r>
        <w:rPr/>
        <w:t>关于修改新开普电子股</w:t>
      </w:r>
    </w:p>
    <w:p>
      <w:pPr>
        <w:pStyle w:val="BodyText"/>
        <w:spacing w:line="400" w:lineRule="auto" w:before="177"/>
        <w:ind w:left="153" w:right="211"/>
        <w:jc w:val="both"/>
      </w:pPr>
      <w:r>
        <w:rPr/>
        <w:t>份有限公司注册资本的议案》等议案。上述相关议案已经过</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日召开的</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年第一次临时股 </w:t>
      </w:r>
      <w:r>
        <w:rPr>
          <w:spacing w:val="-1"/>
        </w:rPr>
        <w:t>东大会审议通过。公司目前已启动回购注销限制性股票等相关工作。如果在权益分派实施前完成了回购注</w:t>
      </w:r>
      <w:r>
        <w:rPr>
          <w:spacing w:val="-81"/>
        </w:rPr>
        <w:t> </w:t>
      </w:r>
      <w:r>
        <w:rPr>
          <w:spacing w:val="-81"/>
        </w:rPr>
      </w:r>
      <w:r>
        <w:rPr>
          <w:spacing w:val="-1"/>
        </w:rPr>
        <w:t>销工作，将导致公司股本发生变化，公司将根据有关规定：按照“现金分红总额、送红股总额、转增股本</w:t>
      </w:r>
      <w:r>
        <w:rPr>
          <w:spacing w:val="-83"/>
        </w:rPr>
        <w:t> </w:t>
      </w:r>
      <w:r>
        <w:rPr>
          <w:spacing w:val="-83"/>
        </w:rPr>
      </w:r>
      <w:r>
        <w:rPr/>
        <w:t>总额固定不变”的原则对分配比例进行调整。</w:t>
      </w:r>
    </w:p>
    <w:p>
      <w:pPr>
        <w:spacing w:line="240" w:lineRule="auto" w:before="13"/>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right="102" w:firstLine="423"/>
        <w:jc w:val="left"/>
      </w:pP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24</w:t>
      </w:r>
      <w:r>
        <w:rPr>
          <w:spacing w:val="-1"/>
        </w:rPr>
        <w:t>日召开的第四届董事会第八次会议审议通过了《关于对外投资设立参股子公司</w:t>
      </w:r>
      <w:r>
        <w:rPr/>
        <w:t> 的议案》。</w:t>
      </w:r>
    </w:p>
    <w:p>
      <w:pPr>
        <w:pStyle w:val="BodyText"/>
        <w:spacing w:line="398" w:lineRule="auto" w:before="65"/>
        <w:ind w:right="104" w:firstLine="423"/>
        <w:jc w:val="left"/>
      </w:pPr>
      <w:r>
        <w:rPr/>
        <w:t>本公司与郑州瑞茂通供应链有限公司、河南森源集团有限公司、河南四方达超硬材料股份有限公司、</w:t>
      </w:r>
      <w:r>
        <w:rPr>
          <w:spacing w:val="2"/>
        </w:rPr>
        <w:t> </w:t>
      </w:r>
      <w:r>
        <w:rPr/>
        <w:t>郑州天源实业有限公司、河南润文商贸有限公司拟共同出资设立</w:t>
      </w:r>
      <w:r>
        <w:rPr>
          <w:rFonts w:ascii="Times New Roman" w:hAnsi="Times New Roman" w:cs="Times New Roman" w:eastAsia="Times New Roman" w:hint="default"/>
        </w:rPr>
        <w:t>“</w:t>
      </w:r>
      <w:r>
        <w:rPr/>
        <w:t>河南华贸金惠实业有限公司</w:t>
      </w:r>
      <w:r>
        <w:rPr>
          <w:rFonts w:ascii="Times New Roman" w:hAnsi="Times New Roman" w:cs="Times New Roman" w:eastAsia="Times New Roman" w:hint="default"/>
        </w:rPr>
        <w:t>”</w:t>
      </w:r>
      <w:r>
        <w:rPr/>
        <w:t>（暂定名， 最终以工商局核准登记为准），并于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13"/>
        </w:rPr>
        <w:t> </w:t>
      </w:r>
      <w:r>
        <w:rPr/>
        <w:t>日共同签署了出资设立华贸金惠的《出资协议》。</w:t>
      </w:r>
    </w:p>
    <w:p>
      <w:pPr>
        <w:pStyle w:val="BodyText"/>
        <w:spacing w:line="240" w:lineRule="auto" w:before="24"/>
        <w:ind w:left="153" w:right="0"/>
        <w:jc w:val="both"/>
        <w:rPr>
          <w:rFonts w:ascii="Times New Roman" w:hAnsi="Times New Roman" w:cs="Times New Roman" w:eastAsia="Times New Roman" w:hint="default"/>
        </w:rPr>
      </w:pPr>
      <w:r>
        <w:rPr/>
        <w:t>参股子公司注册资本为人民币 </w:t>
      </w:r>
      <w:r>
        <w:rPr>
          <w:rFonts w:ascii="Times New Roman" w:hAnsi="Times New Roman" w:cs="Times New Roman" w:eastAsia="Times New Roman" w:hint="default"/>
        </w:rPr>
        <w:t>30,000,000.00 </w:t>
      </w:r>
      <w:r>
        <w:rPr>
          <w:spacing w:val="-6"/>
        </w:rPr>
        <w:t>元，新开普以现金方式出资 </w:t>
      </w:r>
      <w:r>
        <w:rPr>
          <w:rFonts w:ascii="Times New Roman" w:hAnsi="Times New Roman" w:cs="Times New Roman" w:eastAsia="Times New Roman" w:hint="default"/>
        </w:rPr>
        <w:t>21,301,647.73 </w:t>
      </w:r>
      <w:r>
        <w:rPr>
          <w:spacing w:val="-16"/>
        </w:rPr>
        <w:t>元，其中</w:t>
      </w:r>
      <w:r>
        <w:rPr>
          <w:spacing w:val="-1"/>
        </w:rPr>
        <w:t> </w:t>
      </w:r>
      <w:r>
        <w:rPr>
          <w:rFonts w:ascii="Times New Roman" w:hAnsi="Times New Roman" w:cs="Times New Roman" w:eastAsia="Times New Roman" w:hint="default"/>
        </w:rPr>
        <w:t>2,248,500</w:t>
      </w:r>
    </w:p>
    <w:p>
      <w:pPr>
        <w:pStyle w:val="BodyText"/>
        <w:spacing w:line="240" w:lineRule="auto" w:before="177"/>
        <w:ind w:left="153" w:right="0"/>
        <w:jc w:val="both"/>
      </w:pPr>
      <w:r>
        <w:rPr/>
        <w:t>元计入注册资本，占参股子公司</w:t>
      </w:r>
      <w:r>
        <w:rPr>
          <w:spacing w:val="-23"/>
        </w:rPr>
        <w:t> </w:t>
      </w:r>
      <w:r>
        <w:rPr>
          <w:rFonts w:ascii="Times New Roman" w:hAnsi="Times New Roman" w:cs="Times New Roman" w:eastAsia="Times New Roman" w:hint="default"/>
        </w:rPr>
        <w:t>7.495%</w:t>
      </w:r>
      <w:r>
        <w:rPr/>
        <w:t>的股权，</w:t>
      </w:r>
      <w:r>
        <w:rPr>
          <w:spacing w:val="-25"/>
        </w:rPr>
        <w:t> </w:t>
      </w:r>
      <w:r>
        <w:rPr/>
        <w:t>剩余</w:t>
      </w:r>
      <w:r>
        <w:rPr>
          <w:spacing w:val="-23"/>
        </w:rPr>
        <w:t> </w:t>
      </w:r>
      <w:r>
        <w:rPr>
          <w:rFonts w:ascii="Times New Roman" w:hAnsi="Times New Roman" w:cs="Times New Roman" w:eastAsia="Times New Roman" w:hint="default"/>
        </w:rPr>
        <w:t>19,053,147.73</w:t>
      </w:r>
      <w:r>
        <w:rPr>
          <w:rFonts w:ascii="Times New Roman" w:hAnsi="Times New Roman" w:cs="Times New Roman" w:eastAsia="Times New Roman" w:hint="default"/>
          <w:spacing w:val="29"/>
        </w:rPr>
        <w:t> </w:t>
      </w:r>
      <w:r>
        <w:rPr/>
        <w:t>元计入参股子公司资本公积。</w:t>
      </w:r>
    </w:p>
    <w:p>
      <w:pPr>
        <w:pStyle w:val="BodyText"/>
        <w:spacing w:line="386" w:lineRule="auto" w:before="177"/>
        <w:ind w:left="153" w:right="102" w:firstLine="423"/>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13</w:t>
      </w:r>
      <w:r>
        <w:rPr>
          <w:spacing w:val="-1"/>
        </w:rPr>
        <w:t>日，公司第四届董事会第九次会议审议通过了《关于回购注销不符合激励条件的激励</w:t>
      </w:r>
      <w:r>
        <w:rPr/>
        <w:t> </w:t>
      </w:r>
      <w:r>
        <w:rPr>
          <w:spacing w:val="-1"/>
        </w:rPr>
        <w:t>对象所持已获授但尚未解锁的限制性股票的议案》，同意回购注销原激励对象李莘、王鹏飞等</w:t>
      </w:r>
      <w:r>
        <w:rPr>
          <w:rFonts w:ascii="Times New Roman" w:hAnsi="Times New Roman" w:cs="Times New Roman" w:eastAsia="Times New Roman" w:hint="default"/>
          <w:spacing w:val="-1"/>
        </w:rPr>
        <w:t>10</w:t>
      </w:r>
      <w:r>
        <w:rPr>
          <w:spacing w:val="-1"/>
        </w:rPr>
        <w:t>名离职人</w:t>
      </w:r>
      <w:r>
        <w:rPr>
          <w:spacing w:val="-84"/>
        </w:rPr>
        <w:t> </w:t>
      </w:r>
      <w:r>
        <w:rPr>
          <w:spacing w:val="-84"/>
        </w:rPr>
      </w:r>
      <w:r>
        <w:rPr/>
        <w:t>员已获授但尚未解锁的共计</w:t>
      </w:r>
      <w:r>
        <w:rPr>
          <w:rFonts w:ascii="Times New Roman" w:hAnsi="Times New Roman" w:cs="Times New Roman" w:eastAsia="Times New Roman" w:hint="default"/>
        </w:rPr>
        <w:t>45,600</w:t>
      </w:r>
      <w:r>
        <w:rPr/>
        <w:t>股限制性股票。公司向激励对象授予限制性股票的授予价格为</w:t>
      </w:r>
      <w:r>
        <w:rPr>
          <w:rFonts w:ascii="Times New Roman" w:hAnsi="Times New Roman" w:cs="Times New Roman" w:eastAsia="Times New Roman" w:hint="default"/>
        </w:rPr>
        <w:t>12.37</w:t>
      </w:r>
      <w:r>
        <w:rPr/>
        <w:t>元</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股，鉴于公司于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月实施了向全体股东按每</w:t>
      </w:r>
      <w:r>
        <w:rPr>
          <w:rFonts w:ascii="Times New Roman" w:hAnsi="Times New Roman" w:cs="Times New Roman" w:eastAsia="Times New Roman" w:hint="default"/>
        </w:rPr>
        <w:t>10</w:t>
      </w:r>
      <w:r>
        <w:rPr/>
        <w:t>股派发现金人民币</w:t>
      </w:r>
      <w:r>
        <w:rPr>
          <w:rFonts w:ascii="Times New Roman" w:hAnsi="Times New Roman" w:cs="Times New Roman" w:eastAsia="Times New Roman" w:hint="default"/>
        </w:rPr>
        <w:t>0.55</w:t>
      </w:r>
      <w:r>
        <w:rPr/>
        <w:t>元，因此回购价格应调整为 </w:t>
      </w:r>
      <w:r>
        <w:rPr>
          <w:rFonts w:ascii="Times New Roman" w:hAnsi="Times New Roman" w:cs="Times New Roman" w:eastAsia="Times New Roman" w:hint="default"/>
          <w:spacing w:val="-1"/>
        </w:rPr>
        <w:t>12.315</w:t>
      </w:r>
      <w:r>
        <w:rPr>
          <w:spacing w:val="-1"/>
        </w:rPr>
        <w:t>元</w:t>
      </w:r>
      <w:r>
        <w:rPr>
          <w:rFonts w:ascii="Times New Roman" w:hAnsi="Times New Roman" w:cs="Times New Roman" w:eastAsia="Times New Roman" w:hint="default"/>
          <w:spacing w:val="-1"/>
        </w:rPr>
        <w:t>/</w:t>
      </w:r>
      <w:r>
        <w:rPr>
          <w:spacing w:val="-1"/>
        </w:rPr>
        <w:t>股。由于李莘、王鹏飞等</w:t>
      </w:r>
      <w:r>
        <w:rPr>
          <w:rFonts w:ascii="Times New Roman" w:hAnsi="Times New Roman" w:cs="Times New Roman" w:eastAsia="Times New Roman" w:hint="default"/>
          <w:spacing w:val="-1"/>
        </w:rPr>
        <w:t>10</w:t>
      </w:r>
      <w:r>
        <w:rPr>
          <w:spacing w:val="-1"/>
        </w:rPr>
        <w:t>名离职人员</w:t>
      </w:r>
      <w:r>
        <w:rPr>
          <w:rFonts w:ascii="Times New Roman" w:hAnsi="Times New Roman" w:cs="Times New Roman" w:eastAsia="Times New Roman" w:hint="default"/>
          <w:spacing w:val="-1"/>
        </w:rPr>
        <w:t>2016</w:t>
      </w:r>
      <w:r>
        <w:rPr>
          <w:spacing w:val="-1"/>
        </w:rPr>
        <w:t>年度的现金分红目前均由公司代管，未实际派发，因</w:t>
      </w:r>
      <w:r>
        <w:rPr>
          <w:spacing w:val="-93"/>
        </w:rPr>
        <w:t> </w:t>
      </w:r>
      <w:r>
        <w:rPr>
          <w:spacing w:val="-93"/>
        </w:rPr>
      </w:r>
      <w:r>
        <w:rPr>
          <w:spacing w:val="-2"/>
        </w:rPr>
        <w:t>此，实际回购价格仍为</w:t>
      </w:r>
      <w:r>
        <w:rPr>
          <w:rFonts w:ascii="Times New Roman" w:hAnsi="Times New Roman" w:cs="Times New Roman" w:eastAsia="Times New Roman" w:hint="default"/>
          <w:spacing w:val="-2"/>
        </w:rPr>
        <w:t>12.37</w:t>
      </w:r>
      <w:r>
        <w:rPr>
          <w:spacing w:val="-2"/>
        </w:rPr>
        <w:t>元</w:t>
      </w:r>
      <w:r>
        <w:rPr>
          <w:rFonts w:ascii="Times New Roman" w:hAnsi="Times New Roman" w:cs="Times New Roman" w:eastAsia="Times New Roman" w:hint="default"/>
          <w:spacing w:val="-2"/>
        </w:rPr>
        <w:t>/</w:t>
      </w:r>
      <w:r>
        <w:rPr>
          <w:spacing w:val="-2"/>
        </w:rPr>
        <w:t>股。回购注销的</w:t>
      </w:r>
      <w:r>
        <w:rPr>
          <w:rFonts w:ascii="Times New Roman" w:hAnsi="Times New Roman" w:cs="Times New Roman" w:eastAsia="Times New Roman" w:hint="default"/>
          <w:spacing w:val="-2"/>
        </w:rPr>
        <w:t>10</w:t>
      </w:r>
      <w:r>
        <w:rPr>
          <w:spacing w:val="-2"/>
        </w:rPr>
        <w:t>名离职人员已获授但尚未解锁的共计</w:t>
      </w:r>
      <w:r>
        <w:rPr>
          <w:rFonts w:ascii="Times New Roman" w:hAnsi="Times New Roman" w:cs="Times New Roman" w:eastAsia="Times New Roman" w:hint="default"/>
          <w:spacing w:val="-2"/>
        </w:rPr>
        <w:t>45,600</w:t>
      </w:r>
      <w:r>
        <w:rPr>
          <w:spacing w:val="-2"/>
        </w:rPr>
        <w:t>股限制性股票</w:t>
      </w:r>
    </w:p>
    <w:p>
      <w:pPr>
        <w:spacing w:after="0" w:line="386"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right="102"/>
        <w:jc w:val="left"/>
      </w:pPr>
      <w:r>
        <w:rPr/>
        <w:t>尚未办理注销手续。</w:t>
      </w:r>
    </w:p>
    <w:p>
      <w:pPr>
        <w:spacing w:line="240" w:lineRule="auto" w:before="10"/>
        <w:rPr>
          <w:rFonts w:ascii="宋体" w:hAnsi="宋体" w:cs="宋体" w:eastAsia="宋体" w:hint="default"/>
          <w:sz w:val="14"/>
          <w:szCs w:val="14"/>
        </w:rPr>
      </w:pPr>
    </w:p>
    <w:p>
      <w:pPr>
        <w:pStyle w:val="BodyText"/>
        <w:spacing w:line="393" w:lineRule="auto" w:before="0"/>
        <w:ind w:left="153" w:right="102" w:firstLine="42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13 </w:t>
      </w:r>
      <w:r>
        <w:rPr/>
        <w:t>日，公司第四届董事会第九次会议审议通过了《关于终止实施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年限制性股 票激励计划暨回购注销已获授但尚未解锁的限制性股票</w:t>
      </w:r>
      <w:r>
        <w:rPr>
          <w:spacing w:val="-21"/>
        </w:rPr>
        <w:t> </w:t>
      </w:r>
      <w:r>
        <w:rPr/>
        <w:t>的议案》、《关于终止执行的议案》等议案，同</w:t>
      </w:r>
      <w:r>
        <w:rPr/>
        <w:t> 意公司终止实施激励计划并回购注销剩余 </w:t>
      </w:r>
      <w:r>
        <w:rPr>
          <w:rFonts w:ascii="Times New Roman" w:hAnsi="Times New Roman" w:cs="Times New Roman" w:eastAsia="Times New Roman" w:hint="default"/>
        </w:rPr>
        <w:t>435 </w:t>
      </w:r>
      <w:r>
        <w:rPr/>
        <w:t>名激励对象已获授但尚未解锁的限制性股票共计</w:t>
      </w:r>
      <w:r>
        <w:rPr>
          <w:spacing w:val="-67"/>
        </w:rPr>
        <w:t> </w:t>
      </w:r>
      <w:r>
        <w:rPr>
          <w:rFonts w:ascii="Times New Roman" w:hAnsi="Times New Roman" w:cs="Times New Roman" w:eastAsia="Times New Roman" w:hint="default"/>
        </w:rPr>
        <w:t>5,575,140 </w:t>
      </w:r>
      <w:r>
        <w:rPr/>
        <w:t>股。</w:t>
      </w:r>
    </w:p>
    <w:p>
      <w:pPr>
        <w:pStyle w:val="BodyText"/>
        <w:spacing w:line="240" w:lineRule="auto" w:before="59"/>
        <w:ind w:left="577" w:right="102"/>
        <w:jc w:val="left"/>
      </w:pPr>
      <w:r>
        <w:rPr/>
        <w:t>（</w:t>
      </w:r>
      <w:r>
        <w:rPr>
          <w:rFonts w:ascii="Times New Roman" w:hAnsi="Times New Roman" w:cs="Times New Roman" w:eastAsia="Times New Roman" w:hint="default"/>
        </w:rPr>
        <w:t>1</w:t>
      </w:r>
      <w:r>
        <w:rPr/>
        <w:t>）终止原因：</w:t>
      </w:r>
    </w:p>
    <w:p>
      <w:pPr>
        <w:pStyle w:val="BodyText"/>
        <w:spacing w:line="403" w:lineRule="auto" w:before="177"/>
        <w:ind w:left="153" w:right="213" w:firstLine="423"/>
        <w:jc w:val="left"/>
      </w:pPr>
      <w:r>
        <w:rPr/>
        <w:t>公司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6 </w:t>
      </w:r>
      <w:r>
        <w:rPr/>
        <w:t>月推出限制性股票激励计划后，虽然公司业绩保持稳定增长，</w:t>
      </w:r>
      <w:r>
        <w:rPr>
          <w:spacing w:val="-3"/>
        </w:rPr>
        <w:t> </w:t>
      </w:r>
      <w:r>
        <w:rPr/>
        <w:t>但由于公司股票价格</w:t>
      </w:r>
      <w:r>
        <w:rPr/>
        <w:t> 发生了较大的波动，公司继续实施本次激励计划将难以达到</w:t>
      </w:r>
      <w:r>
        <w:rPr>
          <w:spacing w:val="-21"/>
        </w:rPr>
        <w:t> </w:t>
      </w:r>
      <w:r>
        <w:rPr/>
        <w:t>预期的激励目的和激励效果。因此，公司董</w:t>
      </w:r>
      <w:r>
        <w:rPr/>
        <w:t> 事会审慎考虑后决定终止实施本次激 励计划。</w:t>
      </w:r>
      <w:r>
        <w:rPr>
          <w:spacing w:val="-42"/>
        </w:rPr>
        <w:t> </w:t>
      </w:r>
      <w:r>
        <w:rPr/>
        <w:t>本次终止实施限制性股票激励计划，将避免激励对象受二</w:t>
      </w:r>
      <w:r>
        <w:rPr/>
        <w:t> 级市场股价波动的</w:t>
      </w:r>
      <w:r>
        <w:rPr>
          <w:spacing w:val="-21"/>
        </w:rPr>
        <w:t> </w:t>
      </w:r>
      <w:r>
        <w:rPr/>
        <w:t>不利影响，能够更专注地投身于生产经营的具体工作、努力为公司和全体股东创造价</w:t>
      </w:r>
      <w:r>
        <w:rPr/>
        <w:t> 值。</w:t>
      </w:r>
    </w:p>
    <w:p>
      <w:pPr>
        <w:pStyle w:val="BodyText"/>
        <w:spacing w:line="240" w:lineRule="auto" w:before="50"/>
        <w:ind w:left="577" w:right="102"/>
        <w:jc w:val="left"/>
      </w:pPr>
      <w:r>
        <w:rPr/>
        <w:t>（</w:t>
      </w:r>
      <w:r>
        <w:rPr>
          <w:rFonts w:ascii="Times New Roman" w:hAnsi="Times New Roman" w:cs="Times New Roman" w:eastAsia="Times New Roman" w:hint="default"/>
        </w:rPr>
        <w:t>2</w:t>
      </w:r>
      <w:r>
        <w:rPr/>
        <w:t>）本次回购注销数量</w:t>
      </w:r>
    </w:p>
    <w:p>
      <w:pPr>
        <w:pStyle w:val="BodyText"/>
        <w:spacing w:line="240" w:lineRule="auto" w:before="177"/>
        <w:ind w:left="577" w:right="102"/>
        <w:jc w:val="left"/>
      </w:pPr>
      <w:r>
        <w:rPr/>
        <w:t>本次终止股权激励计划拟回购注销 </w:t>
      </w:r>
      <w:r>
        <w:rPr>
          <w:rFonts w:ascii="Times New Roman" w:hAnsi="Times New Roman" w:cs="Times New Roman" w:eastAsia="Times New Roman" w:hint="default"/>
        </w:rPr>
        <w:t>435</w:t>
      </w:r>
      <w:r>
        <w:rPr>
          <w:rFonts w:ascii="Times New Roman" w:hAnsi="Times New Roman" w:cs="Times New Roman" w:eastAsia="Times New Roman" w:hint="default"/>
          <w:spacing w:val="9"/>
        </w:rPr>
        <w:t> </w:t>
      </w:r>
      <w:r>
        <w:rPr/>
        <w:t>名激励对象合计持有的已授予尚未解锁的限制性股票</w:t>
      </w:r>
    </w:p>
    <w:p>
      <w:pPr>
        <w:pStyle w:val="BodyText"/>
        <w:spacing w:line="240" w:lineRule="auto" w:before="177"/>
        <w:ind w:right="102"/>
        <w:jc w:val="left"/>
      </w:pPr>
      <w:r>
        <w:rPr>
          <w:rFonts w:ascii="Times New Roman" w:hAnsi="Times New Roman" w:cs="Times New Roman" w:eastAsia="Times New Roman" w:hint="default"/>
        </w:rPr>
        <w:t>5,575,140</w:t>
      </w:r>
      <w:r>
        <w:rPr>
          <w:rFonts w:ascii="Times New Roman" w:hAnsi="Times New Roman" w:cs="Times New Roman" w:eastAsia="Times New Roman" w:hint="default"/>
          <w:spacing w:val="23"/>
        </w:rPr>
        <w:t> </w:t>
      </w:r>
      <w:r>
        <w:rPr/>
        <w:t>股。</w:t>
      </w:r>
    </w:p>
    <w:p>
      <w:pPr>
        <w:pStyle w:val="BodyText"/>
        <w:spacing w:line="240" w:lineRule="auto" w:before="177"/>
        <w:ind w:left="577" w:right="102"/>
        <w:jc w:val="left"/>
      </w:pPr>
      <w:r>
        <w:rPr/>
        <w:t>（</w:t>
      </w:r>
      <w:r>
        <w:rPr>
          <w:rFonts w:ascii="Times New Roman" w:hAnsi="Times New Roman" w:cs="Times New Roman" w:eastAsia="Times New Roman" w:hint="default"/>
        </w:rPr>
        <w:t>3</w:t>
      </w:r>
      <w:r>
        <w:rPr/>
        <w:t>）回购价格</w:t>
      </w:r>
    </w:p>
    <w:p>
      <w:pPr>
        <w:pStyle w:val="BodyText"/>
        <w:spacing w:line="398" w:lineRule="auto" w:before="177"/>
        <w:ind w:right="212" w:firstLine="423"/>
        <w:jc w:val="left"/>
      </w:pPr>
      <w:r>
        <w:rPr/>
        <w:t>公司向激励对象授予限制性股票的授予价格为 </w:t>
      </w:r>
      <w:r>
        <w:rPr>
          <w:rFonts w:ascii="Times New Roman" w:hAnsi="Times New Roman" w:cs="Times New Roman" w:eastAsia="Times New Roman" w:hint="default"/>
        </w:rPr>
        <w:t>12.37 </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6 </w:t>
      </w:r>
      <w:r>
        <w:rPr/>
        <w:t>月，</w:t>
      </w:r>
      <w:r>
        <w:rPr>
          <w:spacing w:val="25"/>
        </w:rPr>
        <w:t> </w:t>
      </w:r>
      <w:r>
        <w:rPr/>
        <w:t>公司实施了向全体股东</w:t>
      </w:r>
      <w:r>
        <w:rPr/>
        <w:t> 按每 </w:t>
      </w:r>
      <w:r>
        <w:rPr>
          <w:rFonts w:ascii="Times New Roman" w:hAnsi="Times New Roman" w:cs="Times New Roman" w:eastAsia="Times New Roman" w:hint="default"/>
        </w:rPr>
        <w:t>10 </w:t>
      </w:r>
      <w:r>
        <w:rPr/>
        <w:t>股派发现金股利人民币 </w:t>
      </w:r>
      <w:r>
        <w:rPr>
          <w:rFonts w:ascii="Times New Roman" w:hAnsi="Times New Roman" w:cs="Times New Roman" w:eastAsia="Times New Roman" w:hint="default"/>
        </w:rPr>
        <w:t>0.55 </w:t>
      </w:r>
      <w:r>
        <w:rPr/>
        <w:t>元。</w:t>
      </w:r>
      <w:r>
        <w:rPr>
          <w:spacing w:val="-3"/>
        </w:rPr>
        <w:t> </w:t>
      </w:r>
      <w:r>
        <w:rPr/>
        <w:t>根据公司《限制性股票激励计划（草案）》的相关规定，激励</w:t>
      </w:r>
      <w:r>
        <w:rPr/>
        <w:t> 对象获授的限 制性股票完成股份登记后，若公司发生资本公积转增股本、派送股票红利、股份</w:t>
      </w:r>
      <w:r>
        <w:rPr>
          <w:spacing w:val="-42"/>
        </w:rPr>
        <w:t> </w:t>
      </w:r>
      <w:r>
        <w:rPr/>
        <w:t>拆细、配</w:t>
      </w:r>
      <w:r>
        <w:rPr/>
        <w:t> 股、缩股或派息等影响公司股本总量或公司股票价格事项的，公司应对</w:t>
      </w:r>
      <w:r>
        <w:rPr>
          <w:spacing w:val="-21"/>
        </w:rPr>
        <w:t> </w:t>
      </w:r>
      <w:r>
        <w:rPr/>
        <w:t>尚未解锁的限制性股票的回购价</w:t>
      </w:r>
      <w:r>
        <w:rPr/>
        <w:t> 格做相应的调整。具体调整情况如下：</w:t>
      </w:r>
    </w:p>
    <w:p>
      <w:pPr>
        <w:pStyle w:val="BodyText"/>
        <w:spacing w:line="386" w:lineRule="auto" w:before="54"/>
        <w:ind w:left="577" w:right="102"/>
        <w:jc w:val="left"/>
      </w:pPr>
      <w:r>
        <w:rPr/>
        <w:t>派息：</w:t>
      </w:r>
      <w:r>
        <w:rPr>
          <w:rFonts w:ascii="Times New Roman" w:hAnsi="Times New Roman" w:cs="Times New Roman" w:eastAsia="Times New Roman" w:hint="default"/>
        </w:rPr>
        <w:t>P</w:t>
      </w:r>
      <w:r>
        <w:rPr/>
        <w:t>＝</w:t>
      </w:r>
      <w:r>
        <w:rPr>
          <w:rFonts w:ascii="Times New Roman" w:hAnsi="Times New Roman" w:cs="Times New Roman" w:eastAsia="Times New Roman" w:hint="default"/>
        </w:rPr>
        <w:t>P0-V</w:t>
      </w:r>
      <w:r>
        <w:rPr>
          <w:rFonts w:ascii="Times New Roman" w:hAnsi="Times New Roman" w:cs="Times New Roman" w:eastAsia="Times New Roman" w:hint="default"/>
          <w:spacing w:val="-1"/>
          <w:w w:val="99"/>
        </w:rPr>
        <w:t> </w:t>
      </w:r>
      <w:r>
        <w:rPr>
          <w:spacing w:val="-3"/>
        </w:rPr>
        <w:t>其中：</w:t>
      </w:r>
      <w:r>
        <w:rPr>
          <w:rFonts w:ascii="Times New Roman" w:hAnsi="Times New Roman" w:cs="Times New Roman" w:eastAsia="Times New Roman" w:hint="default"/>
          <w:spacing w:val="-3"/>
        </w:rPr>
        <w:t>P0</w:t>
      </w:r>
      <w:r>
        <w:rPr>
          <w:spacing w:val="-3"/>
        </w:rPr>
        <w:t>为调整前的每股限制性股票回购价格；</w:t>
      </w:r>
      <w:r>
        <w:rPr>
          <w:rFonts w:ascii="Times New Roman" w:hAnsi="Times New Roman" w:cs="Times New Roman" w:eastAsia="Times New Roman" w:hint="default"/>
          <w:spacing w:val="-3"/>
        </w:rPr>
        <w:t>V</w:t>
      </w:r>
      <w:r>
        <w:rPr>
          <w:spacing w:val="-3"/>
        </w:rPr>
        <w:t>为每股的派息额；</w:t>
      </w:r>
      <w:r>
        <w:rPr>
          <w:rFonts w:ascii="Times New Roman" w:hAnsi="Times New Roman" w:cs="Times New Roman" w:eastAsia="Times New Roman" w:hint="default"/>
          <w:spacing w:val="-3"/>
        </w:rPr>
        <w:t>P</w:t>
      </w:r>
      <w:r>
        <w:rPr>
          <w:spacing w:val="-3"/>
        </w:rPr>
        <w:t>为调整后的每股限制性股票回购</w:t>
      </w:r>
    </w:p>
    <w:p>
      <w:pPr>
        <w:pStyle w:val="BodyText"/>
        <w:spacing w:line="386" w:lineRule="auto" w:before="35"/>
        <w:ind w:left="153" w:right="211"/>
        <w:jc w:val="left"/>
      </w:pPr>
      <w:r>
        <w:rPr>
          <w:spacing w:val="-3"/>
        </w:rPr>
        <w:t>价格。经派息调整后，</w:t>
      </w:r>
      <w:r>
        <w:rPr>
          <w:rFonts w:ascii="Times New Roman" w:hAnsi="Times New Roman" w:cs="Times New Roman" w:eastAsia="Times New Roman" w:hint="default"/>
          <w:spacing w:val="-3"/>
        </w:rPr>
        <w:t>P</w:t>
      </w:r>
      <w:r>
        <w:rPr>
          <w:spacing w:val="-3"/>
        </w:rPr>
        <w:t>仍须为正数。故如需对股票回购价格进行调整，则本次限制性股票的回购价格为：</w:t>
      </w:r>
      <w:r>
        <w:rPr/>
        <w:t> 本次限制性股票回购注销价格</w:t>
      </w:r>
      <w:r>
        <w:rPr>
          <w:rFonts w:ascii="Times New Roman" w:hAnsi="Times New Roman" w:cs="Times New Roman" w:eastAsia="Times New Roman" w:hint="default"/>
        </w:rPr>
        <w:t>=12.37-0.055=12.315</w:t>
      </w:r>
      <w:r>
        <w:rPr/>
        <w:t>元</w:t>
      </w:r>
      <w:r>
        <w:rPr>
          <w:rFonts w:ascii="Times New Roman" w:hAnsi="Times New Roman" w:cs="Times New Roman" w:eastAsia="Times New Roman" w:hint="default"/>
        </w:rPr>
        <w:t>/</w:t>
      </w:r>
      <w:r>
        <w:rPr/>
        <w:t>股。本次将回购并注销</w:t>
      </w:r>
      <w:r>
        <w:rPr>
          <w:rFonts w:ascii="Times New Roman" w:hAnsi="Times New Roman" w:cs="Times New Roman" w:eastAsia="Times New Roman" w:hint="default"/>
        </w:rPr>
        <w:t>435</w:t>
      </w:r>
      <w:r>
        <w:rPr/>
        <w:t>名激励对象合计持有的已 授予尚未解锁的限制性股票</w:t>
      </w:r>
      <w:r>
        <w:rPr>
          <w:rFonts w:ascii="Times New Roman" w:hAnsi="Times New Roman" w:cs="Times New Roman" w:eastAsia="Times New Roman" w:hint="default"/>
        </w:rPr>
        <w:t>5,575,140</w:t>
      </w:r>
      <w:r>
        <w:rPr/>
        <w:t>股，因前述</w:t>
      </w:r>
      <w:r>
        <w:rPr>
          <w:rFonts w:ascii="Times New Roman" w:hAnsi="Times New Roman" w:cs="Times New Roman" w:eastAsia="Times New Roman" w:hint="default"/>
        </w:rPr>
        <w:t>435</w:t>
      </w:r>
      <w:r>
        <w:rPr/>
        <w:t>名激励对象未解锁的股份</w:t>
      </w:r>
      <w:r>
        <w:rPr>
          <w:rFonts w:ascii="Times New Roman" w:hAnsi="Times New Roman" w:cs="Times New Roman" w:eastAsia="Times New Roman" w:hint="default"/>
        </w:rPr>
        <w:t>2016</w:t>
      </w:r>
      <w:r>
        <w:rPr/>
        <w:t>年度的现金分红目前均 由公司代管，未实际派发，因此回购价格仍为</w:t>
      </w:r>
      <w:r>
        <w:rPr>
          <w:rFonts w:ascii="Times New Roman" w:hAnsi="Times New Roman" w:cs="Times New Roman" w:eastAsia="Times New Roman" w:hint="default"/>
        </w:rPr>
        <w:t>12.37</w:t>
      </w:r>
      <w:r>
        <w:rPr/>
        <w:t>元</w:t>
      </w:r>
      <w:r>
        <w:rPr>
          <w:rFonts w:ascii="Times New Roman" w:hAnsi="Times New Roman" w:cs="Times New Roman" w:eastAsia="Times New Roman" w:hint="default"/>
        </w:rPr>
        <w:t>/</w:t>
      </w:r>
      <w:r>
        <w:rPr/>
        <w:t>股。</w:t>
      </w:r>
    </w:p>
    <w:p>
      <w:pPr>
        <w:pStyle w:val="BodyText"/>
        <w:spacing w:line="400" w:lineRule="auto" w:before="35"/>
        <w:ind w:right="102" w:firstLine="423"/>
        <w:jc w:val="left"/>
      </w:pPr>
      <w:r>
        <w:rPr/>
        <w:t>根据《上市公司股权激励管理办法》的相关规定，出现该办法第十八条第一款情形负有个人责任的，</w:t>
      </w:r>
      <w:r>
        <w:rPr>
          <w:spacing w:val="2"/>
        </w:rPr>
        <w:t> </w:t>
      </w:r>
      <w:r>
        <w:rPr/>
        <w:t>或出现第十八条第二款情形之外的其他情形的，回购价格为不高于授予价格加上银行同期存款利息之和。</w:t>
      </w:r>
      <w:r>
        <w:rPr>
          <w:spacing w:val="-36"/>
        </w:rPr>
        <w:t> </w:t>
      </w:r>
      <w:r>
        <w:rPr>
          <w:spacing w:val="-36"/>
        </w:rPr>
      </w:r>
      <w:r>
        <w:rPr/>
        <w:t>因此，公司本次回购限制性股票的价格为授予价格</w:t>
      </w:r>
      <w:r>
        <w:rPr>
          <w:rFonts w:ascii="Times New Roman" w:hAnsi="Times New Roman" w:cs="Times New Roman" w:eastAsia="Times New Roman" w:hint="default"/>
        </w:rPr>
        <w:t>12.37</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同期银行存款利率），回购的利息计算 自股权激励授予完成之日起至</w:t>
      </w:r>
      <w:r>
        <w:rPr>
          <w:rFonts w:ascii="Times New Roman" w:hAnsi="Times New Roman" w:cs="Times New Roman" w:eastAsia="Times New Roman" w:hint="default"/>
        </w:rPr>
        <w:t>2018</w:t>
      </w:r>
      <w:r>
        <w:rPr/>
        <w:t>年第一次临时股东大会审议通过终止本次激励计划之日止。</w:t>
      </w:r>
    </w:p>
    <w:p>
      <w:pPr>
        <w:spacing w:after="0" w:line="40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102" w:firstLine="423"/>
        <w:jc w:val="left"/>
      </w:pPr>
      <w:r>
        <w:rPr>
          <w:spacing w:val="-1"/>
        </w:rPr>
        <w:t>公司就终止本次激励计划涉及的限制性股票回购事项支付的回购价款全部为公司自有资金，预计回购</w:t>
      </w:r>
      <w:r>
        <w:rPr/>
        <w:t> 价款共计</w:t>
      </w:r>
      <w:r>
        <w:rPr>
          <w:rFonts w:ascii="Times New Roman" w:hAnsi="Times New Roman" w:cs="Times New Roman" w:eastAsia="Times New Roman" w:hint="default"/>
        </w:rPr>
        <w:t>71,329,302.22</w:t>
      </w:r>
      <w:r>
        <w:rPr/>
        <w:t>元。</w:t>
      </w:r>
    </w:p>
    <w:p>
      <w:pPr>
        <w:pStyle w:val="BodyText"/>
        <w:spacing w:line="240" w:lineRule="auto" w:before="14"/>
        <w:ind w:left="577" w:right="102"/>
        <w:jc w:val="left"/>
      </w:pPr>
      <w:r>
        <w:rPr/>
        <w:t>（</w:t>
      </w:r>
      <w:r>
        <w:rPr>
          <w:rFonts w:ascii="Times New Roman" w:hAnsi="Times New Roman" w:cs="Times New Roman" w:eastAsia="Times New Roman" w:hint="default"/>
        </w:rPr>
        <w:t>4</w:t>
      </w:r>
      <w:r>
        <w:rPr/>
        <w:t>）拟用于回购的资金来源</w:t>
      </w:r>
    </w:p>
    <w:p>
      <w:pPr>
        <w:pStyle w:val="BodyText"/>
        <w:spacing w:line="240" w:lineRule="auto" w:before="177"/>
        <w:ind w:left="577" w:right="102"/>
        <w:jc w:val="left"/>
      </w:pPr>
      <w:r>
        <w:rPr/>
        <w:t>本次回购注销公司拟用于回购的资金总额预计为人民币 </w:t>
      </w:r>
      <w:r>
        <w:rPr>
          <w:rFonts w:ascii="Times New Roman" w:hAnsi="Times New Roman" w:cs="Times New Roman" w:eastAsia="Times New Roman" w:hint="default"/>
        </w:rPr>
        <w:t>71,329,302.22  </w:t>
      </w:r>
      <w:r>
        <w:rPr/>
        <w:t>元，</w:t>
      </w:r>
      <w:r>
        <w:rPr>
          <w:spacing w:val="-68"/>
        </w:rPr>
        <w:t> </w:t>
      </w:r>
      <w:r>
        <w:rPr/>
        <w:t>全部为公司自有资金。</w:t>
      </w:r>
    </w:p>
    <w:p>
      <w:pPr>
        <w:pStyle w:val="BodyText"/>
        <w:spacing w:line="386" w:lineRule="auto" w:before="177"/>
        <w:ind w:left="577" w:right="102" w:hanging="1"/>
        <w:jc w:val="left"/>
      </w:pPr>
      <w:r>
        <w:rPr/>
        <w:t>（</w:t>
      </w:r>
      <w:r>
        <w:rPr>
          <w:rFonts w:ascii="Times New Roman" w:hAnsi="Times New Roman" w:cs="Times New Roman" w:eastAsia="Times New Roman" w:hint="default"/>
        </w:rPr>
        <w:t>5</w:t>
      </w:r>
      <w:r>
        <w:rPr/>
        <w:t>）对公司财务状况的影响 根据《企业会计准则》等相关规定，公司终止本次激励计划后对于已计提的股份支付费用不予转回，</w:t>
      </w:r>
    </w:p>
    <w:p>
      <w:pPr>
        <w:pStyle w:val="BodyText"/>
        <w:spacing w:line="386" w:lineRule="auto" w:before="65"/>
        <w:ind w:right="222"/>
        <w:jc w:val="left"/>
      </w:pPr>
      <w:r>
        <w:rPr/>
        <w:t>并将在</w:t>
      </w:r>
      <w:r>
        <w:rPr>
          <w:rFonts w:ascii="Times New Roman" w:hAnsi="Times New Roman" w:cs="Times New Roman" w:eastAsia="Times New Roman" w:hint="default"/>
        </w:rPr>
        <w:t>2018</w:t>
      </w:r>
      <w:r>
        <w:rPr/>
        <w:t>年度计提</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2019</w:t>
      </w:r>
      <w:r>
        <w:rPr/>
        <w:t>年度应提的股份支付费用合计</w:t>
      </w:r>
      <w:r>
        <w:rPr>
          <w:rFonts w:ascii="Times New Roman" w:hAnsi="Times New Roman" w:cs="Times New Roman" w:eastAsia="Times New Roman" w:hint="default"/>
        </w:rPr>
        <w:t>401.35</w:t>
      </w:r>
      <w:r>
        <w:rPr/>
        <w:t>万元。公司终止本次激励计划，不会 对财务状况及股东权益产生重大影响。</w:t>
      </w:r>
    </w:p>
    <w:p>
      <w:pPr>
        <w:spacing w:after="0" w:line="386" w:lineRule="auto"/>
        <w:jc w:val="left"/>
        <w:sectPr>
          <w:pgSz w:w="11910" w:h="16840"/>
          <w:pgMar w:header="877" w:footer="982" w:top="1100" w:bottom="1180" w:left="980" w:right="920"/>
        </w:sectPr>
      </w:pPr>
    </w:p>
    <w:p>
      <w:pPr>
        <w:spacing w:line="240" w:lineRule="auto" w:before="9"/>
        <w:rPr>
          <w:rFonts w:ascii="宋体" w:hAnsi="宋体" w:cs="宋体" w:eastAsia="宋体" w:hint="default"/>
          <w:sz w:val="19"/>
          <w:szCs w:val="19"/>
        </w:rPr>
      </w:pPr>
    </w:p>
    <w:p>
      <w:pPr>
        <w:pStyle w:val="Heading2"/>
        <w:spacing w:line="240" w:lineRule="auto" w:before="26"/>
        <w:ind w:right="133"/>
        <w:jc w:val="left"/>
        <w:rPr>
          <w:b w:val="0"/>
          <w:bCs w:val="0"/>
        </w:rPr>
      </w:pP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5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4"/>
        <w:ind w:right="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269,181,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451.27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48,989,5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75.65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220,191,8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75.62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210,994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,524.88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41,251,65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169,742,87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0.70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269,181,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451.27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48,989,5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75.65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220,191,8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75.62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210,994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,524.88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41,251,65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169,742,87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0.70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167,009,464.52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8,350,473.23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167,009,464.52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8,350,473.23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37,695,156.85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3,769,515.69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17,714,271.37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5,314,281.41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37,430,645.18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31,555,305.32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84.30%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11,750,679.73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5,875,339.87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6,240,272.67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6,240,272.67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19,439,692.78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19,439,692.78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259,849,537.92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48,989,575.65</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3" w:right="545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7"/>
        <w:rPr>
          <w:rFonts w:ascii="宋体" w:hAnsi="宋体" w:cs="宋体" w:eastAsia="宋体" w:hint="default"/>
          <w:sz w:val="8"/>
          <w:szCs w:val="8"/>
        </w:rPr>
      </w:pPr>
    </w:p>
    <w:tbl>
      <w:tblPr>
        <w:tblW w:w="0" w:type="auto"/>
        <w:jc w:val="left"/>
        <w:tblInd w:w="755" w:type="dxa"/>
        <w:tblLayout w:type="fixed"/>
        <w:tblCellMar>
          <w:top w:w="0" w:type="dxa"/>
          <w:left w:w="0" w:type="dxa"/>
          <w:bottom w:w="0" w:type="dxa"/>
          <w:right w:w="0" w:type="dxa"/>
        </w:tblCellMar>
        <w:tblLook w:val="01E0"/>
      </w:tblPr>
      <w:tblGrid>
        <w:gridCol w:w="3080"/>
        <w:gridCol w:w="1984"/>
        <w:gridCol w:w="1560"/>
        <w:gridCol w:w="1189"/>
      </w:tblGrid>
      <w:tr>
        <w:trPr>
          <w:trHeight w:val="342" w:hRule="exact"/>
        </w:trPr>
        <w:tc>
          <w:tcPr>
            <w:tcW w:w="308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66"/>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73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1" w:hRule="exact"/>
        </w:trPr>
        <w:tc>
          <w:tcPr>
            <w:tcW w:w="3080" w:type="dxa"/>
            <w:vMerge/>
            <w:tcBorders>
              <w:left w:val="single" w:sz="4" w:space="0" w:color="000000"/>
              <w:bottom w:val="single" w:sz="4" w:space="0" w:color="000000"/>
              <w:right w:val="single" w:sz="4" w:space="0" w:color="000000"/>
            </w:tcBorders>
            <w:shd w:val="clear" w:color="auto" w:fill="D9D9D9"/>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56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3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关联方及保证金组合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9,331,913.35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9,331,913.35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387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7,737,921.47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 其中本期坏账准备收回或转回金额重要的：</w:t>
      </w:r>
    </w:p>
    <w:p>
      <w:pPr>
        <w:spacing w:after="0" w:line="338"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251"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 应收账款核销说明：</w:t>
      </w:r>
    </w:p>
    <w:p>
      <w:pPr>
        <w:spacing w:line="240" w:lineRule="auto" w:before="1"/>
        <w:rPr>
          <w:rFonts w:ascii="宋体" w:hAnsi="宋体" w:cs="宋体" w:eastAsia="宋体" w:hint="default"/>
          <w:sz w:val="20"/>
          <w:szCs w:val="20"/>
        </w:rPr>
      </w:pPr>
    </w:p>
    <w:p>
      <w:pPr>
        <w:pStyle w:val="Heading4"/>
        <w:spacing w:line="240" w:lineRule="auto"/>
        <w:ind w:right="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575" w:type="dxa"/>
        <w:tblLayout w:type="fixed"/>
        <w:tblCellMar>
          <w:top w:w="0" w:type="dxa"/>
          <w:left w:w="0" w:type="dxa"/>
          <w:bottom w:w="0" w:type="dxa"/>
          <w:right w:w="0" w:type="dxa"/>
        </w:tblCellMar>
        <w:tblLook w:val="01E0"/>
      </w:tblPr>
      <w:tblGrid>
        <w:gridCol w:w="4110"/>
        <w:gridCol w:w="1560"/>
        <w:gridCol w:w="1417"/>
        <w:gridCol w:w="1559"/>
      </w:tblGrid>
      <w:tr>
        <w:trPr>
          <w:trHeight w:val="342" w:hRule="exact"/>
        </w:trPr>
        <w:tc>
          <w:tcPr>
            <w:tcW w:w="411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53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54" w:hRule="exact"/>
        </w:trPr>
        <w:tc>
          <w:tcPr>
            <w:tcW w:w="4110" w:type="dxa"/>
            <w:vMerge/>
            <w:tcBorders>
              <w:left w:val="single" w:sz="4" w:space="0" w:color="000000"/>
              <w:bottom w:val="single" w:sz="4" w:space="0" w:color="000000"/>
              <w:right w:val="single" w:sz="4" w:space="0" w:color="000000"/>
            </w:tcBorders>
            <w:shd w:val="clear" w:color="auto" w:fill="D9D9D9"/>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2"/>
              <w:ind w:left="35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0" w:right="20"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占应收账款合 计数的比例</w:t>
            </w:r>
            <w:r>
              <w:rPr>
                <w:rFonts w:ascii="Times New Roman" w:hAnsi="Times New Roman" w:cs="Times New Roman" w:eastAsia="Times New Roman" w:hint="default"/>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2"/>
              <w:ind w:left="35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2"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88"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中国工商银行股份有限公司咸阳文林路支行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7,730,201.00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2.87</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386,510.05</w:t>
            </w:r>
            <w:r>
              <w:rPr>
                <w:rFonts w:ascii="Times New Roman"/>
                <w:sz w:val="21"/>
              </w:rPr>
            </w:r>
          </w:p>
        </w:tc>
      </w:tr>
      <w:tr>
        <w:trPr>
          <w:trHeight w:val="342"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88" w:right="0"/>
              <w:jc w:val="left"/>
              <w:rPr>
                <w:rFonts w:ascii="宋体" w:hAnsi="宋体" w:cs="宋体" w:eastAsia="宋体" w:hint="default"/>
                <w:sz w:val="21"/>
                <w:szCs w:val="21"/>
              </w:rPr>
            </w:pPr>
            <w:r>
              <w:rPr>
                <w:rFonts w:ascii="宋体" w:hAnsi="宋体" w:cs="宋体" w:eastAsia="宋体" w:hint="default"/>
                <w:sz w:val="21"/>
                <w:szCs w:val="21"/>
              </w:rPr>
              <w:t>福建新开普信息科技有限公司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7,280,786.55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2.70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88" w:right="0"/>
              <w:jc w:val="left"/>
              <w:rPr>
                <w:rFonts w:ascii="宋体" w:hAnsi="宋体" w:cs="宋体" w:eastAsia="宋体" w:hint="default"/>
                <w:sz w:val="21"/>
                <w:szCs w:val="21"/>
              </w:rPr>
            </w:pPr>
            <w:r>
              <w:rPr>
                <w:rFonts w:ascii="宋体" w:hAnsi="宋体" w:cs="宋体" w:eastAsia="宋体" w:hint="default"/>
                <w:sz w:val="21"/>
                <w:szCs w:val="21"/>
              </w:rPr>
              <w:t>西安亮丽电力集团有限责任公司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5,179,618.00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1.92</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325,298.75</w:t>
            </w:r>
            <w:r>
              <w:rPr>
                <w:rFonts w:ascii="Times New Roman"/>
                <w:sz w:val="21"/>
              </w:rPr>
            </w:r>
          </w:p>
        </w:tc>
      </w:tr>
      <w:tr>
        <w:trPr>
          <w:trHeight w:val="342"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88" w:right="0"/>
              <w:jc w:val="left"/>
              <w:rPr>
                <w:rFonts w:ascii="宋体" w:hAnsi="宋体" w:cs="宋体" w:eastAsia="宋体" w:hint="default"/>
                <w:sz w:val="21"/>
                <w:szCs w:val="21"/>
              </w:rPr>
            </w:pPr>
            <w:r>
              <w:rPr>
                <w:rFonts w:ascii="宋体" w:hAnsi="宋体" w:cs="宋体" w:eastAsia="宋体" w:hint="default"/>
                <w:sz w:val="21"/>
                <w:szCs w:val="21"/>
              </w:rPr>
              <w:t>郑州大学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3,867,162.03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1.44</w:t>
            </w:r>
            <w:r>
              <w:rPr>
                <w:rFonts w:ascii="Times New Roman"/>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193,358.10</w:t>
            </w:r>
            <w:r>
              <w:rPr>
                <w:rFonts w:ascii="Times New Roman"/>
                <w:sz w:val="21"/>
              </w:rPr>
            </w:r>
          </w:p>
        </w:tc>
      </w:tr>
      <w:tr>
        <w:trPr>
          <w:trHeight w:val="342"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88"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中国联合网络通信有限公司郑州市分公司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3,353,993.34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183,911.21</w:t>
            </w:r>
          </w:p>
        </w:tc>
      </w:tr>
      <w:tr>
        <w:trPr>
          <w:trHeight w:val="343"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27,411,760.92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10.18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1,089,078.11</w:t>
            </w:r>
          </w:p>
        </w:tc>
      </w:tr>
    </w:tbl>
    <w:p>
      <w:pPr>
        <w:spacing w:line="240" w:lineRule="auto" w:before="2"/>
        <w:rPr>
          <w:rFonts w:ascii="宋体" w:hAnsi="宋体" w:cs="宋体" w:eastAsia="宋体" w:hint="default"/>
          <w:b/>
          <w:bCs/>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33,331,2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2,637,30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7.91%</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30,693,96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1.12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25,068,</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129.63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2,114,876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8.44%</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22,953,253.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33,331,2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2,637,30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7.91%</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30,693,96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1.12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25,068,</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129.63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2,114,876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8.44%</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22,953,253.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5" w:space="4354"/>
            <w:col w:w="1121"/>
          </w:cols>
        </w:sectPr>
      </w:pP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474;top:14;width:23;height:393" coordorigin="2474,14" coordsize="23,393">
              <v:shape style="position:absolute;left:2474;top:14;width:23;height:393" coordorigin="2474,14" coordsize="23,393" path="m2474,407l2497,407,2497,14,2474,14,247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2438;height:393" coordorigin="37,14" coordsize="2438,393">
              <v:shape style="position:absolute;left:37;top:14;width:2438;height:393" coordorigin="37,14" coordsize="2438,393" path="m37,407l2474,407,2474,14,37,14,37,407xe" filled="true" fillcolor="#d3d3d3" stroked="false">
                <v:path arrowok="t"/>
                <v:fill type="solid"/>
              </v:shape>
            </v:group>
            <v:group style="position:absolute;left:2508;top:14;width:23;height:393" coordorigin="2508,14" coordsize="23,393">
              <v:shape style="position:absolute;left:2508;top:14;width:23;height:393" coordorigin="2508,14" coordsize="23,393" path="m2508,407l2531,407,2531,14,2508,14,2508,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2531;top:14;width:7019;height:393" coordorigin="2531,14" coordsize="7019,393">
              <v:shape style="position:absolute;left:2531;top:14;width:7019;height:393" coordorigin="2531,14" coordsize="7019,393" path="m2531,407l9550,407,9550,14,2531,14,2531,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2494;height:2" coordorigin="5,412" coordsize="2494,2">
              <v:shape style="position:absolute;left:5;top:412;width:2494;height:2" coordorigin="5,412" coordsize="2494,0" path="m5,412l2498,412e" filled="false" stroked="true" strokeweight=".47998pt" strokecolor="#000000">
                <v:path arrowok="t"/>
              </v:shape>
            </v:group>
            <v:group style="position:absolute;left:2503;top:14;width:2;height:402" coordorigin="2503,14" coordsize="2,402">
              <v:shape style="position:absolute;left:2503;top:14;width:2;height:402" coordorigin="2503,14" coordsize="0,402" path="m2503,14l2503,416e" filled="false" stroked="true" strokeweight=".48001pt" strokecolor="#000000">
                <v:path arrowok="t"/>
              </v:shape>
            </v:group>
            <v:group style="position:absolute;left:2508;top:412;width:7065;height:2" coordorigin="2508,412" coordsize="7065,2">
              <v:shape style="position:absolute;left:2508;top:412;width:7065;height:2" coordorigin="2508,412" coordsize="7065,0" path="m2508,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249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5680;top:12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5,505,459.81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275,272.99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5,505,459.81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275,272.99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2,553,780.17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255,378.02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1,016,568.37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304,970.51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2,179,884.69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1,801,684.40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82.65%</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756,400.58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378,200.29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484,755.08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484,755.08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938,729.03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938,729.03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11,255,693.04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2,637,305.92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3" w:right="527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755" w:type="dxa"/>
        <w:tblLayout w:type="fixed"/>
        <w:tblCellMar>
          <w:top w:w="0" w:type="dxa"/>
          <w:left w:w="0" w:type="dxa"/>
          <w:bottom w:w="0" w:type="dxa"/>
          <w:right w:w="0" w:type="dxa"/>
        </w:tblCellMar>
        <w:tblLook w:val="01E0"/>
      </w:tblPr>
      <w:tblGrid>
        <w:gridCol w:w="3222"/>
        <w:gridCol w:w="1842"/>
        <w:gridCol w:w="1560"/>
        <w:gridCol w:w="1189"/>
      </w:tblGrid>
      <w:tr>
        <w:trPr>
          <w:trHeight w:val="342" w:hRule="exact"/>
        </w:trPr>
        <w:tc>
          <w:tcPr>
            <w:tcW w:w="3222" w:type="dxa"/>
            <w:vMerge w:val="restart"/>
            <w:tcBorders>
              <w:top w:val="single" w:sz="4" w:space="0" w:color="000000"/>
              <w:left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5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2" w:hRule="exact"/>
        </w:trPr>
        <w:tc>
          <w:tcPr>
            <w:tcW w:w="3222"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9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4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关联方及保证金等组合</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22,075,574.00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22,075,574.00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40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522,429.66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 其中本期坏账准备转回或收回金额重要的：</w:t>
      </w:r>
    </w:p>
    <w:p>
      <w:pPr>
        <w:spacing w:line="240" w:lineRule="auto" w:before="1"/>
        <w:rPr>
          <w:rFonts w:ascii="宋体" w:hAnsi="宋体" w:cs="宋体" w:eastAsia="宋体" w:hint="default"/>
          <w:sz w:val="21"/>
          <w:szCs w:val="21"/>
        </w:rPr>
      </w:pPr>
    </w:p>
    <w:p>
      <w:pPr>
        <w:pStyle w:val="Heading4"/>
        <w:spacing w:line="240" w:lineRule="auto"/>
        <w:ind w:right="13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81,456.19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2,967,791.36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日常借款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1,463,336.23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1,207,399.34</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6,714,861.43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4,662,950.43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关联方及保证金等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25,071,613.19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16,229,988.50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33,331,267.04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25,068,129.63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郑州瑞茂通供应链有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4,796,000.00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14.39%</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239,800.00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山西新开普信息科技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1,254,445.04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3.76%</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长江工程职业技术学 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1,226,430.00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3.68%</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中国建设银行股份有 限公司河南省分行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948,217.00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2.84%</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武汉音乐学院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691,665.39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2.08%</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8,916,757.43</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26.75%</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239,800.00</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33"/>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558,850,000.00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558,850,000.00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558,850,000.00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558,850,000.00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60,752,766.40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60,752,766.40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30,332,364.67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30,332,364.67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619,602,766.40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619,602,766.40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589,182,364.67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589,182,364.67</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北京迪科远望科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上海树维信息科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福建新开普信息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17,850,000.00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山西新开普信息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558,850,000.00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成都兰途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8,476,663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-490,144.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7,986,518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嘉兴丹诚</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开普股权 投资合伙 企业（有</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5,063,243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21,515,54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-3,039,54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23,539,24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5.77</w:t>
            </w: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北京乐智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3,775,547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-50,035.3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3,725,512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北京希嘉</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创智教育</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13,016,91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2,484,578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25,501,48</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0.47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9.34</w:t>
            </w:r>
          </w:p>
        </w:tc>
        <w:tc>
          <w:tcPr>
            <w:tcW w:w="798" w:type="dxa"/>
            <w:vMerge/>
            <w:tcBorders>
              <w:left w:val="single" w:sz="4" w:space="0" w:color="000000"/>
              <w:right w:val="single" w:sz="4" w:space="0" w:color="000000"/>
            </w:tcBorders>
          </w:tcPr>
          <w:p>
            <w:pPr/>
          </w:p>
        </w:tc>
      </w:tr>
      <w:tr>
        <w:trPr>
          <w:trHeight w:val="35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30,332,36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31,515,54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-1,095,14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60,752,76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6.40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30,332,36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31,515,54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-1,095,14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60,752,76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6.40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564,467,119.83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271,864,174.84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474,296,694.91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223,800,278.49</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4,359,194.18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1,081,751.89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4,339,352.27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1,119,140.20</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568,826,314.01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272,945,926.73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478,636,047.18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224,919,418.69</w:t>
            </w:r>
          </w:p>
        </w:tc>
      </w:tr>
    </w:tbl>
    <w:p>
      <w:pPr>
        <w:spacing w:before="51"/>
        <w:ind w:left="154" w:right="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-1,095,146.27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-3,701,896.38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-71,046.93</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丹诚开普收回对优才科技投资形成的收益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1,899,768.20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子公司分红款</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5,782,059.27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14,686,913.00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-1,873,175.11</w:t>
            </w:r>
          </w:p>
        </w:tc>
      </w:tr>
    </w:tbl>
    <w:p>
      <w:pPr>
        <w:spacing w:line="240" w:lineRule="auto" w:before="2"/>
        <w:rPr>
          <w:rFonts w:ascii="宋体" w:hAnsi="宋体" w:cs="宋体" w:eastAsia="宋体" w:hint="default"/>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33"/>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-106,446.49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357"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59" w:type="dxa"/>
            <w:tcBorders>
              <w:top w:val="single" w:sz="4" w:space="0" w:color="000000"/>
              <w:left w:val="single" w:sz="4" w:space="0" w:color="000000"/>
              <w:bottom w:val="nil" w:sz="6" w:space="0" w:color="auto"/>
              <w:right w:val="single" w:sz="4" w:space="0" w:color="000000"/>
            </w:tcBorders>
          </w:tcPr>
          <w:p>
            <w:pPr/>
          </w:p>
        </w:tc>
        <w:tc>
          <w:tcPr>
            <w:tcW w:w="318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3,751,268.00</w:t>
            </w: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除增值税软件退税外的政府补助</w:t>
            </w:r>
          </w:p>
        </w:tc>
      </w:tr>
      <w:tr>
        <w:trPr>
          <w:trHeight w:val="353"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nil" w:sz="6" w:space="0" w:color="auto"/>
              <w:left w:val="single" w:sz="9" w:space="0" w:color="D3D3D3"/>
              <w:bottom w:val="single" w:sz="4" w:space="0" w:color="000000"/>
              <w:right w:val="single" w:sz="4" w:space="0" w:color="000000"/>
            </w:tcBorders>
          </w:tcPr>
          <w:p>
            <w:pPr/>
          </w:p>
        </w:tc>
        <w:tc>
          <w:tcPr>
            <w:tcW w:w="318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2,868,931.51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募集资金购买理财产品利息收入</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40,938.08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983,203.66</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126,113.18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5,445,374.26</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3"/>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9.14%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r>
    </w:tbl>
    <w:p>
      <w:pPr>
        <w:spacing w:line="240" w:lineRule="auto" w:before="2"/>
        <w:rPr>
          <w:rFonts w:ascii="宋体" w:hAnsi="宋体" w:cs="宋体" w:eastAsia="宋体" w:hint="default"/>
          <w:b/>
          <w:bCs/>
          <w:sz w:val="19"/>
          <w:szCs w:val="19"/>
        </w:rPr>
      </w:pPr>
    </w:p>
    <w:p>
      <w:pPr>
        <w:pStyle w:val="Heading4"/>
        <w:spacing w:line="240" w:lineRule="auto" w:before="35"/>
        <w:ind w:right="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59" w:lineRule="auto"/>
        <w:ind w:right="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6" w:right="109"/>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10"/>
        <w:rPr>
          <w:rFonts w:ascii="宋体" w:hAnsi="宋体" w:cs="宋体" w:eastAsia="宋体" w:hint="default"/>
          <w:b/>
          <w:bCs/>
          <w:sz w:val="44"/>
          <w:szCs w:val="44"/>
        </w:rPr>
      </w:pPr>
    </w:p>
    <w:p>
      <w:pPr>
        <w:pStyle w:val="Heading3"/>
        <w:spacing w:line="357" w:lineRule="auto"/>
        <w:ind w:left="574" w:right="109"/>
        <w:jc w:val="left"/>
      </w:pPr>
      <w:r>
        <w:rPr>
          <w:spacing w:val="-4"/>
        </w:rPr>
        <w:t>一、载有公司法定代表人、主管会计工作负责人、会计主管人员签名并盖章的财务报表。</w:t>
      </w:r>
      <w:r>
        <w:rPr>
          <w:spacing w:val="-105"/>
        </w:rPr>
        <w:t> </w:t>
      </w:r>
      <w:r>
        <w:rPr>
          <w:spacing w:val="-105"/>
        </w:rPr>
      </w:r>
      <w:r>
        <w:rPr/>
        <w:t>二、载有会计师事务所盖章、注册会计师签名并盖章的审计报告原件。 </w:t>
      </w:r>
      <w:r>
        <w:rPr>
          <w:spacing w:val="-1"/>
        </w:rPr>
        <w:t>三、报告期内在中国证监会指定网站上公开披露过的所有公司文件的正本及公告的原稿。</w:t>
      </w:r>
      <w:r>
        <w:rPr>
          <w:spacing w:val="-103"/>
        </w:rPr>
        <w:t> </w:t>
      </w:r>
      <w:r>
        <w:rPr>
          <w:spacing w:val="-103"/>
        </w:rPr>
      </w:r>
      <w:r>
        <w:rPr/>
        <w:t>四、经公司法定代表人签名的</w:t>
      </w:r>
      <w:r>
        <w:rPr>
          <w:rFonts w:ascii="Times New Roman" w:hAnsi="Times New Roman" w:cs="Times New Roman" w:eastAsia="Times New Roman" w:hint="default"/>
        </w:rPr>
        <w:t>2017</w:t>
      </w:r>
      <w:r>
        <w:rPr/>
        <w:t>年度报告原文件。</w:t>
      </w:r>
    </w:p>
    <w:p>
      <w:pPr>
        <w:pStyle w:val="Heading3"/>
        <w:spacing w:line="357" w:lineRule="auto" w:before="5"/>
        <w:ind w:left="574" w:right="4630"/>
        <w:jc w:val="left"/>
      </w:pPr>
      <w:r>
        <w:rPr/>
        <w:t>五、其他相关资料。 以上备查文件的备置地点：公司证券事务部。</w:t>
      </w:r>
    </w:p>
    <w:sectPr>
      <w:pgSz w:w="11910" w:h="16840"/>
      <w:pgMar w:header="877" w:footer="982" w:top="1100" w:bottom="11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2238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223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23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897522pt;width:17.150pt;height:11pt;mso-position-horizontal-relative:page;mso-position-vertical-relative:page;z-index:-1223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897522pt;width:17.150pt;height:11pt;mso-position-horizontal-relative:page;mso-position-vertical-relative:page;z-index:-1223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23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23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23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23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223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23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23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23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223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23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23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179993pt;margin-top:36.325325pt;width:186.45pt;height:11.5pt;mso-position-horizontal-relative:page;mso-position-vertical-relative:page;z-index:-1223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1223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22377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3.179993pt;margin-top:42.865326pt;width:186.45pt;height:11.5pt;mso-position-horizontal-relative:page;mso-position-vertical-relative:page;z-index:-1223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12236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22360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3.179993pt;margin-top:42.865326pt;width:186.45pt;height:11.5pt;mso-position-horizontal-relative:page;mso-position-vertical-relative:page;z-index:-12235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1223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22346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3.179993pt;margin-top:42.865326pt;width:186.45pt;height:11.5pt;mso-position-horizontal-relative:page;mso-position-vertical-relative:page;z-index:-12234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新开普电子股份有限公司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b/>
      <w:bCs/>
      <w:sz w:val="24"/>
      <w:szCs w:val="24"/>
    </w:rPr>
  </w:style>
  <w:style w:styleId="BodyText" w:type="paragraph">
    <w:name w:val="Body Text"/>
    <w:basedOn w:val="Normal"/>
    <w:uiPriority w:val="1"/>
    <w:qFormat/>
    <w:pPr>
      <w:spacing w:before="46"/>
      <w:ind w:left="154"/>
    </w:pPr>
    <w:rPr>
      <w:rFonts w:ascii="宋体" w:hAnsi="宋体" w:eastAsia="宋体"/>
      <w:sz w:val="21"/>
      <w:szCs w:val="21"/>
    </w:rPr>
  </w:style>
  <w:style w:styleId="Heading1" w:type="paragraph">
    <w:name w:val="Heading 1"/>
    <w:basedOn w:val="Normal"/>
    <w:uiPriority w:val="1"/>
    <w:qFormat/>
    <w:pPr>
      <w:spacing w:before="1"/>
      <w:ind w:left="45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newcapec.com.cn/" TargetMode="External"/><Relationship Id="rId10" Type="http://schemas.openxmlformats.org/officeDocument/2006/relationships/hyperlink" Target="mailto:zqswb@newcapec.net" TargetMode="External"/><Relationship Id="rId11" Type="http://schemas.openxmlformats.org/officeDocument/2006/relationships/hyperlink" Target="mailto:huamengyang@newcapec.net" TargetMode="External"/><Relationship Id="rId12" Type="http://schemas.openxmlformats.org/officeDocument/2006/relationships/hyperlink" Target="mailto:zhaoxin@newcapec.net" TargetMode="External"/><Relationship Id="rId13" Type="http://schemas.openxmlformats.org/officeDocument/2006/relationships/image" Target="media/image2.jpe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yperlink" Target="http://www.cninfo.com.cn/" TargetMode="External"/><Relationship Id="rId20" Type="http://schemas.openxmlformats.org/officeDocument/2006/relationships/footer" Target="footer6.xml"/><Relationship Id="rId21" Type="http://schemas.openxmlformats.org/officeDocument/2006/relationships/header" Target="header4.xml"/><Relationship Id="rId22" Type="http://schemas.openxmlformats.org/officeDocument/2006/relationships/footer" Target="footer7.xml"/><Relationship Id="rId23" Type="http://schemas.openxmlformats.org/officeDocument/2006/relationships/header" Target="header5.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header" Target="header6.xml"/><Relationship Id="rId27" Type="http://schemas.openxmlformats.org/officeDocument/2006/relationships/footer" Target="footer10.xml"/><Relationship Id="rId28" Type="http://schemas.openxmlformats.org/officeDocument/2006/relationships/header" Target="header7.xml"/><Relationship Id="rId29" Type="http://schemas.openxmlformats.org/officeDocument/2006/relationships/footer" Target="footer11.xml"/><Relationship Id="rId30" Type="http://schemas.openxmlformats.org/officeDocument/2006/relationships/image" Target="media/image3.png"/><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dc:title>&lt;4D6963726F736F667420576F7264202D20D0C2BFAAC6D5A3BA32303137C4EAC4EAB6C8B1A8B8E6C8ABCEC4A3A8B8FCD0C2BAF3A3A9&gt;</dc:title>
  <dcterms:created xsi:type="dcterms:W3CDTF">2020-05-03T00:20:13Z</dcterms:created>
  <dcterms:modified xsi:type="dcterms:W3CDTF">2020-05-03T00:20:13Z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PScript5.dll Version 5.2.2</vt:lpwstr>
  </property>
  <property fmtid="{D5CDD505-2E9C-101B-9397-08002B2CF9AE}" pid="4" name="LastSaved">
    <vt:filetime>2020-05-02T00:00:00Z</vt:filetime>
  </property>
</Properties>
</file>